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信息覆盖时段：2026-10-13 00:00 至 2026-10-14 00:00（不含），Asia/Shanghai。</w:t>
      </w:r>
    </w:p>
    <w:p>
      <w:pPr/>
      <w:r>
        <w:rPr>
          <w:rFonts w:ascii="微软雅黑" w:hAnsi="微软雅黑" w:eastAsia="微软雅黑" w:cs="微软雅黑"/>
        </w:rPr>
        <w:t>统计区间：2026-10-13 至 2026-10-14（结束日不含，北京时间）</w:t>
      </w:r>
    </w:p>
    <w:p>
      <w:pPr>
        <w:ind w:firstLine="420"/>
      </w:pPr>
      <w:r>
        <w:rPr>
          <w:rFonts w:ascii="微软雅黑" w:hAnsi="微软雅黑" w:eastAsia="微软雅黑" w:cs="微软雅黑"/>
        </w:rPr>
        <w:t>资料更新截止：2026-10-14 04:00（北京时间）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沙特阿美总裁警告全球原油库存逼近“极度危险”低位 </w:t>
      </w:r>
      <w:hyperlink w:anchor="source-18276">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卡塔尔埃米尔警告供应中断将冲击全球液化天然气市场 </w:t>
      </w:r>
      <w:hyperlink w:anchor="source-18205">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胡塞袭击沙特哈立德国王机场四天四次累计致多死多伤 </w:t>
      </w:r>
      <w:hyperlink w:anchor="source-17590">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国家能源局四川监管办原党组书记何淑兰接受审查调查 </w:t>
      </w:r>
      <w:hyperlink w:anchor="source-17926">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三部门印发内河新能源船舶推广行动方案 </w:t>
      </w:r>
      <w:hyperlink w:anchor="source-17868">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18021">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18412">
        <w:r>
          <w:rPr>
            <w:rFonts w:ascii="微软雅黑" w:hAnsi="微软雅黑" w:eastAsia="微软雅黑" w:cs="微软雅黑"/>
            <w:color w:val="087E89"/>
          </w:rPr>
          <w:t>7</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中国新能源汽车2026年9月销量</w:t>
            </w:r>
          </w:p>
        </w:tc>
        <w:tc>
          <w:tcPr>
            <w:tcW w:type="dxa" w:w="2268"/>
          </w:tcPr>
          <w:p>
            <w:pPr>
              <w:spacing w:after="40"/>
            </w:pPr>
            <w:r>
              <w:rPr>
                <w:rFonts w:ascii="微软雅黑" w:hAnsi="微软雅黑" w:eastAsia="微软雅黑" w:cs="微软雅黑"/>
              </w:rPr>
              <w:t>182.3万辆</w:t>
            </w:r>
          </w:p>
        </w:tc>
        <w:tc>
          <w:tcPr>
            <w:tcW w:type="dxa" w:w="2268"/>
          </w:tcPr>
          <w:p>
            <w:pPr>
              <w:spacing w:after="40"/>
            </w:pPr>
            <w:r>
              <w:rPr>
                <w:rFonts w:ascii="微软雅黑" w:hAnsi="微软雅黑" w:eastAsia="微软雅黑" w:cs="微软雅黑"/>
              </w:rPr>
              <w:t>2026年9月</w:t>
            </w:r>
          </w:p>
        </w:tc>
        <w:tc>
          <w:tcPr>
            <w:tcW w:type="dxa" w:w="2268"/>
          </w:tcPr>
          <w:p>
            <w:pPr>
              <w:spacing w:after="40"/>
            </w:pPr>
            <w:r>
              <w:rPr>
                <w:rFonts w:ascii="微软雅黑" w:hAnsi="微软雅黑" w:eastAsia="微软雅黑" w:cs="微软雅黑"/>
              </w:rPr>
            </w:r>
            <w:hyperlink w:anchor="source-17607">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17714">
              <w:r>
                <w:rPr>
                  <w:rFonts w:ascii="微软雅黑" w:hAnsi="微软雅黑" w:eastAsia="微软雅黑" w:cs="微软雅黑"/>
                  <w:color w:val="087E89"/>
                </w:rPr>
                <w:t>9</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中国新能源汽车2026年前三季度销量</w:t>
            </w:r>
          </w:p>
        </w:tc>
        <w:tc>
          <w:tcPr>
            <w:tcW w:type="dxa" w:w="2268"/>
          </w:tcPr>
          <w:p>
            <w:pPr>
              <w:spacing w:after="40"/>
            </w:pPr>
            <w:r>
              <w:rPr>
                <w:rFonts w:ascii="微软雅黑" w:hAnsi="微软雅黑" w:eastAsia="微软雅黑" w:cs="微软雅黑"/>
              </w:rPr>
              <w:t>1247.2万辆</w:t>
            </w:r>
          </w:p>
        </w:tc>
        <w:tc>
          <w:tcPr>
            <w:tcW w:type="dxa" w:w="2268"/>
          </w:tcPr>
          <w:p>
            <w:pPr>
              <w:spacing w:after="40"/>
            </w:pPr>
            <w:r>
              <w:rPr>
                <w:rFonts w:ascii="微软雅黑" w:hAnsi="微软雅黑" w:eastAsia="微软雅黑" w:cs="微软雅黑"/>
              </w:rPr>
              <w:t>2026年前三季度</w:t>
            </w:r>
          </w:p>
        </w:tc>
        <w:tc>
          <w:tcPr>
            <w:tcW w:type="dxa" w:w="2268"/>
          </w:tcPr>
          <w:p>
            <w:pPr>
              <w:spacing w:after="40"/>
            </w:pPr>
            <w:r>
              <w:rPr>
                <w:rFonts w:ascii="微软雅黑" w:hAnsi="微软雅黑" w:eastAsia="微软雅黑" w:cs="微软雅黑"/>
              </w:rPr>
            </w:r>
            <w:hyperlink w:anchor="source-17607">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17714">
              <w:r>
                <w:rPr>
                  <w:rFonts w:ascii="微软雅黑" w:hAnsi="微软雅黑" w:eastAsia="微软雅黑" w:cs="微软雅黑"/>
                  <w:color w:val="087E89"/>
                </w:rPr>
                <w:t>9</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中国新能源汽车2026年9月销量占比</w:t>
            </w:r>
          </w:p>
        </w:tc>
        <w:tc>
          <w:tcPr>
            <w:tcW w:type="dxa" w:w="2268"/>
          </w:tcPr>
          <w:p>
            <w:pPr>
              <w:spacing w:after="40"/>
            </w:pPr>
            <w:r>
              <w:rPr>
                <w:rFonts w:ascii="微软雅黑" w:hAnsi="微软雅黑" w:eastAsia="微软雅黑" w:cs="微软雅黑"/>
              </w:rPr>
              <w:t>61.6%</w:t>
            </w:r>
          </w:p>
        </w:tc>
        <w:tc>
          <w:tcPr>
            <w:tcW w:type="dxa" w:w="2268"/>
          </w:tcPr>
          <w:p>
            <w:pPr>
              <w:spacing w:after="40"/>
            </w:pPr>
            <w:r>
              <w:rPr>
                <w:rFonts w:ascii="微软雅黑" w:hAnsi="微软雅黑" w:eastAsia="微软雅黑" w:cs="微软雅黑"/>
              </w:rPr>
              <w:t>2026年9月</w:t>
            </w:r>
          </w:p>
        </w:tc>
        <w:tc>
          <w:tcPr>
            <w:tcW w:type="dxa" w:w="2268"/>
          </w:tcPr>
          <w:p>
            <w:pPr>
              <w:spacing w:after="40"/>
            </w:pPr>
            <w:r>
              <w:rPr>
                <w:rFonts w:ascii="微软雅黑" w:hAnsi="微软雅黑" w:eastAsia="微软雅黑" w:cs="微软雅黑"/>
              </w:rPr>
            </w:r>
            <w:hyperlink w:anchor="source-17607">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17714">
              <w:r>
                <w:rPr>
                  <w:rFonts w:ascii="微软雅黑" w:hAnsi="微软雅黑" w:eastAsia="微软雅黑" w:cs="微软雅黑"/>
                  <w:color w:val="087E89"/>
                </w:rPr>
                <w:t>9</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中国可再生能源制氢建成投运产能</w:t>
            </w:r>
          </w:p>
        </w:tc>
        <w:tc>
          <w:tcPr>
            <w:tcW w:type="dxa" w:w="2268"/>
          </w:tcPr>
          <w:p>
            <w:pPr>
              <w:spacing w:after="40"/>
            </w:pPr>
            <w:r>
              <w:rPr>
                <w:rFonts w:ascii="微软雅黑" w:hAnsi="微软雅黑" w:eastAsia="微软雅黑" w:cs="微软雅黑"/>
              </w:rPr>
              <w:t>突破25万吨/年</w:t>
            </w:r>
          </w:p>
        </w:tc>
        <w:tc>
          <w:tcPr>
            <w:tcW w:type="dxa" w:w="2268"/>
          </w:tcPr>
          <w:p>
            <w:pPr>
              <w:spacing w:after="40"/>
            </w:pPr>
            <w:r>
              <w:rPr>
                <w:rFonts w:ascii="微软雅黑" w:hAnsi="微软雅黑" w:eastAsia="微软雅黑" w:cs="微软雅黑"/>
              </w:rPr>
              <w:t>2025年末</w:t>
            </w:r>
          </w:p>
        </w:tc>
        <w:tc>
          <w:tcPr>
            <w:tcW w:type="dxa" w:w="2268"/>
          </w:tcPr>
          <w:p>
            <w:pPr>
              <w:spacing w:after="40"/>
            </w:pPr>
            <w:r>
              <w:rPr>
                <w:rFonts w:ascii="微软雅黑" w:hAnsi="微软雅黑" w:eastAsia="微软雅黑" w:cs="微软雅黑"/>
              </w:rPr>
            </w:r>
            <w:hyperlink w:anchor="source-18410">
              <w:r>
                <w:rPr>
                  <w:rFonts w:ascii="微软雅黑" w:hAnsi="微软雅黑" w:eastAsia="微软雅黑" w:cs="微软雅黑"/>
                  <w:color w:val="087E89"/>
                </w:rPr>
                <w:t>11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中国可再生能源制氢在建产能</w:t>
            </w:r>
          </w:p>
        </w:tc>
        <w:tc>
          <w:tcPr>
            <w:tcW w:type="dxa" w:w="2268"/>
          </w:tcPr>
          <w:p>
            <w:pPr>
              <w:spacing w:after="40"/>
            </w:pPr>
            <w:r>
              <w:rPr>
                <w:rFonts w:ascii="微软雅黑" w:hAnsi="微软雅黑" w:eastAsia="微软雅黑" w:cs="微软雅黑"/>
              </w:rPr>
              <w:t>超90万吨/年</w:t>
            </w:r>
          </w:p>
        </w:tc>
        <w:tc>
          <w:tcPr>
            <w:tcW w:type="dxa" w:w="2268"/>
          </w:tcPr>
          <w:p>
            <w:pPr>
              <w:spacing w:after="40"/>
            </w:pPr>
            <w:r>
              <w:rPr>
                <w:rFonts w:ascii="微软雅黑" w:hAnsi="微软雅黑" w:eastAsia="微软雅黑" w:cs="微软雅黑"/>
              </w:rPr>
              <w:t>2025年末</w:t>
            </w:r>
          </w:p>
        </w:tc>
        <w:tc>
          <w:tcPr>
            <w:tcW w:type="dxa" w:w="2268"/>
          </w:tcPr>
          <w:p>
            <w:pPr>
              <w:spacing w:after="40"/>
            </w:pPr>
            <w:r>
              <w:rPr>
                <w:rFonts w:ascii="微软雅黑" w:hAnsi="微软雅黑" w:eastAsia="微软雅黑" w:cs="微软雅黑"/>
              </w:rPr>
            </w:r>
            <w:hyperlink w:anchor="source-18410">
              <w:r>
                <w:rPr>
                  <w:rFonts w:ascii="微软雅黑" w:hAnsi="微软雅黑" w:eastAsia="微软雅黑" w:cs="微软雅黑"/>
                  <w:color w:val="087E89"/>
                </w:rPr>
                <w:t>11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中国合成氨/甲醇/炼化/煤化工合计氢气消费量</w:t>
            </w:r>
          </w:p>
        </w:tc>
        <w:tc>
          <w:tcPr>
            <w:tcW w:type="dxa" w:w="2268"/>
          </w:tcPr>
          <w:p>
            <w:pPr>
              <w:spacing w:after="40"/>
            </w:pPr>
            <w:r>
              <w:rPr>
                <w:rFonts w:ascii="微软雅黑" w:hAnsi="微软雅黑" w:eastAsia="微软雅黑" w:cs="微软雅黑"/>
              </w:rPr>
              <w:t>3310万吨</w:t>
            </w:r>
          </w:p>
        </w:tc>
        <w:tc>
          <w:tcPr>
            <w:tcW w:type="dxa" w:w="2268"/>
          </w:tcPr>
          <w:p>
            <w:pPr>
              <w:spacing w:after="40"/>
            </w:pPr>
            <w:r>
              <w:rPr>
                <w:rFonts w:ascii="微软雅黑" w:hAnsi="微软雅黑" w:eastAsia="微软雅黑" w:cs="微软雅黑"/>
              </w:rPr>
              <w:t>2025年</w:t>
            </w:r>
          </w:p>
        </w:tc>
        <w:tc>
          <w:tcPr>
            <w:tcW w:type="dxa" w:w="2268"/>
          </w:tcPr>
          <w:p>
            <w:pPr>
              <w:spacing w:after="40"/>
            </w:pPr>
            <w:r>
              <w:rPr>
                <w:rFonts w:ascii="微软雅黑" w:hAnsi="微软雅黑" w:eastAsia="微软雅黑" w:cs="微软雅黑"/>
              </w:rPr>
            </w:r>
            <w:hyperlink w:anchor="source-18410">
              <w:r>
                <w:rPr>
                  <w:rFonts w:ascii="微软雅黑" w:hAnsi="微软雅黑" w:eastAsia="微软雅黑" w:cs="微软雅黑"/>
                  <w:color w:val="087E89"/>
                </w:rPr>
                <w:t>11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华能昌江核电二期项目建成后年发电量</w:t>
            </w:r>
          </w:p>
        </w:tc>
        <w:tc>
          <w:tcPr>
            <w:tcW w:type="dxa" w:w="2268"/>
          </w:tcPr>
          <w:p>
            <w:pPr>
              <w:spacing w:after="40"/>
            </w:pPr>
            <w:r>
              <w:rPr>
                <w:rFonts w:ascii="微软雅黑" w:hAnsi="微软雅黑" w:eastAsia="微软雅黑" w:cs="微软雅黑"/>
              </w:rPr>
              <w:t>可达180亿千瓦时</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8027">
              <w:r>
                <w:rPr>
                  <w:rFonts w:ascii="微软雅黑" w:hAnsi="微软雅黑" w:eastAsia="微软雅黑" w:cs="微软雅黑"/>
                  <w:color w:val="087E89"/>
                </w:rPr>
                <w:t>16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华能昌江核电二期项目设备国产化率</w:t>
            </w:r>
          </w:p>
        </w:tc>
        <w:tc>
          <w:tcPr>
            <w:tcW w:type="dxa" w:w="2268"/>
          </w:tcPr>
          <w:p>
            <w:pPr>
              <w:spacing w:after="40"/>
            </w:pPr>
            <w:r>
              <w:rPr>
                <w:rFonts w:ascii="微软雅黑" w:hAnsi="微软雅黑" w:eastAsia="微软雅黑" w:cs="微软雅黑"/>
              </w:rPr>
              <w:t>98.1%</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8027">
              <w:r>
                <w:rPr>
                  <w:rFonts w:ascii="微软雅黑" w:hAnsi="微软雅黑" w:eastAsia="微软雅黑" w:cs="微软雅黑"/>
                  <w:color w:val="087E89"/>
                </w:rPr>
                <w:t>16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中国《矿产资源目录》发布机构与时间</w:t>
            </w:r>
          </w:p>
        </w:tc>
        <w:tc>
          <w:tcPr>
            <w:tcW w:type="dxa" w:w="2268"/>
          </w:tcPr>
          <w:p>
            <w:pPr>
              <w:spacing w:after="40"/>
            </w:pPr>
            <w:r>
              <w:rPr>
                <w:rFonts w:ascii="微软雅黑" w:hAnsi="微软雅黑" w:eastAsia="微软雅黑" w:cs="微软雅黑"/>
              </w:rPr>
              <w:t>自然资源部、国家发展改革委形成，国务院批准，2026年10月12日发布</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8513">
              <w:r>
                <w:rPr>
                  <w:rFonts w:ascii="微软雅黑" w:hAnsi="微软雅黑" w:eastAsia="微软雅黑" w:cs="微软雅黑"/>
                  <w:color w:val="087E89"/>
                </w:rPr>
                <w:t>18</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新奥天然气股份有限公司2026年半年度归属于上市公司股东的净利润（未经审计）</w:t>
            </w:r>
          </w:p>
        </w:tc>
        <w:tc>
          <w:tcPr>
            <w:tcW w:type="dxa" w:w="2268"/>
          </w:tcPr>
          <w:p>
            <w:pPr>
              <w:spacing w:after="40"/>
            </w:pPr>
            <w:r>
              <w:rPr>
                <w:rFonts w:ascii="微软雅黑" w:hAnsi="微软雅黑" w:eastAsia="微软雅黑" w:cs="微软雅黑"/>
              </w:rPr>
              <w:t>2,087,740,729.40元</w:t>
            </w:r>
          </w:p>
        </w:tc>
        <w:tc>
          <w:tcPr>
            <w:tcW w:type="dxa" w:w="2268"/>
          </w:tcPr>
          <w:p>
            <w:pPr>
              <w:spacing w:after="40"/>
            </w:pPr>
            <w:r>
              <w:rPr>
                <w:rFonts w:ascii="微软雅黑" w:hAnsi="微软雅黑" w:eastAsia="微软雅黑" w:cs="微软雅黑"/>
              </w:rPr>
              <w:t>2026年半年度</w:t>
            </w:r>
          </w:p>
        </w:tc>
        <w:tc>
          <w:tcPr>
            <w:tcW w:type="dxa" w:w="2268"/>
          </w:tcPr>
          <w:p>
            <w:pPr>
              <w:spacing w:after="40"/>
            </w:pPr>
            <w:r>
              <w:rPr>
                <w:rFonts w:ascii="微软雅黑" w:hAnsi="微软雅黑" w:eastAsia="微软雅黑" w:cs="微软雅黑"/>
              </w:rPr>
            </w:r>
            <w:hyperlink w:anchor="source-17491">
              <w:r>
                <w:rPr>
                  <w:rFonts w:ascii="微软雅黑" w:hAnsi="微软雅黑" w:eastAsia="微软雅黑" w:cs="微软雅黑"/>
                  <w:color w:val="087E89"/>
                </w:rPr>
                <w:t>19</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胡塞袭击沙特哈立德国王机场四天四次累计致多死多伤</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沙特利雅得哈立德国王国际机场在四天内遭四次袭击：8日遇袭造成3名沙特公民死亡（含1名沙特航空飞行员），10日最重一轮官方通报12人死亡、309人受伤，11日再增1死11伤。胡塞武装公开警告：除麦加、麦地那两座圣城外，沙特所有机场空域都在打击范围内。</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半岛电视台、美联社等媒体报道，胡塞武装此次使用无人机和弹道导弹混编突入，部分导弹飞行距离超过1000公里且可在飞行中变轨。沙特已启动防空失灵调查，因拦截弹库存出现告急迹象，正与法国、英国、巴基斯坦、埃及等多方接洽求援。</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报道援引数据，10月12日布伦特原油突破每桶104美元，WTI原油站上91美元；特朗普就袭击表态称美国“可能”参与，但尚无落地动作。</w:t>
      </w:r>
    </w:p>
    <w:p>
      <w:pPr>
        <w:ind w:firstLine="420"/>
      </w:pPr>
      <w:r>
        <w:rPr>
          <w:rFonts w:ascii="微软雅黑" w:hAnsi="微软雅黑" w:eastAsia="微软雅黑" w:cs="微软雅黑"/>
        </w:rPr>
        <w:t>来源：</w:t>
      </w:r>
      <w:hyperlink w:anchor="source-17590">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2. 加拿大向新不伦瑞克省提供清洁能源投资贷款</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加拿大基础设施银行向NB Power提供2.19亿加元场地开发贷款，用于Mactaquac Life Achievement Project的技术研究、监管审查和原住民协商等活动；自然资源部另向NB Power提供5000万加元，用于Salisbury终端的STATCOM项目以加强新省南部电网。</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两笔资金均属联邦“Powering Canada Strong：电气化加拿大经济国家战略”框架下举措。基础设施银行资金用于Mactaquac Life Achievement Project场地开发，自然资源部资金用于Salisbury终端STATCOM项目以加强电网。</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报道未提供对能源市场的进一步影响判断。</w:t>
      </w:r>
    </w:p>
    <w:p>
      <w:pPr>
        <w:ind w:firstLine="420"/>
      </w:pPr>
      <w:r>
        <w:rPr>
          <w:rFonts w:ascii="微软雅黑" w:hAnsi="微软雅黑" w:eastAsia="微软雅黑" w:cs="微软雅黑"/>
        </w:rPr>
        <w:t>来源：</w:t>
      </w:r>
      <w:hyperlink w:anchor="source-18395">
        <w:r>
          <w:rPr>
            <w:rFonts w:ascii="微软雅黑" w:hAnsi="微软雅黑" w:eastAsia="微软雅黑" w:cs="微软雅黑"/>
            <w:color w:val="087E89"/>
          </w:rPr>
          <w:t>22</w:t>
        </w:r>
      </w:hyperlink>
      <w:r>
        <w:rPr>
          <w:rFonts w:ascii="微软雅黑" w:hAnsi="微软雅黑" w:eastAsia="微软雅黑" w:cs="微软雅黑"/>
        </w:rPr>
      </w:r>
    </w:p>
    <w:p>
      <w:pPr>
        <w:pStyle w:val="Heading3"/>
      </w:pPr>
      <w:r>
        <w:rPr>
          <w:rFonts w:ascii="微软雅黑" w:hAnsi="微软雅黑" w:eastAsia="微软雅黑" w:cs="微软雅黑"/>
        </w:rPr>
        <w:t>3. 沙特阿美总裁警告全球原油库存逼近“极度危险”低位</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沙特阿美总裁纳赛尔10月13日警告，全球商业陆上原油库存已低于60亿桶，逼近“极度危险”的低位，形容其是“最后可用的缓冲”，且其中绝大多数实际无法为市场所用，恢复至正常水平可能需要两年时间。他还指出，受霍尔木兹海峡局势影响，全球能源供应链持续承压。</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纳赛尔表示，当前商业陆上石油库存已低于60亿桶，并称多数库存实际上无法为市场所用。他强调，在霍尔木兹海峡运输风险背景下，原油供应紧张程度进一步加剧。该表态由人民财讯于10月13日刊发，来源标注为央视新闻。</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来源未明确给出对油价或供应的直接量化影响。</w:t>
      </w:r>
    </w:p>
    <w:p>
      <w:pPr>
        <w:ind w:firstLine="420"/>
      </w:pPr>
      <w:r>
        <w:rPr>
          <w:rFonts w:ascii="微软雅黑" w:hAnsi="微软雅黑" w:eastAsia="微软雅黑" w:cs="微软雅黑"/>
        </w:rPr>
        <w:t>来源：</w:t>
      </w:r>
      <w:hyperlink w:anchor="source-18276">
        <w:r>
          <w:rPr>
            <w:rFonts w:ascii="微软雅黑" w:hAnsi="微软雅黑" w:eastAsia="微软雅黑" w:cs="微软雅黑"/>
            <w:color w:val="087E89"/>
          </w:rPr>
          <w:t>1</w:t>
        </w:r>
      </w:hyperlink>
      <w:r>
        <w:rPr>
          <w:rFonts w:ascii="微软雅黑" w:hAnsi="微软雅黑" w:eastAsia="微软雅黑" w:cs="微软雅黑"/>
        </w:rPr>
      </w:r>
    </w:p>
    <w:p>
      <w:pPr>
        <w:pStyle w:val="Heading3"/>
      </w:pPr>
      <w:r>
        <w:rPr>
          <w:rFonts w:ascii="微软雅黑" w:hAnsi="微软雅黑" w:eastAsia="微软雅黑" w:cs="微软雅黑"/>
        </w:rPr>
        <w:t>4. 沙特空袭也门萨那石油设施 胡塞威胁报复沙特石油与机场</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沙特阿拉伯10月13日对也门胡塞武装控制的首都萨那发动空袭，目标包括位于萨巴哈地区的也门石油公司设施，引发连续剧烈爆炸。也门石油公司称遇袭设施当时未储存油品、不具军事价值。胡塞武装警告对利雅得实施报复，并要求沙特石油设施和机场员工远离“合法打击目标”。</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胡塞武装发言人称正在拦截来袭沙特战机编队，并威胁对利雅得报复。沙特主导的多国联军宣布准备在萨那实施“特殊军事行动”，要求平民撤离萨巴哈。也门石油公司消息人士称暂无人员伤亡报告，设施受损情况尚不清楚，部分居民因担忧燃油供应涌向加油站排队。</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来源未给出对原油产量或价格的直接量化影响。</w:t>
      </w:r>
    </w:p>
    <w:p>
      <w:pPr>
        <w:ind w:firstLine="420"/>
      </w:pPr>
      <w:r>
        <w:rPr>
          <w:rFonts w:ascii="微软雅黑" w:hAnsi="微软雅黑" w:eastAsia="微软雅黑" w:cs="微软雅黑"/>
        </w:rPr>
        <w:t>来源：</w:t>
      </w:r>
      <w:hyperlink w:anchor="source-18393">
        <w:r>
          <w:rPr>
            <w:rFonts w:ascii="微软雅黑" w:hAnsi="微软雅黑" w:eastAsia="微软雅黑" w:cs="微软雅黑"/>
            <w:color w:val="087E89"/>
          </w:rPr>
          <w:t>20</w:t>
        </w:r>
      </w:hyperlink>
      <w:r>
        <w:rPr>
          <w:rFonts w:ascii="微软雅黑" w:hAnsi="微软雅黑" w:eastAsia="微软雅黑" w:cs="微软雅黑"/>
        </w:rPr>
        <w:t xml:space="preserve"> </w:t>
      </w:r>
      <w:hyperlink w:anchor="source-17501">
        <w:r>
          <w:rPr>
            <w:rFonts w:ascii="微软雅黑" w:hAnsi="微软雅黑" w:eastAsia="微软雅黑" w:cs="微软雅黑"/>
            <w:color w:val="087E89"/>
          </w:rPr>
          <w:t>21</w:t>
        </w:r>
      </w:hyperlink>
      <w:r>
        <w:rPr>
          <w:rFonts w:ascii="微软雅黑" w:hAnsi="微软雅黑" w:eastAsia="微软雅黑" w:cs="微软雅黑"/>
        </w:rPr>
      </w:r>
    </w:p>
    <w:p>
      <w:pPr>
        <w:pStyle w:val="Heading3"/>
      </w:pPr>
      <w:r>
        <w:rPr>
          <w:rFonts w:ascii="微软雅黑" w:hAnsi="微软雅黑" w:eastAsia="微软雅黑" w:cs="微软雅黑"/>
        </w:rPr>
        <w:t>5. 卡塔尔埃米尔警告供应中断将冲击全球液化天然气市场</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卡塔尔埃米尔公开表示，卡塔尔供应全球约五分之一的液化天然气贸易，并指出在当前地区危机中卡塔尔承担三项责任。霍尔木兹海峡关闭及拉斯拉凡工业城能源设施遭直接破坏，扰乱了卡塔尔大部分出口。</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卡塔尔能源公司三月初在无人机袭击梅赛伊德和拉斯拉凡设施后暂停液化天然气生产；卡塔尔国防部称袭击源自伊朗的两架无人机。卡塔尔方面表示，北气田扩建工程仍按计划推进以提高液化天然气产能；美国Golden Pass液化天然气项目取得重大进展。</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占全球约五分之一的液化天然气贸易面临出口受阻风险，影响全球市场供应。</w:t>
      </w:r>
    </w:p>
    <w:p>
      <w:pPr>
        <w:ind w:firstLine="420"/>
      </w:pPr>
      <w:r>
        <w:rPr>
          <w:rFonts w:ascii="微软雅黑" w:hAnsi="微软雅黑" w:eastAsia="微软雅黑" w:cs="微软雅黑"/>
        </w:rPr>
        <w:t>来源：</w:t>
      </w:r>
      <w:hyperlink w:anchor="source-18205">
        <w:r>
          <w:rPr>
            <w:rFonts w:ascii="微软雅黑" w:hAnsi="微软雅黑" w:eastAsia="微软雅黑" w:cs="微软雅黑"/>
            <w:color w:val="087E89"/>
          </w:rPr>
          <w:t>2</w:t>
        </w:r>
      </w:hyperlink>
      <w:r>
        <w:rPr>
          <w:rFonts w:ascii="微软雅黑" w:hAnsi="微软雅黑" w:eastAsia="微软雅黑" w:cs="微软雅黑"/>
        </w:rPr>
      </w:r>
    </w:p>
    <w:p>
      <w:pPr>
        <w:pStyle w:val="Heading3"/>
      </w:pPr>
      <w:r>
        <w:rPr>
          <w:rFonts w:ascii="微软雅黑" w:hAnsi="微软雅黑" w:eastAsia="微软雅黑" w:cs="微软雅黑"/>
        </w:rPr>
        <w:t>6. Elsewedy与Sinohydro合资企业获Rabigh 2 IPP扩建EPC合同</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Elsewedy Electric与Sinohydro的合资公司获得沙特Rabigh 2 IPP扩建项目EPC合同，合同总额约22亿美元。项目业主为Acwa Power与Saudi Energy设立的Al Mourjan Two项目公司。</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项目内容为建设一座总装机2.3吉瓦的燃气联合循环电站，主机采用6台西门子SGT6-5000F燃气轮机、2台SST-5000蒸汽轮机，配套6台余热锅炉及相关辅助系统。Acwa首席执行官Samir Serhan表示，该项目将为沙特提供可靠且灵活的发电容量，支撑工业、商业及居民用电增长。</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项目将为沙特电力系统新增2.3吉瓦燃气联合循环装机，用于支撑工业、商业及居民用电需求增长。</w:t>
      </w:r>
    </w:p>
    <w:p>
      <w:pPr>
        <w:ind w:firstLine="420"/>
      </w:pPr>
      <w:r>
        <w:rPr>
          <w:rFonts w:ascii="微软雅黑" w:hAnsi="微软雅黑" w:eastAsia="微软雅黑" w:cs="微软雅黑"/>
        </w:rPr>
        <w:t>来源：</w:t>
      </w:r>
      <w:hyperlink w:anchor="source-18350">
        <w:r>
          <w:rPr>
            <w:rFonts w:ascii="微软雅黑" w:hAnsi="微软雅黑" w:eastAsia="微软雅黑" w:cs="微软雅黑"/>
            <w:color w:val="087E89"/>
          </w:rPr>
          <w:t>27</w:t>
        </w:r>
      </w:hyperlink>
      <w:r>
        <w:rPr>
          <w:rFonts w:ascii="微软雅黑" w:hAnsi="微软雅黑" w:eastAsia="微软雅黑" w:cs="微软雅黑"/>
        </w:rPr>
      </w:r>
    </w:p>
    <w:p>
      <w:pPr>
        <w:pStyle w:val="Heading3"/>
      </w:pPr>
      <w:r>
        <w:rPr>
          <w:rFonts w:ascii="微软雅黑" w:hAnsi="微软雅黑" w:eastAsia="微软雅黑" w:cs="微软雅黑"/>
        </w:rPr>
        <w:t>7. 澳大利亚大型电池开发商警告取消输电线路冲击清洁能源投资</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Akaysha Energy负责人Nick Carter警告，取消VNI-West和Western Renewables Link等大型输电项目对清洁能源投资者的冲击与推迟燃煤电站关停“同样糟糕”，甚至超过延迟关闭Yallourn电站。他指出输电线路缺失将影响新南威尔士州及Snowy 2.0抽水蓄能项目按需输电，并抑制西维多利亚风电与光伏建设。</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维多利亚州反对派已誓言取消VNI并审查WRL，工党政府承诺若连任将启动WRL成本审查；新州反对党撤回对新英格兰可再生能源区的支持。</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主要政党对VNI-West、Western Renewables Link及新英格兰可再生能源区态度分化，可能影响相关线路与配套风电、光伏、储能项目的投资决策。</w:t>
      </w:r>
    </w:p>
    <w:p>
      <w:pPr>
        <w:ind w:firstLine="420"/>
      </w:pPr>
      <w:r>
        <w:rPr>
          <w:rFonts w:ascii="微软雅黑" w:hAnsi="微软雅黑" w:eastAsia="微软雅黑" w:cs="微软雅黑"/>
        </w:rPr>
        <w:t>来源：</w:t>
      </w:r>
      <w:hyperlink w:anchor="source-18035">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8. 波兰签署第二座核电站协议明确分工</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波兰能源部、PEJ与PGE签署协议，明确第二座核电站筹备中的任务分工与协作原则，其中PEJ将担任投资者和协调方，PGE负责场址分析和初步可行性研究。</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协议明确PEJ（波兰国库100%持股）作为第二座核电站的投资者与协调方，PGE承担场址分析和初步可行性研究；优先选址为Bełchatów和Konin。美国、法国、加拿大已加入技术与项目承包商的竞争性对话程序，考虑采用第三代+大型轻水堆技术。更新后的规划为2027年选定战略合作伙伴与技术，约2032年开工，首台机组约2040年投运，较此前计划延后一年。波兰目标到2040年建成6台大型压水堆、总装机6-9 GWe，以减少对煤炭的依赖。</w:t>
      </w:r>
    </w:p>
    <w:p>
      <w:pPr>
        <w:ind w:firstLine="420"/>
      </w:pPr>
      <w:r>
        <w:rPr>
          <w:rFonts w:ascii="微软雅黑" w:hAnsi="微软雅黑" w:eastAsia="微软雅黑" w:cs="微软雅黑"/>
        </w:rPr>
        <w:t>来源：</w:t>
      </w:r>
      <w:hyperlink w:anchor="source-18377">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9. 巴西MME就电力行业计算模型治理启动公开咨询</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巴西矿业与能源部（MME）通过2026年第941号部长令，启动两项拟议部长令的20天公开咨询，旨在完善电力行业计算模型的治理与开发。</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第一项提案规范EPE与MME用于电源扩展规划和电站物理保证计算的模型改进流程，按影响分类处理：结构性变更需进行技术研究、公开咨询并报MME批准，常规更新和调整适用简化程序。第二项提案为CCEE、EPE、ONS建立新模型及功能的集成开发指引，包括共享模型链和年度审议的集成战略开发议程，倾向开源代码、独立验证及利益冲突披露。意见通过MME公共咨询门户提交。</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若按倾向推进，将推动电力规划与运行模型采用开源代码、独立验证与利益冲突披露，提升行业透明度。</w:t>
      </w:r>
    </w:p>
    <w:p>
      <w:pPr>
        <w:ind w:firstLine="420"/>
      </w:pPr>
      <w:r>
        <w:rPr>
          <w:rFonts w:ascii="微软雅黑" w:hAnsi="微软雅黑" w:eastAsia="微软雅黑" w:cs="微软雅黑"/>
        </w:rPr>
        <w:t>来源：</w:t>
      </w:r>
      <w:hyperlink w:anchor="source-18318">
        <w:r>
          <w:rPr>
            <w:rFonts w:ascii="微软雅黑" w:hAnsi="微软雅黑" w:eastAsia="微软雅黑" w:cs="微软雅黑"/>
            <w:color w:val="087E89"/>
          </w:rPr>
          <w:t>13</w:t>
        </w:r>
      </w:hyperlink>
      <w:r>
        <w:rPr>
          <w:rFonts w:ascii="微软雅黑" w:hAnsi="微软雅黑" w:eastAsia="微软雅黑" w:cs="微软雅黑"/>
        </w:rPr>
      </w:r>
    </w:p>
    <w:p>
      <w:pPr>
        <w:pStyle w:val="Heading3"/>
      </w:pPr>
      <w:r>
        <w:rPr>
          <w:rFonts w:ascii="微软雅黑" w:hAnsi="微软雅黑" w:eastAsia="微软雅黑" w:cs="微软雅黑"/>
        </w:rPr>
        <w:t>10. 绿氢规模化面临成本与项目落地多重瓶颈</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截至2025年末，全国可再生能源制氢建成投运产能突破25万吨/年，占全球总产能半数以上，在建超90万吨/年；但新疆等风光资源优质地区绿氢完全生产成本约18元/千克，仍高于10—12元/千克的规模化竞争门槛。</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2025年国内合成氨、合成甲醇、炼化和煤化工四个领域合计消费氢气3310万吨，占全国氢气消费总量约85%。规划提出2030年可再生能源制氢规模达200万吨，可再生能源非电利用规模较2025年增长1.5倍，折合约1.5亿吨标准煤。海外方面，2024年23个欧洲绿氢项目停滞或取消，2025年欧盟氢能银行第二轮拍卖15个入选项目中有7个退出，退出容量占拍卖总量75%以上。</w:t>
      </w:r>
    </w:p>
    <w:p>
      <w:pPr>
        <w:ind w:firstLine="420"/>
      </w:pPr>
      <w:r>
        <w:rPr>
          <w:rFonts w:ascii="微软雅黑" w:hAnsi="微软雅黑" w:eastAsia="微软雅黑" w:cs="微软雅黑"/>
        </w:rPr>
        <w:t>来源：</w:t>
      </w:r>
      <w:hyperlink w:anchor="source-18410">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11. FERC批准Duke卡罗莱纳大负荷输电费率修订方案</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美国FERC以4比1投票结果批准杜克能源卡罗莱纳公司的大负荷输电费率修订方案，针对100兆瓦及以上大负荷的网络升级费率处理、财务担保要求及缺额支付条款作出规定。委员Judy Chang投反对票。</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批准内容包括针对100兆瓦及以上大负荷的网络升级费率处理、财务担保要求以及缺额支付条款。新增或转移的大负荷须在网络升级投运后15年内，按负荷表中兆瓦值的75%按月按年支付“承诺收入贡献”，同时还需按月缴纳网络升级建设成本，升级投运后由杜克退还本金及利息。杜克能源卡罗莱纳公司在卡罗来纳地区约有300万零售客户。FERC委员Judy Chang投反对票，认为该方案缺乏有效的财务担保和已签大负荷协议的透明度，并对默认采用rolled-in费率表示担忧，认为不足以保护其他客户。</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该方案或带来其他零售客户对大负荷相关成本转嫁的担忧；反对票反映出对rolled-in费率保护现有客户利益有效性的质疑。</w:t>
      </w:r>
    </w:p>
    <w:p>
      <w:pPr>
        <w:ind w:firstLine="420"/>
      </w:pPr>
      <w:r>
        <w:rPr>
          <w:rFonts w:ascii="微软雅黑" w:hAnsi="微软雅黑" w:eastAsia="微软雅黑" w:cs="微软雅黑"/>
        </w:rPr>
        <w:t>来源：</w:t>
      </w:r>
      <w:hyperlink w:anchor="source-18461">
        <w:r>
          <w:rPr>
            <w:rFonts w:ascii="微软雅黑" w:hAnsi="微软雅黑" w:eastAsia="微软雅黑" w:cs="微软雅黑"/>
            <w:color w:val="087E89"/>
          </w:rPr>
          <w:t>10</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12. 国家能源局四川监管办原党组书记何淑兰接受审查调查</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据中央纪委国家监委网站通报，国家能源局四川监管办公室原党组书记、监管专员何淑兰涉嫌严重违纪违法，目前正接受纪律审查和监察调查。</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何淑兰目前正接受中央纪委国家监委驻国家发展改革委纪检监察组的纪律审查，并接受四川省监委的监察调查。</w:t>
      </w:r>
    </w:p>
    <w:p>
      <w:pPr>
        <w:ind w:firstLine="420"/>
      </w:pPr>
      <w:r>
        <w:rPr>
          <w:rFonts w:ascii="微软雅黑" w:hAnsi="微软雅黑" w:eastAsia="微软雅黑" w:cs="微软雅黑"/>
        </w:rPr>
        <w:t>来源：</w:t>
      </w:r>
      <w:hyperlink w:anchor="source-17926">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13. 三部门联合印发内河新能源船舶行动方案 推动电动与甲醇动力应用</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交通运输部、工业和信息化部、国家能源局联合印发《内河新能源船舶推广应用行动方案（2026—2030年）》，部署11项重点任务。</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方案在液化天然气动力船舶有序发展基础上，重点推动内河电动、甲醇动力船舶全场景应用、全链条支撑、高标准发展。目标到2028年内河新能源船舶保有量较2025年翻倍，初步实现全场景示范应用，基本建成长江、西江航运干线、京杭运河航运绿色通道和长三角等船舶电动化先行区，综合形成零碳水路运输通道3000公里；到2030年初步实现新能源船舶规模化应用。截至2025年年底，内河新能源清洁能源船舶达1200余艘。</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方案将新能源船舶推广应用纳入省级碳达峰碳中和综合评价考核内容，并要求发挥科技创新和技术改造再贷款政策工具激励作用，引导金融支持。</w:t>
      </w:r>
    </w:p>
    <w:p>
      <w:pPr>
        <w:ind w:firstLine="420"/>
      </w:pPr>
      <w:r>
        <w:rPr>
          <w:rFonts w:ascii="微软雅黑" w:hAnsi="微软雅黑" w:eastAsia="微软雅黑" w:cs="微软雅黑"/>
        </w:rPr>
        <w:t>来源：</w:t>
      </w:r>
      <w:hyperlink w:anchor="source-18512">
        <w:r>
          <w:rPr>
            <w:rFonts w:ascii="微软雅黑" w:hAnsi="微软雅黑" w:eastAsia="微软雅黑" w:cs="微软雅黑"/>
            <w:color w:val="087E89"/>
          </w:rPr>
          <w:t>23</w:t>
        </w:r>
      </w:hyperlink>
      <w:r>
        <w:rPr>
          <w:rFonts w:ascii="微软雅黑" w:hAnsi="微软雅黑" w:eastAsia="微软雅黑" w:cs="微软雅黑"/>
        </w:rPr>
        <w:t xml:space="preserve"> </w:t>
      </w:r>
      <w:hyperlink w:anchor="source-17922">
        <w:r>
          <w:rPr>
            <w:rFonts w:ascii="微软雅黑" w:hAnsi="微软雅黑" w:eastAsia="微软雅黑" w:cs="微软雅黑"/>
            <w:color w:val="087E89"/>
          </w:rPr>
          <w:t>24</w:t>
        </w:r>
      </w:hyperlink>
      <w:r>
        <w:rPr>
          <w:rFonts w:ascii="微软雅黑" w:hAnsi="微软雅黑" w:eastAsia="微软雅黑" w:cs="微软雅黑"/>
        </w:rPr>
        <w:t xml:space="preserve"> </w:t>
      </w:r>
      <w:hyperlink w:anchor="source-17866">
        <w:r>
          <w:rPr>
            <w:rFonts w:ascii="微软雅黑" w:hAnsi="微软雅黑" w:eastAsia="微软雅黑" w:cs="微软雅黑"/>
            <w:color w:val="087E89"/>
          </w:rPr>
          <w:t>25</w:t>
        </w:r>
      </w:hyperlink>
      <w:r>
        <w:rPr>
          <w:rFonts w:ascii="微软雅黑" w:hAnsi="微软雅黑" w:eastAsia="微软雅黑" w:cs="微软雅黑"/>
        </w:rPr>
        <w:t xml:space="preserve"> </w:t>
      </w:r>
      <w:hyperlink w:anchor="source-17864">
        <w:r>
          <w:rPr>
            <w:rFonts w:ascii="微软雅黑" w:hAnsi="微软雅黑" w:eastAsia="微软雅黑" w:cs="微软雅黑"/>
            <w:color w:val="087E89"/>
          </w:rPr>
          <w:t>26</w:t>
        </w:r>
      </w:hyperlink>
      <w:r>
        <w:rPr>
          <w:rFonts w:ascii="微软雅黑" w:hAnsi="微软雅黑" w:eastAsia="微软雅黑" w:cs="微软雅黑"/>
        </w:rPr>
      </w:r>
    </w:p>
    <w:p>
      <w:pPr>
        <w:pStyle w:val="Heading3"/>
      </w:pPr>
      <w:r>
        <w:rPr>
          <w:rFonts w:ascii="微软雅黑" w:hAnsi="微软雅黑" w:eastAsia="微软雅黑" w:cs="微软雅黑"/>
        </w:rPr>
        <w:t>14. 两部门发布《矿产资源目录》明确能源金属非金属矿种范围</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自然资源部会同国家发展改革委形成《矿产资源目录》，已经国务院批准，于2026年10月12日发布。目录列出矿产资源矿类、矿种和亚矿种，括号内为亚矿种名称。</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能源矿产包括石油、烃类天然气（煤层气、页岩气、天然气水合物）、油页岩、油砂、煤、石煤、天然沥青、铀、钍、地热。金属矿产涵盖铁、锰、铬、钒、钛、铜、铅、锌、铝、镁、镍、钴、钨、锡、锂、铷、铯、稀土元素、金、银、铂、钯等众多品种。非金属矿产包括硼、金刚石、石墨（晶质石墨、隐晶质石墨）、磷、硫、萤石、盐矿、钾盐、水晶、玛瑙及大量建材类矿产。水气矿产列示地下水、天然矿泉水、氦气、氡气、二氧化碳气、硫化氢气。</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目录将铀、钍、地热与锂、稀土等明确列入，为后续勘查、开采及矿权管理提供统一依据。</w:t>
      </w:r>
    </w:p>
    <w:p>
      <w:pPr>
        <w:ind w:firstLine="420"/>
      </w:pPr>
      <w:r>
        <w:rPr>
          <w:rFonts w:ascii="微软雅黑" w:hAnsi="微软雅黑" w:eastAsia="微软雅黑" w:cs="微软雅黑"/>
        </w:rPr>
        <w:t>来源：</w:t>
      </w:r>
      <w:hyperlink w:anchor="source-18513">
        <w:r>
          <w:rPr>
            <w:rFonts w:ascii="微软雅黑" w:hAnsi="微软雅黑" w:eastAsia="微软雅黑" w:cs="微软雅黑"/>
            <w:color w:val="087E89"/>
          </w:rPr>
          <w:t>18</w:t>
        </w:r>
      </w:hyperlink>
      <w:r>
        <w:rPr>
          <w:rFonts w:ascii="微软雅黑" w:hAnsi="微软雅黑" w:eastAsia="微软雅黑" w:cs="微软雅黑"/>
        </w:rPr>
      </w:r>
    </w:p>
    <w:p>
      <w:pPr>
        <w:pStyle w:val="Heading3"/>
      </w:pPr>
      <w:r>
        <w:rPr>
          <w:rFonts w:ascii="微软雅黑" w:hAnsi="微软雅黑" w:eastAsia="微软雅黑" w:cs="微软雅黑"/>
        </w:rPr>
        <w:t>15. 新奥股份公布2026年半年度利润分配预案</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新奥天然气股份有限公司（证券代码600803）发布2026年半年度利润分配预案，拟以剔除回购账户股份后的3,093,983,527股为基数，向全体股东每10股派发现金红利2.50元（含税），不进行资本公积转增股本和送红股。</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公司2026年半年度归属于上市公司股东的净利润（未经审计）为人民币2,087,740,729.40元；母公司半年度可供股东分配的利润为-201,065,562.51元，扣除上年利润分配金额2,970,224,185.92元并加上留存的未分配利润5,172,668,276.46元后，累计可供股东分配的利润为2,001,378,528.03元。按预案合计拟发放现金红利773,495,881.75元（含税），占合并报表归属于上市公司股东净利润的比例为37.05%。公告披露日起至权益分派股权登记日期间，如因可转债转股、回购股份、股权激励授予股份回购注销、重大资产重组股份回购注销等致使总股本变动，公司拟维持每股分配现金红利不变，相应调整分配总额。预案已经公司董事会审计委员会和董事会审议通过，尚需提交股东会审议通过后方可实施，并称符合《公司章程》及《新奥股份未来三年（2026-2028年）股东分红回报规划》。</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公司提示该预案依据已披露的股东回报规划并结合当前发展阶段盈利规模及现金流情况，对当期经营性现金流不会构成重大影响，不会影响公司正常经营和长远发展。</w:t>
      </w:r>
    </w:p>
    <w:p>
      <w:pPr>
        <w:ind w:firstLine="420"/>
      </w:pPr>
      <w:r>
        <w:rPr>
          <w:rFonts w:ascii="微软雅黑" w:hAnsi="微软雅黑" w:eastAsia="微软雅黑" w:cs="微软雅黑"/>
        </w:rPr>
        <w:t>来源：</w:t>
      </w:r>
      <w:hyperlink w:anchor="source-17491">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16. 贵州印发煤炭洗选管理办法（试行）强化备案管理与绿色洗选</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贵州省能源局印发《贵州省煤炭洗选管理办法（试行）》，明确贵州行政区域内新建、改建、扩建及在产运营煤炭洗选项目适用该办法，停产停建项目恢复建设或生产亦适用，配煤厂、煤炭贸易、尾矿加工以及焦化等配套洗选车间不在适用范围内。</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办法遵循“管理规范、清洁高效、绿色智能、安全环保”原则，要求新建项目达到规模化、集约化、清洁化、高效化，新建选煤厂原则上按智能化标准建设；按国家煤炭清洁高效利用重点领域标杆水平建设，未按期改造的落后选煤厂将依法淘汰，禁止使用淘汰工艺、技术和设备。煤炭洗选项目实行备案管理，由县（市、区、特区）煤炭行业主管部门负责，项目单位通过在线平台提交基本信息，备案信息推送至发改、自然资源、生态环境、水利、应急管理等部门共享；要求洗水闭路循环，禁止露天堆存，新建煤矿及选煤厂禁止建设永久性煤矸石堆场（库），鼓励煤矸石、煤泥回填、发电、建材、筑路及土地复垦等规模化利用。</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办法强化备案与跨部门协同监管，推动煤炭洗选向智能化、绿色化升级，并明确对落后产能限期淘汰。</w:t>
      </w:r>
    </w:p>
    <w:p>
      <w:pPr>
        <w:ind w:firstLine="420"/>
      </w:pPr>
      <w:r>
        <w:rPr>
          <w:rFonts w:ascii="微软雅黑" w:hAnsi="微软雅黑" w:eastAsia="微软雅黑" w:cs="微软雅黑"/>
        </w:rPr>
        <w:t>来源：</w:t>
      </w:r>
      <w:hyperlink w:anchor="source-17716">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17. 华龙一号媒体行走进华能昌江核电二期</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“华龙一号自主创新之路”媒体行走入华能昌江核电二期项目。该项目规划建设两台120万千瓦核电机组，搭载华龙一号三代压水堆技术，采用能动与非能动相结合的安全设计。</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项目因地制宜推动86项设计优化在机组上实施，设备国产化率达98.1%。中国华能自主研发的HAP核电生产管理系统全面投用，融合5G、AI等技术，软硬件完全自主可控。项目全部建成后年发电量可达180亿千瓦时，每年节约标准煤超632万吨、减排二氧化碳约1160万吨。华能形成“四代高温堆示范+三代压水堆商运”的核电发展格局。</w:t>
      </w:r>
    </w:p>
    <w:p>
      <w:pPr>
        <w:ind w:firstLine="420"/>
      </w:pPr>
      <w:r>
        <w:rPr>
          <w:rFonts w:ascii="微软雅黑" w:hAnsi="微软雅黑" w:eastAsia="微软雅黑" w:cs="微软雅黑"/>
        </w:rPr>
        <w:t>来源：</w:t>
      </w:r>
      <w:hyperlink w:anchor="source-18027">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18. 河北启动多用户绿电直连项目申报</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河北省发改委印发通知，正式启动多用户绿电直连项目申报。项目按“以荷定源”规划新能源装机，重点支持钢铁、石化、建材、装备、算力、交通、绿氢、煤电等行业及省级特色产业集群。</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通知明确项目年自发自用电量占总可用发电量比例不低于60%，2030年前占总用电量比例不低于35%。并网型项目上网电量占总可用发电量比例不超过20%，海上风电、海上光伏可放宽至40%；冀北电网在现货市场未连续运行前不得向公共电网反送。项目主责单位原则上由电源方与负荷方合资组建，并网型项目作为整体参与电力现货市场，初期以“报量不报价”方式参与。申报场景包括新建负荷、单用户绿电直连项目扩展、有绿电消费需求的用户、工业园区、零碳园区、油气田及秦皇岛港、唐山港、黄骅港等存量负荷。</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为钢铁、石化等高耗能行业及算力、绿氢等新兴负荷提供专属绿电供给通道，有助于扩大绿电本地消纳。</w:t>
      </w:r>
    </w:p>
    <w:p>
      <w:pPr>
        <w:ind w:firstLine="420"/>
      </w:pPr>
      <w:r>
        <w:rPr>
          <w:rFonts w:ascii="微软雅黑" w:hAnsi="微软雅黑" w:eastAsia="微软雅黑" w:cs="微软雅黑"/>
        </w:rPr>
        <w:t>来源：</w:t>
      </w:r>
      <w:hyperlink w:anchor="source-18262">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19. 三部门印发内河新能源船舶推广行动方案</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交通运输部联合工信部、国家能源局印发《内河新能源船舶推广应用行动方案（2026—2030年）》，明确到2028年内河新能源船舶保有量较2025年翻倍，到2030年初步实现规模化应用。</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方案设定阶段性目标：到2028年电动运输船舶突破1000艘、甲醇动力船舶突破100艘；基本建成长江、西江航运干线、京杭运河航运绿色通道及长三角等船舶电动化先行区，综合形成零碳水路运输通道3000公里；长江干线甲醇加注服务能力实现全线贯通，长三角水网地区船舶充换电设施基本成网。方案部署三方面共11项任务，涵盖全场景应用、全链条支撑（含用能供应保障、商业模式、制造产业支撑、营运管理）以及高标准发展；并在长江干线打造重庆—上海、重庆—宜昌、马鞍山—宁波等甲醇动力船舶零碳运输示范航线，在重庆、宜昌、武汉、南京等地建设甲醇加注设施。方案将新能源船舶推广应用纳入省级碳达峰碳中和综合评价考核内容。</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为内河航运绿色转型提供国家级路线图，将带动电动船舶、甲醇动力船舶及相关加注基础设施建设，并形成跨部门协同推进机制。</w:t>
      </w:r>
    </w:p>
    <w:p>
      <w:pPr>
        <w:ind w:firstLine="420"/>
      </w:pPr>
      <w:r>
        <w:rPr>
          <w:rFonts w:ascii="微软雅黑" w:hAnsi="微软雅黑" w:eastAsia="微软雅黑" w:cs="微软雅黑"/>
        </w:rPr>
        <w:t>来源：</w:t>
      </w:r>
      <w:hyperlink w:anchor="source-17868">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18021">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18412">
        <w:r>
          <w:rPr>
            <w:rFonts w:ascii="微软雅黑" w:hAnsi="微软雅黑" w:eastAsia="微软雅黑" w:cs="微软雅黑"/>
            <w:color w:val="087E89"/>
          </w:rPr>
          <w:t>7</w:t>
        </w:r>
      </w:hyperlink>
      <w:r>
        <w:rPr>
          <w:rFonts w:ascii="微软雅黑" w:hAnsi="微软雅黑" w:eastAsia="微软雅黑" w:cs="微软雅黑"/>
        </w:rPr>
      </w:r>
    </w:p>
    <w:p>
      <w:pPr>
        <w:pStyle w:val="Heading3"/>
      </w:pPr>
      <w:r>
        <w:rPr>
          <w:rFonts w:ascii="微软雅黑" w:hAnsi="微软雅黑" w:eastAsia="微软雅黑" w:cs="微软雅黑"/>
        </w:rPr>
        <w:t>20. 9月新能源汽车销量占比连续三月突破60%</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中汽协数据显示，2026年9月国内新能源汽车产销分别完成181.4万辆和182.3万辆，同比增长12.2%和13.6%；月度新车销量占比达61.6%，连续三个月突破60%。</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2026年前三季度，新能源汽车产销分别完成1248.3万辆和1247.2万辆，同比分别增长11%和11.1%；累计销量占汽车新车总销量的53.6%。9月单月销量占比再创新高达到61.6%，已连续3个月突破60%。</w:t>
      </w:r>
    </w:p>
    <w:p>
      <w:pPr>
        <w:ind w:firstLine="420"/>
      </w:pPr>
      <w:r>
        <w:rPr>
          <w:rFonts w:ascii="微软雅黑" w:hAnsi="微软雅黑" w:eastAsia="微软雅黑" w:cs="微软雅黑"/>
        </w:rPr>
        <w:t>来源：</w:t>
      </w:r>
      <w:hyperlink w:anchor="source-17607">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17714">
        <w:r>
          <w:rPr>
            <w:rFonts w:ascii="微软雅黑" w:hAnsi="微软雅黑" w:eastAsia="微软雅黑" w:cs="微软雅黑"/>
            <w:color w:val="087E89"/>
          </w:rPr>
          <w:t>9</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全球商业陆上库存恢复至正常水平是否真如纳赛尔所述需要约两年；霍尔木兹海峡局势后续演变。 </w:t>
      </w:r>
      <w:hyperlink w:anchor="source-18276">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北气田扩建项目推进进度以及Golden Pass液化天然气项目后续进展。 </w:t>
      </w:r>
      <w:hyperlink w:anchor="source-18205">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沙特防空拦截弹库存补充进展、与多国接洽求援的落地情况，以及胡塞武装后续打击节奏与导弹型号情报披露。 </w:t>
      </w:r>
      <w:hyperlink w:anchor="source-17590">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纪律审查与监察调查的进展及最终结论。 </w:t>
      </w:r>
      <w:hyperlink w:anchor="source-17926">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各省具体落实方案与配套资金；甲醇加注与船舶充换电设施建设进度；考核机制对地方推进力度。 </w:t>
      </w:r>
      <w:hyperlink w:anchor="source-17868">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18021">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18412">
        <w:r>
          <w:rPr>
            <w:rFonts w:ascii="微软雅黑" w:hAnsi="微软雅黑" w:eastAsia="微软雅黑" w:cs="微软雅黑"/>
            <w:color w:val="087E89"/>
          </w:rPr>
          <w:t>7</w:t>
        </w:r>
      </w:hyperlink>
      <w:r>
        <w:rPr>
          <w:rFonts w:ascii="微软雅黑" w:hAnsi="微软雅黑" w:eastAsia="微软雅黑" w:cs="微软雅黑"/>
        </w:rPr>
      </w:r>
    </w:p>
    <w:p>
      <w:pPr>
        <w:pStyle w:val="ListBullet"/>
      </w:pPr>
      <w:r>
        <w:rPr>
          <w:rFonts w:ascii="微软雅黑" w:hAnsi="微软雅黑" w:eastAsia="微软雅黑" w:cs="微软雅黑"/>
        </w:rPr>
        <w:t xml:space="preserve">后续大负荷协议及财务担保条款的落地与透明度，以及其他客户成本是否被有效保护。 </w:t>
      </w:r>
      <w:hyperlink w:anchor="source-18461">
        <w:r>
          <w:rPr>
            <w:rFonts w:ascii="微软雅黑" w:hAnsi="微软雅黑" w:eastAsia="微软雅黑" w:cs="微软雅黑"/>
            <w:color w:val="087E89"/>
          </w:rPr>
          <w:t>10</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503 篇文章，形成 485 篇有效能源材料；正文引用 27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8 篇材料尚待复核，未纳入本期判断。</w:t>
      </w:r>
    </w:p>
    <w:p>
      <w:pPr>
        <w:ind w:firstLine="420"/>
      </w:pPr>
      <w:r>
        <w:rPr>
          <w:rFonts w:ascii="微软雅黑" w:hAnsi="微软雅黑" w:eastAsia="微软雅黑" w:cs="微软雅黑"/>
        </w:rPr>
        <w:t>本期材料较多，综合部分按重要性及主题覆盖择取。</w:t>
      </w:r>
    </w:p>
    <w:p>
      <w:pPr>
        <w:pStyle w:val="Heading2"/>
      </w:pPr>
      <w:r>
        <w:rPr>
          <w:rFonts w:ascii="微软雅黑" w:hAnsi="微软雅黑" w:eastAsia="微软雅黑" w:cs="微软雅黑"/>
        </w:rPr>
        <w:t>资料来源</w:t>
      </w:r>
    </w:p>
    <w:p>
      <w:pPr>
        <w:spacing w:after="0" w:line="20" w:lineRule="exact"/>
      </w:pPr>
      <w:bookmarkStart w:id="1" w:name="source-18276"/>
      <w:bookmarkEnd w:id="1" w:name="source-18276"/>
    </w:p>
    <w:p>
      <w:pPr>
        <w:pStyle w:val="ListBullet"/>
      </w:pPr>
      <w:r>
        <w:rPr>
          <w:rFonts w:ascii="微软雅黑" w:hAnsi="微软雅黑" w:eastAsia="微软雅黑" w:cs="微软雅黑"/>
        </w:rPr>
        <w:t>[1] 人民财讯等｜</w:t>
      </w:r>
      <w:hyperlink r:id="rId11">
        <w:r>
          <w:rPr>
            <w:rFonts w:ascii="微软雅黑" w:hAnsi="微软雅黑" w:eastAsia="微软雅黑" w:cs="微软雅黑"/>
            <w:color w:val="087E89"/>
          </w:rPr>
          <w:t>沙特阿美总裁：全球原油库存逼近“危险低位”</w:t>
        </w:r>
      </w:hyperlink>
      <w:r>
        <w:rPr>
          <w:rFonts w:ascii="微软雅黑" w:hAnsi="微软雅黑" w:eastAsia="微软雅黑" w:cs="微软雅黑"/>
        </w:rPr>
      </w:r>
    </w:p>
    <w:p>
      <w:pPr>
        <w:spacing w:after="0" w:line="20" w:lineRule="exact"/>
      </w:pPr>
      <w:bookmarkStart w:id="2" w:name="source-18205"/>
      <w:bookmarkEnd w:id="2" w:name="source-18205"/>
    </w:p>
    <w:p>
      <w:pPr>
        <w:pStyle w:val="ListBullet"/>
      </w:pPr>
      <w:r>
        <w:rPr>
          <w:rFonts w:ascii="微软雅黑" w:hAnsi="微软雅黑" w:eastAsia="微软雅黑" w:cs="微软雅黑"/>
        </w:rPr>
        <w:t>[2] Anadolu Agency｜</w:t>
      </w:r>
      <w:hyperlink r:id="rId12">
        <w:r>
          <w:rPr>
            <w:rFonts w:ascii="微软雅黑" w:hAnsi="微软雅黑" w:eastAsia="微软雅黑" w:cs="微软雅黑"/>
            <w:color w:val="087E89"/>
          </w:rPr>
          <w:t>卡塔尔供应全球约五分之一的液化天然气贸易，埃米尔表示，供应中断将影响全球市场</w:t>
        </w:r>
      </w:hyperlink>
      <w:r>
        <w:rPr>
          <w:rFonts w:ascii="微软雅黑" w:hAnsi="微软雅黑" w:eastAsia="微软雅黑" w:cs="微软雅黑"/>
        </w:rPr>
      </w:r>
    </w:p>
    <w:p>
      <w:pPr>
        <w:spacing w:after="0" w:line="20" w:lineRule="exact"/>
      </w:pPr>
      <w:bookmarkStart w:id="3" w:name="source-17590"/>
      <w:bookmarkEnd w:id="3" w:name="source-17590"/>
    </w:p>
    <w:p>
      <w:pPr>
        <w:pStyle w:val="ListBullet"/>
      </w:pPr>
      <w:r>
        <w:rPr>
          <w:rFonts w:ascii="微软雅黑" w:hAnsi="微软雅黑" w:eastAsia="微软雅黑" w:cs="微软雅黑"/>
        </w:rPr>
        <w:t>[3] 中国新闻网｜</w:t>
      </w:r>
      <w:hyperlink r:id="rId13">
        <w:r>
          <w:rPr>
            <w:rFonts w:ascii="微软雅黑" w:hAnsi="微软雅黑" w:eastAsia="微软雅黑" w:cs="微软雅黑"/>
            <w:color w:val="087E89"/>
          </w:rPr>
          <w:t>利雅得机场四天四炸、300多人伤亡：中东能源王国的巨资防空网，竟成了“摆设”</w:t>
        </w:r>
      </w:hyperlink>
      <w:r>
        <w:rPr>
          <w:rFonts w:ascii="微软雅黑" w:hAnsi="微软雅黑" w:eastAsia="微软雅黑" w:cs="微软雅黑"/>
        </w:rPr>
      </w:r>
    </w:p>
    <w:p>
      <w:pPr>
        <w:spacing w:after="0" w:line="20" w:lineRule="exact"/>
      </w:pPr>
      <w:bookmarkStart w:id="4" w:name="source-17926"/>
      <w:bookmarkEnd w:id="4" w:name="source-17926"/>
    </w:p>
    <w:p>
      <w:pPr>
        <w:pStyle w:val="ListBullet"/>
      </w:pPr>
      <w:r>
        <w:rPr>
          <w:rFonts w:ascii="微软雅黑" w:hAnsi="微软雅黑" w:eastAsia="微软雅黑" w:cs="微软雅黑"/>
        </w:rPr>
        <w:t>[4] 央视新闻等｜</w:t>
      </w:r>
      <w:hyperlink r:id="rId14">
        <w:r>
          <w:rPr>
            <w:rFonts w:ascii="微软雅黑" w:hAnsi="微软雅黑" w:eastAsia="微软雅黑" w:cs="微软雅黑"/>
            <w:color w:val="087E89"/>
          </w:rPr>
          <w:t>国家能源局四川监管办公室原党组书记、监管专员何淑兰接受纪律审查和监察调查</w:t>
        </w:r>
      </w:hyperlink>
      <w:r>
        <w:rPr>
          <w:rFonts w:ascii="微软雅黑" w:hAnsi="微软雅黑" w:eastAsia="微软雅黑" w:cs="微软雅黑"/>
        </w:rPr>
      </w:r>
    </w:p>
    <w:p>
      <w:pPr>
        <w:spacing w:after="0" w:line="20" w:lineRule="exact"/>
      </w:pPr>
      <w:bookmarkStart w:id="5" w:name="source-17868"/>
      <w:bookmarkEnd w:id="5" w:name="source-17868"/>
    </w:p>
    <w:p>
      <w:pPr>
        <w:pStyle w:val="ListBullet"/>
      </w:pPr>
      <w:r>
        <w:rPr>
          <w:rFonts w:ascii="微软雅黑" w:hAnsi="微软雅黑" w:eastAsia="微软雅黑" w:cs="微软雅黑"/>
        </w:rPr>
        <w:t>[5] 人民财讯等｜</w:t>
      </w:r>
      <w:hyperlink r:id="rId15">
        <w:r>
          <w:rPr>
            <w:rFonts w:ascii="微软雅黑" w:hAnsi="微软雅黑" w:eastAsia="微软雅黑" w:cs="微软雅黑"/>
            <w:color w:val="087E89"/>
          </w:rPr>
          <w:t>三部门：到2028年内河新能源船舶保有量较2025年翻倍</w:t>
        </w:r>
      </w:hyperlink>
      <w:r>
        <w:rPr>
          <w:rFonts w:ascii="微软雅黑" w:hAnsi="微软雅黑" w:eastAsia="微软雅黑" w:cs="微软雅黑"/>
        </w:rPr>
      </w:r>
    </w:p>
    <w:p>
      <w:pPr>
        <w:spacing w:after="0" w:line="20" w:lineRule="exact"/>
      </w:pPr>
      <w:bookmarkStart w:id="6" w:name="source-18021"/>
      <w:bookmarkEnd w:id="6" w:name="source-18021"/>
    </w:p>
    <w:p>
      <w:pPr>
        <w:pStyle w:val="ListBullet"/>
      </w:pPr>
      <w:r>
        <w:rPr>
          <w:rFonts w:ascii="微软雅黑" w:hAnsi="微软雅黑" w:eastAsia="微软雅黑" w:cs="微软雅黑"/>
        </w:rPr>
        <w:t>[6] 中国新闻网｜</w:t>
      </w:r>
      <w:hyperlink r:id="rId16">
        <w:r>
          <w:rPr>
            <w:rFonts w:ascii="微软雅黑" w:hAnsi="微软雅黑" w:eastAsia="微软雅黑" w:cs="微软雅黑"/>
            <w:color w:val="087E89"/>
          </w:rPr>
          <w:t>三部门：到2028年，内河新能源船舶保有量较2025年翻倍</w:t>
        </w:r>
      </w:hyperlink>
      <w:r>
        <w:rPr>
          <w:rFonts w:ascii="微软雅黑" w:hAnsi="微软雅黑" w:eastAsia="微软雅黑" w:cs="微软雅黑"/>
        </w:rPr>
      </w:r>
    </w:p>
    <w:p>
      <w:pPr>
        <w:spacing w:after="0" w:line="20" w:lineRule="exact"/>
      </w:pPr>
      <w:bookmarkStart w:id="7" w:name="source-18412"/>
      <w:bookmarkEnd w:id="7" w:name="source-18412"/>
    </w:p>
    <w:p>
      <w:pPr>
        <w:pStyle w:val="ListBullet"/>
      </w:pPr>
      <w:r>
        <w:rPr>
          <w:rFonts w:ascii="微软雅黑" w:hAnsi="微软雅黑" w:eastAsia="微软雅黑" w:cs="微软雅黑"/>
        </w:rPr>
        <w:t>[7] 中国能源新闻网｜</w:t>
      </w:r>
      <w:hyperlink r:id="rId17">
        <w:r>
          <w:rPr>
            <w:rFonts w:ascii="微软雅黑" w:hAnsi="微软雅黑" w:eastAsia="微软雅黑" w:cs="微软雅黑"/>
            <w:color w:val="087E89"/>
          </w:rPr>
          <w:t>三部门印发内河新能源船舶推广应用行动方案</w:t>
        </w:r>
      </w:hyperlink>
      <w:r>
        <w:rPr>
          <w:rFonts w:ascii="微软雅黑" w:hAnsi="微软雅黑" w:eastAsia="微软雅黑" w:cs="微软雅黑"/>
        </w:rPr>
      </w:r>
    </w:p>
    <w:p>
      <w:pPr>
        <w:spacing w:after="0" w:line="20" w:lineRule="exact"/>
      </w:pPr>
      <w:bookmarkStart w:id="8" w:name="source-17607"/>
      <w:bookmarkEnd w:id="8" w:name="source-17607"/>
    </w:p>
    <w:p>
      <w:pPr>
        <w:pStyle w:val="ListBullet"/>
      </w:pPr>
      <w:r>
        <w:rPr>
          <w:rFonts w:ascii="微软雅黑" w:hAnsi="微软雅黑" w:eastAsia="微软雅黑" w:cs="微软雅黑"/>
        </w:rPr>
        <w:t>[8] 中国能源网｜</w:t>
      </w:r>
      <w:hyperlink r:id="rId18">
        <w:r>
          <w:rPr>
            <w:rFonts w:ascii="微软雅黑" w:hAnsi="微软雅黑" w:eastAsia="微软雅黑" w:cs="微软雅黑"/>
            <w:color w:val="087E89"/>
          </w:rPr>
          <w:t>9月新能源汽车出口同比增1.6倍</w:t>
        </w:r>
      </w:hyperlink>
      <w:r>
        <w:rPr>
          <w:rFonts w:ascii="微软雅黑" w:hAnsi="微软雅黑" w:eastAsia="微软雅黑" w:cs="微软雅黑"/>
        </w:rPr>
      </w:r>
    </w:p>
    <w:p>
      <w:pPr>
        <w:spacing w:after="0" w:line="20" w:lineRule="exact"/>
      </w:pPr>
      <w:bookmarkStart w:id="9" w:name="source-17714"/>
      <w:bookmarkEnd w:id="9" w:name="source-17714"/>
    </w:p>
    <w:p>
      <w:pPr>
        <w:pStyle w:val="ListBullet"/>
      </w:pPr>
      <w:r>
        <w:rPr>
          <w:rFonts w:ascii="微软雅黑" w:hAnsi="微软雅黑" w:eastAsia="微软雅黑" w:cs="微软雅黑"/>
        </w:rPr>
        <w:t>[9] 中国能源新闻网｜</w:t>
      </w:r>
      <w:hyperlink r:id="rId19">
        <w:r>
          <w:rPr>
            <w:rFonts w:ascii="微软雅黑" w:hAnsi="微软雅黑" w:eastAsia="微软雅黑" w:cs="微软雅黑"/>
            <w:color w:val="087E89"/>
          </w:rPr>
          <w:t>新能源汽车月度新车销量占比连续三个月突破60%</w:t>
        </w:r>
      </w:hyperlink>
      <w:r>
        <w:rPr>
          <w:rFonts w:ascii="微软雅黑" w:hAnsi="微软雅黑" w:eastAsia="微软雅黑" w:cs="微软雅黑"/>
        </w:rPr>
      </w:r>
    </w:p>
    <w:p>
      <w:pPr>
        <w:spacing w:after="0" w:line="20" w:lineRule="exact"/>
      </w:pPr>
      <w:bookmarkStart w:id="10" w:name="source-18461"/>
      <w:bookmarkEnd w:id="10" w:name="source-18461"/>
    </w:p>
    <w:p>
      <w:pPr>
        <w:pStyle w:val="ListBullet"/>
      </w:pPr>
      <w:r>
        <w:rPr>
          <w:rFonts w:ascii="微软雅黑" w:hAnsi="微软雅黑" w:eastAsia="微软雅黑" w:cs="微软雅黑"/>
        </w:rPr>
        <w:t>[10] Utility Dive｜</w:t>
      </w:r>
      <w:hyperlink r:id="rId20">
        <w:r>
          <w:rPr>
            <w:rFonts w:ascii="微软雅黑" w:hAnsi="微软雅黑" w:eastAsia="微软雅黑" w:cs="微软雅黑"/>
            <w:color w:val="087E89"/>
          </w:rPr>
          <w:t>FERC批准Duke大负荷输电规则，尽管存在成本转嫁担忧</w:t>
        </w:r>
      </w:hyperlink>
      <w:r>
        <w:rPr>
          <w:rFonts w:ascii="微软雅黑" w:hAnsi="微软雅黑" w:eastAsia="微软雅黑" w:cs="微软雅黑"/>
        </w:rPr>
      </w:r>
    </w:p>
    <w:p>
      <w:pPr>
        <w:spacing w:after="0" w:line="20" w:lineRule="exact"/>
      </w:pPr>
      <w:bookmarkStart w:id="11" w:name="source-18410"/>
      <w:bookmarkEnd w:id="11" w:name="source-18410"/>
    </w:p>
    <w:p>
      <w:pPr>
        <w:pStyle w:val="ListBullet"/>
      </w:pPr>
      <w:r>
        <w:rPr>
          <w:rFonts w:ascii="微软雅黑" w:hAnsi="微软雅黑" w:eastAsia="微软雅黑" w:cs="微软雅黑"/>
        </w:rPr>
        <w:t>[11] 中国能源新闻网｜</w:t>
      </w:r>
      <w:hyperlink r:id="rId21">
        <w:r>
          <w:rPr>
            <w:rFonts w:ascii="微软雅黑" w:hAnsi="微软雅黑" w:eastAsia="微软雅黑" w:cs="微软雅黑"/>
            <w:color w:val="087E89"/>
          </w:rPr>
          <w:t>绿氢规模化发展五大瓶颈与五招破局</w:t>
        </w:r>
      </w:hyperlink>
      <w:r>
        <w:rPr>
          <w:rFonts w:ascii="微软雅黑" w:hAnsi="微软雅黑" w:eastAsia="微软雅黑" w:cs="微软雅黑"/>
        </w:rPr>
      </w:r>
    </w:p>
    <w:p>
      <w:pPr>
        <w:spacing w:after="0" w:line="20" w:lineRule="exact"/>
      </w:pPr>
      <w:bookmarkStart w:id="12" w:name="source-18377"/>
      <w:bookmarkEnd w:id="12" w:name="source-18377"/>
    </w:p>
    <w:p>
      <w:pPr>
        <w:pStyle w:val="ListBullet"/>
      </w:pPr>
      <w:r>
        <w:rPr>
          <w:rFonts w:ascii="微软雅黑" w:hAnsi="微软雅黑" w:eastAsia="微软雅黑" w:cs="微软雅黑"/>
        </w:rPr>
        <w:t>[12] 世界核新闻｜</w:t>
      </w:r>
      <w:hyperlink r:id="rId22">
        <w:r>
          <w:rPr>
            <w:rFonts w:ascii="微软雅黑" w:hAnsi="微软雅黑" w:eastAsia="微软雅黑" w:cs="微软雅黑"/>
            <w:color w:val="087E89"/>
          </w:rPr>
          <w:t>第二座波兰核电站协议签署</w:t>
        </w:r>
      </w:hyperlink>
      <w:r>
        <w:rPr>
          <w:rFonts w:ascii="微软雅黑" w:hAnsi="微软雅黑" w:eastAsia="微软雅黑" w:cs="微软雅黑"/>
        </w:rPr>
      </w:r>
    </w:p>
    <w:p>
      <w:pPr>
        <w:spacing w:after="0" w:line="20" w:lineRule="exact"/>
      </w:pPr>
      <w:bookmarkStart w:id="13" w:name="source-18318"/>
      <w:bookmarkEnd w:id="13" w:name="source-18318"/>
    </w:p>
    <w:p>
      <w:pPr>
        <w:pStyle w:val="ListBullet"/>
      </w:pPr>
      <w:r>
        <w:rPr>
          <w:rFonts w:ascii="微软雅黑" w:hAnsi="微软雅黑" w:eastAsia="微软雅黑" w:cs="微软雅黑"/>
        </w:rPr>
        <w:t>[13] 巴西矿产与能源部｜</w:t>
      </w:r>
      <w:hyperlink r:id="rId23">
        <w:r>
          <w:rPr>
            <w:rFonts w:ascii="微软雅黑" w:hAnsi="微软雅黑" w:eastAsia="微软雅黑" w:cs="微软雅黑"/>
            <w:color w:val="087E89"/>
          </w:rPr>
          <w:t>MME 开放公众咨询，以完善电力行业计算机模型的治理</w:t>
        </w:r>
      </w:hyperlink>
      <w:r>
        <w:rPr>
          <w:rFonts w:ascii="微软雅黑" w:hAnsi="微软雅黑" w:eastAsia="微软雅黑" w:cs="微软雅黑"/>
        </w:rPr>
      </w:r>
    </w:p>
    <w:p>
      <w:pPr>
        <w:spacing w:after="0" w:line="20" w:lineRule="exact"/>
      </w:pPr>
      <w:bookmarkStart w:id="14" w:name="source-18262"/>
      <w:bookmarkEnd w:id="14" w:name="source-18262"/>
    </w:p>
    <w:p>
      <w:pPr>
        <w:pStyle w:val="ListBullet"/>
      </w:pPr>
      <w:r>
        <w:rPr>
          <w:rFonts w:ascii="微软雅黑" w:hAnsi="微软雅黑" w:eastAsia="微软雅黑" w:cs="微软雅黑"/>
        </w:rPr>
        <w:t>[14] Solarbe(光伏网)｜</w:t>
      </w:r>
      <w:hyperlink r:id="rId24">
        <w:r>
          <w:rPr>
            <w:rFonts w:ascii="微软雅黑" w:hAnsi="微软雅黑" w:eastAsia="微软雅黑" w:cs="微软雅黑"/>
            <w:color w:val="087E89"/>
          </w:rPr>
          <w:t>河北开展多用户绿电直连申报工作</w:t>
        </w:r>
      </w:hyperlink>
      <w:r>
        <w:rPr>
          <w:rFonts w:ascii="微软雅黑" w:hAnsi="微软雅黑" w:eastAsia="微软雅黑" w:cs="微软雅黑"/>
        </w:rPr>
      </w:r>
    </w:p>
    <w:p>
      <w:pPr>
        <w:spacing w:after="0" w:line="20" w:lineRule="exact"/>
      </w:pPr>
      <w:bookmarkStart w:id="15" w:name="source-18035"/>
      <w:bookmarkEnd w:id="15" w:name="source-18035"/>
    </w:p>
    <w:p>
      <w:pPr>
        <w:pStyle w:val="ListBullet"/>
      </w:pPr>
      <w:r>
        <w:rPr>
          <w:rFonts w:ascii="微软雅黑" w:hAnsi="微软雅黑" w:eastAsia="微软雅黑" w:cs="微软雅黑"/>
        </w:rPr>
        <w:t>[15] 澳大利亚可再生能源新闻｜</w:t>
      </w:r>
      <w:hyperlink r:id="rId25">
        <w:r>
          <w:rPr>
            <w:rFonts w:ascii="微软雅黑" w:hAnsi="微软雅黑" w:eastAsia="微软雅黑" w:cs="微软雅黑"/>
            <w:color w:val="087E89"/>
          </w:rPr>
          <w:t>“一个大问题”：大型电池开发商表示，取消输电线路与推迟煤炭关闭同样糟糕</w:t>
        </w:r>
      </w:hyperlink>
      <w:r>
        <w:rPr>
          <w:rFonts w:ascii="微软雅黑" w:hAnsi="微软雅黑" w:eastAsia="微软雅黑" w:cs="微软雅黑"/>
        </w:rPr>
      </w:r>
    </w:p>
    <w:p>
      <w:pPr>
        <w:spacing w:after="0" w:line="20" w:lineRule="exact"/>
      </w:pPr>
      <w:bookmarkStart w:id="16" w:name="source-18027"/>
      <w:bookmarkEnd w:id="16" w:name="source-18027"/>
    </w:p>
    <w:p>
      <w:pPr>
        <w:pStyle w:val="ListBullet"/>
      </w:pPr>
      <w:r>
        <w:rPr>
          <w:rFonts w:ascii="微软雅黑" w:hAnsi="微软雅黑" w:eastAsia="微软雅黑" w:cs="微软雅黑"/>
        </w:rPr>
        <w:t>[16] 国家能源局｜</w:t>
      </w:r>
      <w:hyperlink r:id="rId26">
        <w:r>
          <w:rPr>
            <w:rFonts w:ascii="微软雅黑" w:hAnsi="微软雅黑" w:eastAsia="微软雅黑" w:cs="微软雅黑"/>
            <w:color w:val="087E89"/>
          </w:rPr>
          <w:t>“华龙一号自主创新之路”媒体行走进华能昌江核电</w:t>
        </w:r>
      </w:hyperlink>
      <w:r>
        <w:rPr>
          <w:rFonts w:ascii="微软雅黑" w:hAnsi="微软雅黑" w:eastAsia="微软雅黑" w:cs="微软雅黑"/>
        </w:rPr>
      </w:r>
    </w:p>
    <w:p>
      <w:pPr>
        <w:spacing w:after="0" w:line="20" w:lineRule="exact"/>
      </w:pPr>
      <w:bookmarkStart w:id="17" w:name="source-17716"/>
      <w:bookmarkEnd w:id="17" w:name="source-17716"/>
    </w:p>
    <w:p>
      <w:pPr>
        <w:pStyle w:val="ListBullet"/>
      </w:pPr>
      <w:r>
        <w:rPr>
          <w:rFonts w:ascii="微软雅黑" w:hAnsi="微软雅黑" w:eastAsia="微软雅黑" w:cs="微软雅黑"/>
        </w:rPr>
        <w:t>[17] 中国能源新闻网｜</w:t>
      </w:r>
      <w:hyperlink r:id="rId27">
        <w:r>
          <w:rPr>
            <w:rFonts w:ascii="微软雅黑" w:hAnsi="微软雅黑" w:eastAsia="微软雅黑" w:cs="微软雅黑"/>
            <w:color w:val="087E89"/>
          </w:rPr>
          <w:t>贵州省能源局关于印发《贵州省煤炭洗选管理办法（试行）》的通知</w:t>
        </w:r>
      </w:hyperlink>
      <w:r>
        <w:rPr>
          <w:rFonts w:ascii="微软雅黑" w:hAnsi="微软雅黑" w:eastAsia="微软雅黑" w:cs="微软雅黑"/>
        </w:rPr>
      </w:r>
    </w:p>
    <w:p>
      <w:pPr>
        <w:spacing w:after="0" w:line="20" w:lineRule="exact"/>
      </w:pPr>
      <w:bookmarkStart w:id="18" w:name="source-18513"/>
      <w:bookmarkEnd w:id="18" w:name="source-18513"/>
    </w:p>
    <w:p>
      <w:pPr>
        <w:pStyle w:val="ListBullet"/>
      </w:pPr>
      <w:r>
        <w:rPr>
          <w:rFonts w:ascii="微软雅黑" w:hAnsi="微软雅黑" w:eastAsia="微软雅黑" w:cs="微软雅黑"/>
        </w:rPr>
        <w:t>[18] 中国能源新闻网｜</w:t>
      </w:r>
      <w:hyperlink r:id="rId28">
        <w:r>
          <w:rPr>
            <w:rFonts w:ascii="微软雅黑" w:hAnsi="微软雅黑" w:eastAsia="微软雅黑" w:cs="微软雅黑"/>
            <w:color w:val="087E89"/>
          </w:rPr>
          <w:t>自然资源部、国家发展改革委发布《矿产资源目录》</w:t>
        </w:r>
      </w:hyperlink>
      <w:r>
        <w:rPr>
          <w:rFonts w:ascii="微软雅黑" w:hAnsi="微软雅黑" w:eastAsia="微软雅黑" w:cs="微软雅黑"/>
        </w:rPr>
      </w:r>
    </w:p>
    <w:p>
      <w:pPr>
        <w:spacing w:after="0" w:line="20" w:lineRule="exact"/>
      </w:pPr>
      <w:bookmarkStart w:id="19" w:name="source-17491"/>
      <w:bookmarkEnd w:id="19" w:name="source-17491"/>
    </w:p>
    <w:p>
      <w:pPr>
        <w:pStyle w:val="ListBullet"/>
      </w:pPr>
      <w:r>
        <w:rPr>
          <w:rFonts w:ascii="微软雅黑" w:hAnsi="微软雅黑" w:eastAsia="微软雅黑" w:cs="微软雅黑"/>
        </w:rPr>
        <w:t>[19] 上海证券报｜</w:t>
      </w:r>
      <w:hyperlink r:id="rId29">
        <w:r>
          <w:rPr>
            <w:rFonts w:ascii="微软雅黑" w:hAnsi="微软雅黑" w:eastAsia="微软雅黑" w:cs="微软雅黑"/>
            <w:color w:val="087E89"/>
          </w:rPr>
          <w:t>新奥天然气股份有限公司关于2026年半年度利润分配预案的公告</w:t>
        </w:r>
      </w:hyperlink>
      <w:r>
        <w:rPr>
          <w:rFonts w:ascii="微软雅黑" w:hAnsi="微软雅黑" w:eastAsia="微软雅黑" w:cs="微软雅黑"/>
        </w:rPr>
      </w:r>
    </w:p>
    <w:p>
      <w:pPr>
        <w:spacing w:after="0" w:line="20" w:lineRule="exact"/>
      </w:pPr>
      <w:bookmarkStart w:id="20" w:name="source-18393"/>
      <w:bookmarkEnd w:id="20" w:name="source-18393"/>
    </w:p>
    <w:p>
      <w:pPr>
        <w:pStyle w:val="ListBullet"/>
      </w:pPr>
      <w:r>
        <w:rPr>
          <w:rFonts w:ascii="微软雅黑" w:hAnsi="微软雅黑" w:eastAsia="微软雅黑" w:cs="微软雅黑"/>
        </w:rPr>
        <w:t>[20] 新华社国际要闻（战略与能源）｜</w:t>
      </w:r>
      <w:hyperlink r:id="rId30">
        <w:r>
          <w:rPr>
            <w:rFonts w:ascii="微软雅黑" w:hAnsi="微软雅黑" w:eastAsia="微软雅黑" w:cs="微软雅黑"/>
            <w:color w:val="087E89"/>
          </w:rPr>
          <w:t>沙特空袭也门首都一处石油设施 胡塞武装威胁报复</w:t>
        </w:r>
      </w:hyperlink>
      <w:r>
        <w:rPr>
          <w:rFonts w:ascii="微软雅黑" w:hAnsi="微软雅黑" w:eastAsia="微软雅黑" w:cs="微软雅黑"/>
        </w:rPr>
      </w:r>
    </w:p>
    <w:p>
      <w:pPr>
        <w:spacing w:after="0" w:line="20" w:lineRule="exact"/>
      </w:pPr>
      <w:bookmarkStart w:id="21" w:name="source-17501"/>
      <w:bookmarkEnd w:id="21" w:name="source-17501"/>
    </w:p>
    <w:p>
      <w:pPr>
        <w:pStyle w:val="ListBullet"/>
      </w:pPr>
      <w:r>
        <w:rPr>
          <w:rFonts w:ascii="微软雅黑" w:hAnsi="微软雅黑" w:eastAsia="微软雅黑" w:cs="微软雅黑"/>
        </w:rPr>
        <w:t>[21] Vanguard News｜</w:t>
      </w:r>
      <w:hyperlink r:id="rId31">
        <w:r>
          <w:rPr>
            <w:rFonts w:ascii="微软雅黑" w:hAnsi="微软雅黑" w:eastAsia="微软雅黑" w:cs="微软雅黑"/>
            <w:color w:val="087E89"/>
          </w:rPr>
          <w:t>胡塞官员警告：若美国介入也门战争，将作出“迅速而痛苦的回应”</w:t>
        </w:r>
      </w:hyperlink>
      <w:r>
        <w:rPr>
          <w:rFonts w:ascii="微软雅黑" w:hAnsi="微软雅黑" w:eastAsia="微软雅黑" w:cs="微软雅黑"/>
        </w:rPr>
      </w:r>
    </w:p>
    <w:p>
      <w:pPr>
        <w:spacing w:after="0" w:line="20" w:lineRule="exact"/>
      </w:pPr>
      <w:bookmarkStart w:id="22" w:name="source-18395"/>
      <w:bookmarkEnd w:id="22" w:name="source-18395"/>
    </w:p>
    <w:p>
      <w:pPr>
        <w:pStyle w:val="ListBullet"/>
      </w:pPr>
      <w:r>
        <w:rPr>
          <w:rFonts w:ascii="微软雅黑" w:hAnsi="微软雅黑" w:eastAsia="微软雅黑" w:cs="微软雅黑"/>
        </w:rPr>
        <w:t>[22] 加拿大能源与自然资源部｜</w:t>
      </w:r>
      <w:hyperlink r:id="rId32">
        <w:r>
          <w:rPr>
            <w:rFonts w:ascii="微软雅黑" w:hAnsi="微软雅黑" w:eastAsia="微软雅黑" w:cs="微软雅黑"/>
            <w:color w:val="087E89"/>
          </w:rPr>
          <w:t>加拿大对新不伦瑞克省作出里程碑式清洁能源投资，以推动经济与能源安全，并提升气候竞争力</w:t>
        </w:r>
      </w:hyperlink>
      <w:r>
        <w:rPr>
          <w:rFonts w:ascii="微软雅黑" w:hAnsi="微软雅黑" w:eastAsia="微软雅黑" w:cs="微软雅黑"/>
        </w:rPr>
      </w:r>
    </w:p>
    <w:p>
      <w:pPr>
        <w:spacing w:after="0" w:line="20" w:lineRule="exact"/>
      </w:pPr>
      <w:bookmarkStart w:id="23" w:name="source-18512"/>
      <w:bookmarkEnd w:id="23" w:name="source-18512"/>
    </w:p>
    <w:p>
      <w:pPr>
        <w:pStyle w:val="ListBullet"/>
      </w:pPr>
      <w:r>
        <w:rPr>
          <w:rFonts w:ascii="微软雅黑" w:hAnsi="微软雅黑" w:eastAsia="微软雅黑" w:cs="微软雅黑"/>
        </w:rPr>
        <w:t>[23] 中国能源新闻网｜</w:t>
      </w:r>
      <w:hyperlink r:id="rId33">
        <w:r>
          <w:rPr>
            <w:rFonts w:ascii="微软雅黑" w:hAnsi="微软雅黑" w:eastAsia="微软雅黑" w:cs="微软雅黑"/>
            <w:color w:val="087E89"/>
          </w:rPr>
          <w:t>《内河新能源船舶推广应用行动方案（2026—2030年）》政策解读</w:t>
        </w:r>
      </w:hyperlink>
      <w:r>
        <w:rPr>
          <w:rFonts w:ascii="微软雅黑" w:hAnsi="微软雅黑" w:eastAsia="微软雅黑" w:cs="微软雅黑"/>
        </w:rPr>
      </w:r>
    </w:p>
    <w:p>
      <w:pPr>
        <w:spacing w:after="0" w:line="20" w:lineRule="exact"/>
      </w:pPr>
      <w:bookmarkStart w:id="24" w:name="source-17922"/>
      <w:bookmarkEnd w:id="24" w:name="source-17922"/>
    </w:p>
    <w:p>
      <w:pPr>
        <w:pStyle w:val="ListBullet"/>
      </w:pPr>
      <w:r>
        <w:rPr>
          <w:rFonts w:ascii="微软雅黑" w:hAnsi="微软雅黑" w:eastAsia="微软雅黑" w:cs="微软雅黑"/>
        </w:rPr>
        <w:t>[24] 智通财经｜</w:t>
      </w:r>
      <w:hyperlink r:id="rId34">
        <w:r>
          <w:rPr>
            <w:rFonts w:ascii="微软雅黑" w:hAnsi="微软雅黑" w:eastAsia="微软雅黑" w:cs="微软雅黑"/>
            <w:color w:val="087E89"/>
          </w:rPr>
          <w:t>交通运输部等三部门印发行动方案 分场景推动内河新能源船舶推广应用</w:t>
        </w:r>
      </w:hyperlink>
      <w:r>
        <w:rPr>
          <w:rFonts w:ascii="微软雅黑" w:hAnsi="微软雅黑" w:eastAsia="微软雅黑" w:cs="微软雅黑"/>
        </w:rPr>
      </w:r>
    </w:p>
    <w:p>
      <w:pPr>
        <w:spacing w:after="0" w:line="20" w:lineRule="exact"/>
      </w:pPr>
      <w:bookmarkStart w:id="25" w:name="source-17866"/>
      <w:bookmarkEnd w:id="25" w:name="source-17866"/>
    </w:p>
    <w:p>
      <w:pPr>
        <w:pStyle w:val="ListBullet"/>
      </w:pPr>
      <w:r>
        <w:rPr>
          <w:rFonts w:ascii="微软雅黑" w:hAnsi="微软雅黑" w:eastAsia="微软雅黑" w:cs="微软雅黑"/>
        </w:rPr>
        <w:t>[25] 人民财讯等｜</w:t>
      </w:r>
      <w:hyperlink r:id="rId35">
        <w:r>
          <w:rPr>
            <w:rFonts w:ascii="微软雅黑" w:hAnsi="微软雅黑" w:eastAsia="微软雅黑" w:cs="微软雅黑"/>
            <w:color w:val="087E89"/>
          </w:rPr>
          <w:t>三部门：鼓励因地制宜对新能源船舶过闸、靠离泊、装卸等提供支持政策</w:t>
        </w:r>
      </w:hyperlink>
      <w:r>
        <w:rPr>
          <w:rFonts w:ascii="微软雅黑" w:hAnsi="微软雅黑" w:eastAsia="微软雅黑" w:cs="微软雅黑"/>
        </w:rPr>
      </w:r>
    </w:p>
    <w:p>
      <w:pPr>
        <w:spacing w:after="0" w:line="20" w:lineRule="exact"/>
      </w:pPr>
      <w:bookmarkStart w:id="26" w:name="source-17864"/>
      <w:bookmarkEnd w:id="26" w:name="source-17864"/>
    </w:p>
    <w:p>
      <w:pPr>
        <w:pStyle w:val="ListBullet"/>
      </w:pPr>
      <w:r>
        <w:rPr>
          <w:rFonts w:ascii="微软雅黑" w:hAnsi="微软雅黑" w:eastAsia="微软雅黑" w:cs="微软雅黑"/>
        </w:rPr>
        <w:t>[26] 人民财讯等｜</w:t>
      </w:r>
      <w:hyperlink r:id="rId36">
        <w:r>
          <w:rPr>
            <w:rFonts w:ascii="微软雅黑" w:hAnsi="微软雅黑" w:eastAsia="微软雅黑" w:cs="微软雅黑"/>
            <w:color w:val="087E89"/>
          </w:rPr>
          <w:t>三部门：加大甲醇、电等新能源船舶建造及补能设施建设运营支持力度</w:t>
        </w:r>
      </w:hyperlink>
      <w:r>
        <w:rPr>
          <w:rFonts w:ascii="微软雅黑" w:hAnsi="微软雅黑" w:eastAsia="微软雅黑" w:cs="微软雅黑"/>
        </w:rPr>
      </w:r>
    </w:p>
    <w:p>
      <w:pPr>
        <w:spacing w:after="0" w:line="20" w:lineRule="exact"/>
      </w:pPr>
      <w:bookmarkStart w:id="27" w:name="source-18350"/>
      <w:bookmarkEnd w:id="27" w:name="source-18350"/>
    </w:p>
    <w:p>
      <w:pPr>
        <w:pStyle w:val="ListBullet"/>
      </w:pPr>
      <w:r>
        <w:rPr>
          <w:rFonts w:ascii="微软雅黑" w:hAnsi="微软雅黑" w:eastAsia="微软雅黑" w:cs="微软雅黑"/>
        </w:rPr>
        <w:t>[27] OGN News｜</w:t>
      </w:r>
      <w:hyperlink r:id="rId37">
        <w:r>
          <w:rPr>
            <w:rFonts w:ascii="微软雅黑" w:hAnsi="微软雅黑" w:eastAsia="微软雅黑" w:cs="微软雅黑"/>
            <w:color w:val="087E89"/>
          </w:rPr>
          <w:t>Elsewedy Electric 合资企业获得价值 22 亿美元的 Rabigh 2 IPP 项目合同</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stcn.com/article/detail/4215125.html" TargetMode="External"/><Relationship Id="rId12" Type="http://schemas.openxmlformats.org/officeDocument/2006/relationships/hyperlink" Target="https://www.aa.com.tr/en/energy/general/qatar-supplies-around-one-fifth-of-global-lng-trade-disruptions-affect-global-markets-emir-says/60210" TargetMode="External"/><Relationship Id="rId13" Type="http://schemas.openxmlformats.org/officeDocument/2006/relationships/hyperlink" Target="https://www.chinanews.com.cn/gj/2026/10-13/10713500.shtml" TargetMode="External"/><Relationship Id="rId14" Type="http://schemas.openxmlformats.org/officeDocument/2006/relationships/hyperlink" Target="https://news.cctv.com/2026/10/13/ARTIGOckcgmmWaKQ80SC9AMk261013.shtml" TargetMode="External"/><Relationship Id="rId15" Type="http://schemas.openxmlformats.org/officeDocument/2006/relationships/hyperlink" Target="https://www.stcn.com/article/detail/4214210.html" TargetMode="External"/><Relationship Id="rId16" Type="http://schemas.openxmlformats.org/officeDocument/2006/relationships/hyperlink" Target="https://www.chinanews.com.cn/gn/2026/10-13/10713807.shtml" TargetMode="External"/><Relationship Id="rId17" Type="http://schemas.openxmlformats.org/officeDocument/2006/relationships/hyperlink" Target="https://www.cpnn.com.cn/news/xwtt/202610/t20261013_1919737.html" TargetMode="External"/><Relationship Id="rId18" Type="http://schemas.openxmlformats.org/officeDocument/2006/relationships/hyperlink" Target="https://www.china5e.com/news/news-1210299-1.html" TargetMode="External"/><Relationship Id="rId19" Type="http://schemas.openxmlformats.org/officeDocument/2006/relationships/hyperlink" Target="https://www.cpnn.com.cn/news/xny/202610/t20261013_1919535.html" TargetMode="External"/><Relationship Id="rId20" Type="http://schemas.openxmlformats.org/officeDocument/2006/relationships/hyperlink" Target="https://www.utilitydive.com/news/ferc-duke-energy-large-load-tariff-nitsa/832847/" TargetMode="External"/><Relationship Id="rId21" Type="http://schemas.openxmlformats.org/officeDocument/2006/relationships/hyperlink" Target="https://www.cpnn.com.cn/news/zngc/202610/t20261013_1919678.html" TargetMode="External"/><Relationship Id="rId22" Type="http://schemas.openxmlformats.org/officeDocument/2006/relationships/hyperlink" Target="https://www.world-nuclear-news.org/articles/agreement-signed-on-second-polish-nuclear-power-plant" TargetMode="External"/><Relationship Id="rId23" Type="http://schemas.openxmlformats.org/officeDocument/2006/relationships/hyperlink" Target="https://www.gov.br/mme/pt-br/assuntos/noticias/mme-abre-consulta-publica-para-aprimorar-a-governanca-dos-modelos-computacionais-do-setor-eletrico" TargetMode="External"/><Relationship Id="rId24" Type="http://schemas.openxmlformats.org/officeDocument/2006/relationships/hyperlink" Target="https://news.solarbe.com/202610/13/50030228.html" TargetMode="External"/><Relationship Id="rId25" Type="http://schemas.openxmlformats.org/officeDocument/2006/relationships/hyperlink" Target="https://reneweconomy.com.au/a-big-problem-big-battery-developer-says-cancelling-transmission-links-as-bad-as-delaying-coal-closures/?utm_source=rss&amp;utm_medium=rss&amp;utm_campaign=a-big-problem-big-battery-developer-says-cancelling-transmission-links-as-bad-as-delaying-coal-closures" TargetMode="External"/><Relationship Id="rId26" Type="http://schemas.openxmlformats.org/officeDocument/2006/relationships/hyperlink" Target="https://www.nea.gov.cn/20261013/a529aa191445427ea4ae20d005397c57/c.html" TargetMode="External"/><Relationship Id="rId27" Type="http://schemas.openxmlformats.org/officeDocument/2006/relationships/hyperlink" Target="https://www.cpnn.com.cn/news/mt/202610/t20261013_1919591.html" TargetMode="External"/><Relationship Id="rId28" Type="http://schemas.openxmlformats.org/officeDocument/2006/relationships/hyperlink" Target="https://www.cpnn.com.cn/news/hg/202610/t20261013_1919757.html" TargetMode="External"/><Relationship Id="rId29" Type="http://schemas.openxmlformats.org/officeDocument/2006/relationships/hyperlink" Target="https://paper.cnstock.com/html/2026-10/13/content_2276384.htm" TargetMode="External"/><Relationship Id="rId30" Type="http://schemas.openxmlformats.org/officeDocument/2006/relationships/hyperlink" Target="https://www.news.cn/world/20261013/381b7c8be3c847e0b7a9e2eaf09c7bc8/c.html" TargetMode="External"/><Relationship Id="rId31" Type="http://schemas.openxmlformats.org/officeDocument/2006/relationships/hyperlink" Target="https://www.vanguardngr.com/2026/10/houthi-official-warns-of-swift-painful-response-if-us-enters-yemen-war/" TargetMode="External"/><Relationship Id="rId32" Type="http://schemas.openxmlformats.org/officeDocument/2006/relationships/hyperlink" Target="https://www.canada.ca/en/natural-resources-canada/news/2026/10/canada-makes-milestone-clean-energy-investment-in-new-brunswick-to-drive-economic-and-energy-security-and-enhance-climate-competitiveness.html" TargetMode="External"/><Relationship Id="rId33" Type="http://schemas.openxmlformats.org/officeDocument/2006/relationships/hyperlink" Target="https://www.cpnn.com.cn/news/hy/202610/t20261013_1919760.html" TargetMode="External"/><Relationship Id="rId34" Type="http://schemas.openxmlformats.org/officeDocument/2006/relationships/hyperlink" Target="https://www.zhitongcaijing.com/content/detail/1506421.html" TargetMode="External"/><Relationship Id="rId35" Type="http://schemas.openxmlformats.org/officeDocument/2006/relationships/hyperlink" Target="https://www.stcn.com/article/detail/4214221.html" TargetMode="External"/><Relationship Id="rId36" Type="http://schemas.openxmlformats.org/officeDocument/2006/relationships/hyperlink" Target="https://www.stcn.com/article/detail/4214227.html" TargetMode="External"/><Relationship Id="rId37" Type="http://schemas.openxmlformats.org/officeDocument/2006/relationships/hyperlink" Target="https://ognnews.com/ArticleTA/487949/elsewedy-electric-jv-lands-contract-for-22bn-rabigh-2-ipp-proje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2026年10月13日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