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信息覆盖时段：2026-10-03 00:00 至 2026-10-04 00:00（不含），Asia/Shanghai。</w:t>
      </w:r>
    </w:p>
    <w:p>
      <w:pPr/>
      <w:r>
        <w:rPr>
          <w:rFonts w:ascii="微软雅黑" w:hAnsi="微软雅黑" w:eastAsia="微软雅黑" w:cs="微软雅黑"/>
        </w:rPr>
        <w:t>统计区间：2026-10-03 至 2026-10-04（结束日不含，北京时间）</w:t>
      </w:r>
    </w:p>
    <w:p>
      <w:pPr>
        <w:ind w:firstLine="420"/>
      </w:pPr>
      <w:r>
        <w:rPr>
          <w:rFonts w:ascii="微软雅黑" w:hAnsi="微软雅黑" w:eastAsia="微软雅黑" w:cs="微软雅黑"/>
        </w:rPr>
        <w:t>资料更新截止：2026-10-04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联合国人权高专警告俄袭能源设施加剧乌人道危机 </w:t>
      </w:r>
      <w:hyperlink w:anchor="source-1156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美财长称伊朗本周将无石油在海上运输 </w:t>
      </w:r>
      <w:hyperlink w:anchor="source-1169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美核心内阁闭门会议 万斯主持讨论中东局势 </w:t>
      </w:r>
      <w:hyperlink w:anchor="source-1167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宁夏腾格里“沙戈荒”基地配套调峰煤电全容量投产 </w:t>
      </w:r>
      <w:hyperlink w:anchor="source-1162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URIF批准在能源与关键矿产领域的额外投资与伙伴关系 </w:t>
      </w:r>
      <w:hyperlink w:anchor="source-11562">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宁夏腾格里“沙戈荒”基地配套新能源装机</w:t>
            </w:r>
          </w:p>
        </w:tc>
        <w:tc>
          <w:tcPr>
            <w:tcW w:type="dxa" w:w="2268"/>
          </w:tcPr>
          <w:p>
            <w:pPr>
              <w:spacing w:after="40"/>
            </w:pPr>
            <w:r>
              <w:rPr>
                <w:rFonts w:ascii="微软雅黑" w:hAnsi="微软雅黑" w:eastAsia="微软雅黑" w:cs="微软雅黑"/>
              </w:rPr>
              <w:t>1300万千瓦（风电400万千瓦+光伏900万千瓦）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2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中卫电厂4台660兆瓦机组设计年发电量</w:t>
            </w:r>
          </w:p>
        </w:tc>
        <w:tc>
          <w:tcPr>
            <w:tcW w:type="dxa" w:w="2268"/>
          </w:tcPr>
          <w:p>
            <w:pPr>
              <w:spacing w:after="40"/>
            </w:pPr>
            <w:r>
              <w:rPr>
                <w:rFonts w:ascii="微软雅黑" w:hAnsi="微软雅黑" w:eastAsia="微软雅黑" w:cs="微软雅黑"/>
              </w:rPr>
              <w:t>118亿千瓦时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2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中卫调峰煤电支撑清洁能源外送电量</w:t>
            </w:r>
          </w:p>
        </w:tc>
        <w:tc>
          <w:tcPr>
            <w:tcW w:type="dxa" w:w="2268"/>
          </w:tcPr>
          <w:p>
            <w:pPr>
              <w:spacing w:after="40"/>
            </w:pPr>
            <w:r>
              <w:rPr>
                <w:rFonts w:ascii="微软雅黑" w:hAnsi="微软雅黑" w:eastAsia="微软雅黑" w:cs="微软雅黑"/>
              </w:rPr>
              <w:t>220亿千瓦时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24">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哈萨克斯坦东莫尔达贝克油田数字孪生已计算情景数</w:t>
            </w:r>
          </w:p>
        </w:tc>
        <w:tc>
          <w:tcPr>
            <w:tcW w:type="dxa" w:w="2268"/>
          </w:tcPr>
          <w:p>
            <w:pPr>
              <w:spacing w:after="40"/>
            </w:pPr>
            <w:r>
              <w:rPr>
                <w:rFonts w:ascii="微软雅黑" w:hAnsi="微软雅黑" w:eastAsia="微软雅黑" w:cs="微软雅黑"/>
              </w:rPr>
              <w:t>约700个</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8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ҚМГ数字孪生推广计划覆盖油田数</w:t>
            </w:r>
          </w:p>
        </w:tc>
        <w:tc>
          <w:tcPr>
            <w:tcW w:type="dxa" w:w="2268"/>
          </w:tcPr>
          <w:p>
            <w:pPr>
              <w:spacing w:after="40"/>
            </w:pPr>
            <w:r>
              <w:rPr>
                <w:rFonts w:ascii="微软雅黑" w:hAnsi="微软雅黑" w:eastAsia="微软雅黑" w:cs="微软雅黑"/>
              </w:rPr>
              <w:t>12个（到2028年底）</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8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ҚМГ数字工具预计降低开采成本幅度</w:t>
            </w:r>
          </w:p>
        </w:tc>
        <w:tc>
          <w:tcPr>
            <w:tcW w:type="dxa" w:w="2268"/>
          </w:tcPr>
          <w:p>
            <w:pPr>
              <w:spacing w:after="40"/>
            </w:pPr>
            <w:r>
              <w:rPr>
                <w:rFonts w:ascii="微软雅黑" w:hAnsi="微软雅黑" w:eastAsia="微软雅黑" w:cs="微软雅黑"/>
              </w:rPr>
              <w:t>约5%</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82">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麦金太尔风电场当前并网出力</w:t>
            </w:r>
          </w:p>
        </w:tc>
        <w:tc>
          <w:tcPr>
            <w:tcW w:type="dxa" w:w="2268"/>
          </w:tcPr>
          <w:p>
            <w:pPr>
              <w:spacing w:after="40"/>
            </w:pPr>
            <w:r>
              <w:rPr>
                <w:rFonts w:ascii="微软雅黑" w:hAnsi="微软雅黑" w:eastAsia="微软雅黑" w:cs="微软雅黑"/>
              </w:rPr>
              <w:t>超过670兆瓦（约占总容量923兆瓦的73%）</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04">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CleanCo与麦金太尔风电场修订后购电协议规模</w:t>
            </w:r>
          </w:p>
        </w:tc>
        <w:tc>
          <w:tcPr>
            <w:tcW w:type="dxa" w:w="2268"/>
          </w:tcPr>
          <w:p>
            <w:pPr>
              <w:spacing w:after="40"/>
            </w:pPr>
            <w:r>
              <w:rPr>
                <w:rFonts w:ascii="微软雅黑" w:hAnsi="微软雅黑" w:eastAsia="微软雅黑" w:cs="微软雅黑"/>
              </w:rPr>
              <w:t>490兆瓦（此前为400兆瓦）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04">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Stanwell与麦金太尔风电场购电协议规模</w:t>
            </w:r>
          </w:p>
        </w:tc>
        <w:tc>
          <w:tcPr>
            <w:tcW w:type="dxa" w:w="2268"/>
          </w:tcPr>
          <w:p>
            <w:pPr>
              <w:spacing w:after="40"/>
            </w:pPr>
            <w:r>
              <w:rPr>
                <w:rFonts w:ascii="微软雅黑" w:hAnsi="微软雅黑" w:eastAsia="微软雅黑" w:cs="微软雅黑"/>
              </w:rPr>
              <w:t>150兆瓦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04">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流花油田二次开发项目累计生产和外输原油</w:t>
            </w:r>
          </w:p>
        </w:tc>
        <w:tc>
          <w:tcPr>
            <w:tcW w:type="dxa" w:w="2268"/>
          </w:tcPr>
          <w:p>
            <w:pPr>
              <w:spacing w:after="40"/>
            </w:pPr>
            <w:r>
              <w:rPr>
                <w:rFonts w:ascii="微软雅黑" w:hAnsi="微软雅黑" w:eastAsia="微软雅黑" w:cs="微软雅黑"/>
              </w:rPr>
              <w:t>突破200万吨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649">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美核心内阁闭门会议 万斯主持讨论中东局势</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未出席由副总统万斯主持的白宫核心内阁闭门会议，国务卿鲁比奥、国防部长赫格塞思、白宫特使威特科夫、中央情报局局长拉特克利夫及参谋长联席会议主席凯恩到场。白宫拒绝置评，仅一名官员表示“一些事情已经作出决定，或者至少得到了深入讨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五角大楼向中东增派第三个航母打击群及海军陆战队舰船，新增最多1万人，预计11月底到位，该地区已部署约5万美军。伊朗此前经卡塔尔提出七日重开霍尔木兹海峡方案，遭特朗普以“还不够好”为由公开拒绝。沙特正筹备数周内启动的大规模攻势，目标夺回胡塞武装上月攻占的曼德海峡沿岸，可能动员超10万也门部队；沙特同时敦促美国加入空袭，特朗普尚未同意。</w:t>
      </w:r>
    </w:p>
    <w:p>
      <w:pPr>
        <w:ind w:firstLine="420"/>
      </w:pPr>
      <w:r>
        <w:rPr>
          <w:rFonts w:ascii="微软雅黑" w:hAnsi="微软雅黑" w:eastAsia="微软雅黑" w:cs="微软雅黑"/>
        </w:rPr>
        <w:t>来源：</w:t>
      </w:r>
      <w:hyperlink w:anchor="source-11674">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2. 美伊纽约间接磋商无果 伊方按期回国</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22日和28日，美伊通过斡旋方卡塔尔进行两轮间接交流，未达成任何成果。伊朗外长阿拉格齐表示，双方仅围绕霍尔木兹海峡等议题交换信息，伊方通过调解方提交了重开霍尔木兹海峡的条件提议并收到美方回复，但未公布细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朗代表团于9月28日晚离开纽约，伊方称该行程安排已于9月17日提前告知美国国务院。宁夏大学中国阿拉伯国家研究院院长牛新春分析认为，美方加码军力部署意在迫使伊朗在中期选举前妥协并开放霍尔木兹海峡，以拉低国际油价。</w:t>
      </w:r>
    </w:p>
    <w:p>
      <w:pPr>
        <w:ind w:firstLine="420"/>
      </w:pPr>
      <w:r>
        <w:rPr>
          <w:rFonts w:ascii="微软雅黑" w:hAnsi="微软雅黑" w:eastAsia="微软雅黑" w:cs="微软雅黑"/>
        </w:rPr>
        <w:t>来源：</w:t>
      </w:r>
      <w:hyperlink w:anchor="source-11582">
        <w:r>
          <w:rPr>
            <w:rFonts w:ascii="微软雅黑" w:hAnsi="微软雅黑" w:eastAsia="微软雅黑" w:cs="微软雅黑"/>
            <w:color w:val="087E89"/>
          </w:rPr>
          <w:t>17</w:t>
        </w:r>
      </w:hyperlink>
      <w:r>
        <w:rPr>
          <w:rFonts w:ascii="微软雅黑" w:hAnsi="微软雅黑" w:eastAsia="微软雅黑" w:cs="微软雅黑"/>
        </w:rPr>
        <w:t xml:space="preserve"> </w:t>
      </w:r>
      <w:hyperlink w:anchor="source-11584">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11588">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3. 国际原子能机构称无人机袭击威胁扎波罗热核电站</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国际原子能机构当地时间10月3日表示，扎波罗热核电站周边近几周发生多起无人机袭击，导致部分关键供电设施受损，进一步威胁核电站安全。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国际原子能机构正与俄乌双方协调新一轮局部停火，以开展维修工作。该消息由人民财讯于10月3日发布，来源为央视新闻。</w:t>
      </w:r>
    </w:p>
    <w:p>
      <w:pPr>
        <w:ind w:firstLine="420"/>
      </w:pPr>
      <w:r>
        <w:rPr>
          <w:rFonts w:ascii="微软雅黑" w:hAnsi="微软雅黑" w:eastAsia="微软雅黑" w:cs="微软雅黑"/>
        </w:rPr>
        <w:t>来源：</w:t>
      </w:r>
      <w:hyperlink w:anchor="source-11660">
        <w:r>
          <w:rPr>
            <w:rFonts w:ascii="微软雅黑" w:hAnsi="微软雅黑" w:eastAsia="微软雅黑" w:cs="微软雅黑"/>
            <w:color w:val="087E89"/>
          </w:rPr>
          <w:t>29</w:t>
        </w:r>
      </w:hyperlink>
      <w:r>
        <w:rPr>
          <w:rFonts w:ascii="微软雅黑" w:hAnsi="微软雅黑" w:eastAsia="微软雅黑" w:cs="微软雅黑"/>
        </w:rPr>
      </w:r>
    </w:p>
    <w:p>
      <w:pPr>
        <w:pStyle w:val="Heading3"/>
      </w:pPr>
      <w:r>
        <w:rPr>
          <w:rFonts w:ascii="微软雅黑" w:hAnsi="微软雅黑" w:eastAsia="微软雅黑" w:cs="微软雅黑"/>
        </w:rPr>
        <w:t>4. 美财长称伊朗本周将无石油在海上运输</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美国财长贝森特表示，本周伊朗将没有任何石油在海上运输，也不会获得相关收入，并称这是自伊朗开始开采石油以来首次出现这一情况。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贝森特称，美国此前已采取“动能”行动，通过军事打击摧毁了伊朗海军和空军，大幅削弱其无人机和导弹能力，并阻止其重建这些力量；随后美国转向“铁墙”和封锁策略，这是美国此前从未采取的做法。贝森特表示，美国当前正在实施“经济弃儿行动”，以前所未有的方式在经济上孤立伊朗。</w:t>
      </w:r>
    </w:p>
    <w:p>
      <w:pPr>
        <w:ind w:firstLine="420"/>
      </w:pPr>
      <w:r>
        <w:rPr>
          <w:rFonts w:ascii="微软雅黑" w:hAnsi="微软雅黑" w:eastAsia="微软雅黑" w:cs="微软雅黑"/>
        </w:rPr>
        <w:t>来源：</w:t>
      </w:r>
      <w:hyperlink w:anchor="source-1169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5. G7及伙伴国同意四个月内释放最多1亿桶紧急石油与柴油储备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7领导人周五会议后宣布，将在国际能源署协调下释放最多1亿桶原油和柴油储备，释放期四个月，柴油集中在最初20天大规模投放，并由IEA监测执行情况。声明还要求成员国避免在G7之间实施能源及能源产品出口限制，并呼吁所有能源生产国避免出台可能加剧市场紧张的禁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G7成员国已达成一致，IEA将监督整个释放过程，行动立即启动并持续四个月，柴油部分集中在前20天投放。联合声明要求包括美国在内的成员国避免在G7之间实施出口限制，并呼吁所有能源生产国避免可能加剧市场紧张的禁令。两名知情外交官透露，美国白宫此前要求欧洲释放至少1亿桶石油，并威胁若不满足将推进柴油出口禁令。今年3月，IEA曾协调释放4亿桶石油。法国总统马克龙表示，G7将释放多达1亿桶紧急石油和柴油储备。G7还同意协调炼厂维护时间表，避免同时停工，并在可能的情况下临时提高炼厂开工率；IEA被要求在20天内监测执行情况和能源市场影响并提交报告，包括进一步措施及战略储备最终回补的建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IEA负责人比罗尔称这是该机构历史上规模最大的协调释储之一；中东冲突和乌克兰无人机打击俄罗斯炼油厂导致柴油供应收紧，分析师和交易员表示最新储备投放可能不足以抵消持续的供应损失。</w:t>
      </w:r>
    </w:p>
    <w:p>
      <w:pPr>
        <w:ind w:firstLine="420"/>
      </w:pPr>
      <w:r>
        <w:rPr>
          <w:rFonts w:ascii="微软雅黑" w:hAnsi="微软雅黑" w:eastAsia="微软雅黑" w:cs="微软雅黑"/>
        </w:rPr>
        <w:t>来源：</w:t>
      </w:r>
      <w:hyperlink w:anchor="source-11602">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1601">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11550">
        <w:r>
          <w:rPr>
            <w:rFonts w:ascii="微软雅黑" w:hAnsi="微软雅黑" w:eastAsia="微软雅黑" w:cs="微软雅黑"/>
            <w:color w:val="087E89"/>
          </w:rPr>
          <w:t>15</w:t>
        </w:r>
      </w:hyperlink>
      <w:r>
        <w:rPr>
          <w:rFonts w:ascii="微软雅黑" w:hAnsi="微软雅黑" w:eastAsia="微软雅黑" w:cs="微软雅黑"/>
        </w:rPr>
        <w:t xml:space="preserve"> </w:t>
      </w:r>
      <w:hyperlink w:anchor="source-1157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6. 10月2日油价收平至大幅走低，柴油零售价仍处高位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10月2日布伦特原油结算价为102.25美元/桶，几乎收平；WTI原油结算价为91.11美元/桶，当日跌1.90%。截至当周，美国柴油平均零售价格为每加仑6.37美元。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因G7国家释放柴油和石油储备的消息，油价周五晚间跌幅放缓但仍明显走低。G7联合声明与柴油储备投放消息是当日油价定价的关键背景。沙特东西向输油管道输送量接近每日600万桶，约占700万桶设计运能的86%，扣除西海岸炼厂需求后可供出口约450万桶。CFTC持仓报告显示，截至9月29日当周，投机者增加CBOT美国国债期货净空头头寸31070手，至186875手；增加CBOT美国10年期国债期货净空头头寸88863手，至900615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路透社报道，柴油价格正经历创纪录的飙升，柴油驱动农业机械和美国航运业，并为农村社区提供供暖与电力。</w:t>
      </w:r>
    </w:p>
    <w:p>
      <w:pPr>
        <w:ind w:firstLine="420"/>
      </w:pPr>
      <w:r>
        <w:rPr>
          <w:rFonts w:ascii="微软雅黑" w:hAnsi="微软雅黑" w:eastAsia="微软雅黑" w:cs="微软雅黑"/>
        </w:rPr>
        <w:t>来源：</w:t>
      </w:r>
      <w:hyperlink w:anchor="source-11602">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1533">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11591">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7. 联合国人权高专警告俄袭能源设施加剧乌人道危机</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联合国人权事务高级专员蒂尔克警告，俄方今年前八个月在乌克兰使用航空制导炸弹已造成近2500名平民伤亡，同比增长62%，并强调对超市、食品企业和能源基础设施的攻击正急剧增加。</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蒂尔克表示，相关袭击已在部分地区引发蔬菜、乳制品临时短缺；他还称赫尔松州奥列什基约2000人仍被困，无自来水、电力和燃气供应。他呼吁以停止袭击经济目标和能源设施、前线地方停火、协助平民撤离以及全面交换战俘等建立信任措施，推动谈判取得进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材料明确称部分地区已出现蔬菜、乳制品临时短缺；奥列什基约2000人仍处于无水电气状态。</w:t>
      </w:r>
    </w:p>
    <w:p>
      <w:pPr>
        <w:ind w:firstLine="420"/>
      </w:pPr>
      <w:r>
        <w:rPr>
          <w:rFonts w:ascii="微软雅黑" w:hAnsi="微软雅黑" w:eastAsia="微软雅黑" w:cs="微软雅黑"/>
        </w:rPr>
        <w:t>来源：</w:t>
      </w:r>
      <w:hyperlink w:anchor="source-11563">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8. 特朗普威胁韩国不签阿拉斯加LNG项目将加倍收费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美国总统特朗普10月2日在白宫媒体简报会上威胁，若不在近期签署阿拉斯加液化天然气项目相关文件，将向韩国收取更高费用并把费用翻倍。韩国政府表示尚未最终决定是否参与该项目。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此前9月30日宣布约2000亿美元韩国对美投资计划，涉及阿拉斯加液化天然气管道项目、得州燃气发电厂项目及8座大型核电站，依据去年双边贸易协定确定。美国商务部长卢特尼克曾表示韩国将向阿拉斯加液化天然气项目投资逾500亿美元。阿拉斯加液化天然气项目计划建设一条1298公里管道，将北斯洛普天然气输送至阿拉斯加南部冷却液化后出口亚洲。特朗普所称“费用”具体所指尚不清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材料未给出直接影响评估。</w:t>
      </w:r>
    </w:p>
    <w:p>
      <w:pPr>
        <w:ind w:firstLine="420"/>
      </w:pPr>
      <w:r>
        <w:rPr>
          <w:rFonts w:ascii="微软雅黑" w:hAnsi="微软雅黑" w:eastAsia="微软雅黑" w:cs="微软雅黑"/>
        </w:rPr>
        <w:t>来源：</w:t>
      </w:r>
      <w:hyperlink w:anchor="source-1166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1662">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URIF批准在能源与关键矿产领域的额外投资与伙伴关系</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乌联合重建投资基金董事会批准与BGV集团管理公司成立联合投资平台，开发稀土、铀、铍和锆等关键矿产早期矿业项目，并投资乌克兰分布式热电联产平台以恢复电力与供热。基金已于今年三月完成首笔投资，六月与美国国际开发金融公司和多边投资担保机构签署合作协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批准内容包括与BGV集团管理公司设立联合投资平台，聚焦稀土、铀、铍和锆等关键矿产的早期矿业项目；并对乌克兰分布式热电联产平台进行股权投资，建设社区级能源枢纽以恢复战时受损电力与供热，其中电池储能站点采用美国能源技术，由DTEK承建。今年三月基金完成首笔投资，投资对象为新兴技术公司Sine Engineering；今年六月与美国国际开发金融公司及多边投资担保机构签署合作协议，为关联投资提供政治风险保险框架。</w:t>
      </w:r>
    </w:p>
    <w:p>
      <w:pPr>
        <w:ind w:firstLine="420"/>
      </w:pPr>
      <w:r>
        <w:rPr>
          <w:rFonts w:ascii="微软雅黑" w:hAnsi="微软雅黑" w:eastAsia="微软雅黑" w:cs="微软雅黑"/>
        </w:rPr>
        <w:t>来源：</w:t>
      </w:r>
      <w:hyperlink w:anchor="source-11562">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10. 亚美尼亚重新审视小型模块化反应堆计划</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亚美尼亚总理帕希尼扬表示，已批准的投资计划推升电力需求，亚美尼亚已从电力过剩转为电力短缺，单座模块化小堆可能不足以满足未来需要。俄罗斯国家原子能公司总干事利哈乔夫称，2036年后的延寿需进行大规模现代化并扩建乏燃料储存，所需投资以数亿美元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帕希尼扬指出，已批准的投资推升电力需求，亚美尼亚由电力过剩转为电力短缺，单座模块化小堆可能不足以满足未来需求。利哈乔夫表示，现有反应堆2036年后的延寿需对反应堆容器、安保与自动化系统进行大规模现代化并扩建乏燃料储存，相关投资以数亿美元计，可能导致电价翻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来源指出延寿项目可能使电价翻倍，反映亚美尼亚核电成本上行风险。</w:t>
      </w:r>
    </w:p>
    <w:p>
      <w:pPr>
        <w:ind w:firstLine="420"/>
      </w:pPr>
      <w:r>
        <w:rPr>
          <w:rFonts w:ascii="微软雅黑" w:hAnsi="微软雅黑" w:eastAsia="微软雅黑" w:cs="微软雅黑"/>
        </w:rPr>
        <w:t>来源：</w:t>
      </w:r>
      <w:hyperlink w:anchor="source-11537">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11. 联合国欢迎印度绿色能源走廊三期，强调电池储能作用</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联合国欢迎印度联邦内阁批准“绿色能源走廊三期”(GEC-III)方案。联合国气候变化执行秘书Simon Stiell强调电池储能在加强能源安全和支撑经济增长方面的战略作用，指出该方案重点加强邦内输电系统并支持部署电池储能系统。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Stiell表示，电网与电池储能基础设施建设可在制造、施工和储能行业创造就业机会。该方案为印度国家级输电与储能规划，获内阁批准后进入实施推进阶段。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GEC-III将带动印度邦内输电扩容与电池储能部署，联合国表态或提升国际融资与合作关注度。</w:t>
      </w:r>
    </w:p>
    <w:p>
      <w:pPr>
        <w:ind w:firstLine="420"/>
      </w:pPr>
      <w:r>
        <w:rPr>
          <w:rFonts w:ascii="微软雅黑" w:hAnsi="微软雅黑" w:eastAsia="微软雅黑" w:cs="微软雅黑"/>
        </w:rPr>
        <w:t>来源：</w:t>
      </w:r>
      <w:hyperlink w:anchor="source-11626">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12. 印度电池并网规程草案将试运行设为商业运营前置条件</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印度电网规程草案拟将成功完成适用试运行作为商业运营以及在商业运营日期前调度非计划电力的前置条件，并要求10 MW及以上、在33 kV及以上电压等级并网的独立储能履行一次调频响应义务。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草案聚焦独立储能的并网合规与电网支撑义务，将试运行结果与商业运营资格绑定，并明确一次调频为强制服务。该规程尚处草案阶段，最终条款与适用范围仍待监管确定。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若草案落地，独立储能项目需在试运行阶段满足一次调频等要求方可进入商业运营，将影响项目并网节奏与商业化收益。</w:t>
      </w:r>
    </w:p>
    <w:p>
      <w:pPr>
        <w:ind w:firstLine="420"/>
      </w:pPr>
      <w:r>
        <w:rPr>
          <w:rFonts w:ascii="微软雅黑" w:hAnsi="微软雅黑" w:eastAsia="微软雅黑" w:cs="微软雅黑"/>
        </w:rPr>
        <w:t>来源：</w:t>
      </w:r>
      <w:hyperlink w:anchor="source-11625">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13. 澳大利亚麦金太尔风电场因建设延误重新谈判购电协议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澳大利亚麦金太尔风电场因长期建设延误和关键设备更换，已与CleanCo和Stanwell重新谈判长期购电协议。CleanCo将购电规模从此前的400兆瓦增至490兆瓦，Stanwell正就其150兆瓦合同与开发商接触。</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麦金太尔风电场最近升级至约670兆瓦的“保持点”出力，目前已并网超过670兆瓦，约占923兆瓦总容量的73%，预计2027年中期实现商业运营。CleanCo购电协议于2024/25年度生效，因调试延迟和关键设备更换需要，项目容量被限制在额定容量的一半运行；修订后CleanCo合同规模从此前的400兆瓦增至490兆瓦，超过项目额定容量的一半，并延长期限。Stanwell与麦金太尔风电场的合同占其150兆瓦容量，公司表示正与开发商就修订长期购电安排进行接触。Acciona Energía发言人表示，公司与CleanCo和Stanwell保持良好合作关系，客户协议属于商业机密，项目正处于最后阶段的调试和运营活动。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CleanCo与Stanwell在最新年度报告中披露了合同修订事项，表明项目交付延迟已实质性影响公用事业公司的采购安排。</w:t>
      </w:r>
    </w:p>
    <w:p>
      <w:pPr>
        <w:ind w:firstLine="420"/>
      </w:pPr>
      <w:r>
        <w:rPr>
          <w:rFonts w:ascii="微软雅黑" w:hAnsi="微软雅黑" w:eastAsia="微软雅黑" w:cs="微软雅黑"/>
        </w:rPr>
        <w:t>来源：</w:t>
      </w:r>
      <w:hyperlink w:anchor="source-11604">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14. 瑞典研究验证紫红色半透光CdTe光伏板下种植西兰花的农光互补可行性</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瑞典马拉达伦大学Silvia Ma Lu博士团队3日在《Cell Reports Physical Science》发表研究，验证紫红色半透明CdTe薄膜光伏板下种植西兰花的农光互补可行性。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50%和70%透光度的紫红色半透光CdTe面板对光合有效辐射的透过率分别为13.2%和19.2%，各覆盖20平方米用于种植西兰花。辐射能利用效率在50%透光度面板下为露天的4.5倍，70%面板下为2.8倍。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来源未提供对能源行业的明确影响。</w:t>
      </w:r>
    </w:p>
    <w:p>
      <w:pPr>
        <w:ind w:firstLine="420"/>
      </w:pPr>
      <w:r>
        <w:rPr>
          <w:rFonts w:ascii="微软雅黑" w:hAnsi="微软雅黑" w:eastAsia="微软雅黑" w:cs="微软雅黑"/>
        </w:rPr>
        <w:t>来源：</w:t>
      </w:r>
      <w:hyperlink w:anchor="source-11586">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15. 哈萨克斯坦国家油气公司展示油田AI数字孪生并规划推广</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哈萨克斯坦国家油气公司（ҚМГ）在AI &amp; Digital Bridge 2026论坛上向总理介绍油田数字孪生项目，数字孪生已用于阿特劳州Embimunaigaz公司东莫尔达贝克油田。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字孪生整合地层、井和生产数据，可模拟开发情景并推荐最优方案，将计算时间从数月缩短至数小时。在东莫尔达贝克油田已计算约700个情景。公司表示数字工具可将开采成本降低约5%，劳动力成本最多降低15%，并计划到2028年底在12个油田推广数字孪生，覆盖集团逾90%的产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若按公司所述推广，数字孪生有望在中长期降低ҚМГ开采与人力成本，但具体节省金额未披露。</w:t>
      </w:r>
    </w:p>
    <w:p>
      <w:pPr>
        <w:ind w:firstLine="420"/>
      </w:pPr>
      <w:r>
        <w:rPr>
          <w:rFonts w:ascii="微软雅黑" w:hAnsi="微软雅黑" w:eastAsia="微软雅黑" w:cs="微软雅黑"/>
        </w:rPr>
        <w:t>来源：</w:t>
      </w:r>
      <w:hyperlink w:anchor="source-11682">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16. Snowy Hydro迎来Snowy 2.0成本审查一周年仍未给出造价承诺</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Snowy Hydro迎来宣布对Snowy 2.0抽水蓄能项目开展“全面的逐行成本重估”一周年，但仍未公布承诺造价。</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原计划耗时九个月的逐行成本重估仍未完成。四台隧道掘进机已完成总长27公里隧道工程的65%。造价承诺仍未发布。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项目造价不确定性延续，可能影响投资方及澳大利亚能源规划对抽水蓄能装机成本与投运时间的判断。</w:t>
      </w:r>
    </w:p>
    <w:p>
      <w:pPr>
        <w:ind w:firstLine="420"/>
      </w:pPr>
      <w:r>
        <w:rPr>
          <w:rFonts w:ascii="微软雅黑" w:hAnsi="微软雅黑" w:eastAsia="微软雅黑" w:cs="微软雅黑"/>
        </w:rPr>
        <w:t>来源：</w:t>
      </w:r>
      <w:hyperlink w:anchor="source-11570">
        <w:r>
          <w:rPr>
            <w:rFonts w:ascii="微软雅黑" w:hAnsi="微软雅黑" w:eastAsia="微软雅黑" w:cs="微软雅黑"/>
            <w:color w:val="087E89"/>
          </w:rPr>
          <w:t>24</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17. 我国首个深水油田二次开发项目累产原油突破200万吨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流花油田二次开发项目累计生产和外输原油突破200万吨。项目位于珠江口盆地海域，距深圳东南约240公里，平均水深约305米，由流花11-1、流花4-1油田组成；已投产32口生产井，最高日产原油达3900吨。亚洲首艘圆筒型FPSO“海葵一号”投产刚满两年，已完成第53船次提油作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流花油田二次开发项目位于珠江口盆地海域，距深圳东南约240公里，平均水深约305米，由流花11-1、流花4-1油田组成。项目累计生产和外输原油突破200万吨；已投产32口生产井，最高日产原油达3900吨。亚洲首艘圆筒型FPSO“海葵一号”投产刚满两年，已完成第53船次提油作业。</w:t>
      </w:r>
    </w:p>
    <w:p>
      <w:pPr>
        <w:ind w:firstLine="420"/>
      </w:pPr>
      <w:r>
        <w:rPr>
          <w:rFonts w:ascii="微软雅黑" w:hAnsi="微软雅黑" w:eastAsia="微软雅黑" w:cs="微软雅黑"/>
        </w:rPr>
        <w:t>来源：</w:t>
      </w:r>
      <w:hyperlink w:anchor="source-1164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18. 宁夏腾格里“沙戈荒”基地配套调峰煤电全容量投产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宁夏腾格里“沙戈荒”新能源大基地配套的中卫电厂调峰煤电项目实现全容量投产，作为我国首个获国家发改委和国家能源局“双批复”的“沙戈荒”新能源基地支撑电源。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基地配套建设1300万千瓦新能源（风电400万千瓦、光伏900万千瓦）及464万千瓦调峰煤电，依托宁夏至湖南±800千伏特高压直流工程外送。中卫电厂4台660兆瓦机组设计年发电量118亿千瓦时，可保障220亿千瓦时清洁能源稳定外送。AGC调节速率达2.27%额定功率/分钟，优于2.2%额定功率/分钟的新一代煤电机组要求。项目采用“四机同建”、空冷平台一体化集成、750kV升压站钢结构五跨联合布置及悬挂式“四管集束”烟囱技术，并首创火电机组20%–100%全域自适应智能巡航控制技术，实现城市中水100%全域回用、生产用水零取黄河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折合替代标煤约710万吨，减排二氧化碳1846万吨；为“沙戈荒”新能源大规模外送提供调峰支撑。</w:t>
      </w:r>
    </w:p>
    <w:p>
      <w:pPr>
        <w:ind w:firstLine="420"/>
      </w:pPr>
      <w:r>
        <w:rPr>
          <w:rFonts w:ascii="微软雅黑" w:hAnsi="微软雅黑" w:eastAsia="微软雅黑" w:cs="微软雅黑"/>
        </w:rPr>
        <w:t>来源：</w:t>
      </w:r>
      <w:hyperlink w:anchor="source-11624">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19. 我国首个百兆瓦级压缩二氧化碳储能项目并网</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中国华电新疆木垒压缩二氧化碳储能项目完成首次并网，成为我国首个百兆瓦级压缩二氧化碳储能项目和目前国内发电效率最高的压缩二氧化碳发电机组。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位于新疆木垒县戈壁，占地848亩，配置5座储气仓、141个储液单元和97个储热单元。整套系统以二氧化碳作为密闭循环介质，关键核心技术完全自主可控，并入选国家能源局第四批能源领域首台（套）重大技术装备名单。项目每年可在电网低谷时储存2.9亿千瓦时绿电，高峰时释放1.8亿千瓦时电力，连续发电超6小时，采用智能快速启机与加载控制策略，实现“一键启机、无人值守”全天候智能安全巡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按年发电量约2亿千瓦时计算，每年可节约标煤5万吨、减少二氧化碳排放约17万吨；将强化电网削峰填谷、调频调压能力，提高电力系统灵活性及安全性。</w:t>
      </w:r>
    </w:p>
    <w:p>
      <w:pPr>
        <w:ind w:firstLine="420"/>
      </w:pPr>
      <w:r>
        <w:rPr>
          <w:rFonts w:ascii="微软雅黑" w:hAnsi="微软雅黑" w:eastAsia="微软雅黑" w:cs="微软雅黑"/>
        </w:rPr>
        <w:t>来源：</w:t>
      </w:r>
      <w:hyperlink w:anchor="source-11691">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1608">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1639">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20. 国庆高速出行和返程充电高峰时段公布</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国庆假期出行呈“出程分散、回程集中”特征。交通部门指明，5日11时至21时、6日10时至22时为返程充电高峰，每日10时起车流上升、21时后回落，并列出多省特别繁忙服务区名单。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假期出行特征方面，国庆假期高速公路每日10时起车流上升、21时后回落，返程阶段更为集中；其中10月5日11时至21时、10月6日10时至22时为返程充电高峰。假期特别繁忙服务区包括秦滨高速河北乐亭、唐海，连霍高速江苏彭城，沈海高速福建云淡停车区，沙厦高速福建秀村，京港澳高速河南漯河，菏宝高速河南王屋山，长芷高速湖南桥头河，京昆高速四川新安，京昆高速陕西澄城等，覆盖河北、江苏、福建、河南、湖南、四川、陕西多地。</w:t>
      </w:r>
    </w:p>
    <w:p>
      <w:pPr>
        <w:ind w:firstLine="420"/>
      </w:pPr>
      <w:r>
        <w:rPr>
          <w:rFonts w:ascii="微软雅黑" w:hAnsi="微软雅黑" w:eastAsia="微软雅黑" w:cs="微软雅黑"/>
        </w:rPr>
        <w:t>来源：</w:t>
      </w:r>
      <w:hyperlink w:anchor="source-11629">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国际社会对蒂尔克呼吁的回应及停火谈判进展有待观察。 </w:t>
      </w:r>
      <w:hyperlink w:anchor="source-1156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该说法仅来源于美国财长表态，未提供独立航运数据核实；伊朗石油出口受限的持续时间及封锁策略执行细节待观察。 </w:t>
      </w:r>
      <w:hyperlink w:anchor="source-1169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万斯主持的会议具体决定内容未公开；航母打击群最终部署规模及沙特攻势走向有待后续披露。 </w:t>
      </w:r>
      <w:hyperlink w:anchor="source-11674">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后续关注项目长期调峰运行表现及宁夏至湖南特高压直流外送通道利用情况。 </w:t>
      </w:r>
      <w:hyperlink w:anchor="source-1162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联合投资平台和分布式热电联产项目的具体规模、时间表与后续投资金额未披露。 </w:t>
      </w:r>
      <w:hyperlink w:anchor="source-11562">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关注12个油田推广的时间表以及覆盖90%产量的实现节奏。 </w:t>
      </w:r>
      <w:hyperlink w:anchor="source-11682">
        <w:r>
          <w:rPr>
            <w:rFonts w:ascii="微软雅黑" w:hAnsi="微软雅黑" w:eastAsia="微软雅黑" w:cs="微软雅黑"/>
            <w:color w:val="087E89"/>
          </w:rPr>
          <w:t>6</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86 篇文章，形成 81 篇有效能源材料；正文引用 29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5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1563"/>
      <w:bookmarkEnd w:id="1" w:name="source-11563"/>
    </w:p>
    <w:p>
      <w:pPr>
        <w:pStyle w:val="ListBullet"/>
      </w:pPr>
      <w:r>
        <w:rPr>
          <w:rFonts w:ascii="微软雅黑" w:hAnsi="微软雅黑" w:eastAsia="微软雅黑" w:cs="微软雅黑"/>
        </w:rPr>
        <w:t>[1] 联合国｜</w:t>
      </w:r>
      <w:hyperlink r:id="rId11">
        <w:r>
          <w:rPr>
            <w:rFonts w:ascii="微软雅黑" w:hAnsi="微软雅黑" w:eastAsia="微软雅黑" w:cs="微软雅黑"/>
            <w:color w:val="087E89"/>
          </w:rPr>
          <w:t>乌克兰战争是“一场人权灾难”，必须结束，图尔克表示</w:t>
        </w:r>
      </w:hyperlink>
      <w:r>
        <w:rPr>
          <w:rFonts w:ascii="微软雅黑" w:hAnsi="微软雅黑" w:eastAsia="微软雅黑" w:cs="微软雅黑"/>
        </w:rPr>
      </w:r>
    </w:p>
    <w:p>
      <w:pPr>
        <w:spacing w:after="0" w:line="20" w:lineRule="exact"/>
      </w:pPr>
      <w:bookmarkStart w:id="2" w:name="source-11690"/>
      <w:bookmarkEnd w:id="2" w:name="source-11690"/>
    </w:p>
    <w:p>
      <w:pPr>
        <w:pStyle w:val="ListBullet"/>
      </w:pPr>
      <w:r>
        <w:rPr>
          <w:rFonts w:ascii="微软雅黑" w:hAnsi="微软雅黑" w:eastAsia="微软雅黑" w:cs="微软雅黑"/>
        </w:rPr>
        <w:t>[2] 新浪财经｜</w:t>
      </w:r>
      <w:hyperlink r:id="rId12">
        <w:r>
          <w:rPr>
            <w:rFonts w:ascii="微软雅黑" w:hAnsi="微软雅黑" w:eastAsia="微软雅黑" w:cs="微软雅黑"/>
            <w:color w:val="087E89"/>
          </w:rPr>
          <w:t>贝森特称本周伊朗不会有石油在海上运输</w:t>
        </w:r>
      </w:hyperlink>
      <w:r>
        <w:rPr>
          <w:rFonts w:ascii="微软雅黑" w:hAnsi="微软雅黑" w:eastAsia="微软雅黑" w:cs="微软雅黑"/>
        </w:rPr>
      </w:r>
    </w:p>
    <w:p>
      <w:pPr>
        <w:spacing w:after="0" w:line="20" w:lineRule="exact"/>
      </w:pPr>
      <w:bookmarkStart w:id="3" w:name="source-11674"/>
      <w:bookmarkEnd w:id="3" w:name="source-11674"/>
    </w:p>
    <w:p>
      <w:pPr>
        <w:pStyle w:val="ListBullet"/>
      </w:pPr>
      <w:r>
        <w:rPr>
          <w:rFonts w:ascii="微软雅黑" w:hAnsi="微软雅黑" w:eastAsia="微软雅黑" w:cs="微软雅黑"/>
        </w:rPr>
        <w:t>[3] 新浪财经｜</w:t>
      </w:r>
      <w:hyperlink r:id="rId13">
        <w:r>
          <w:rPr>
            <w:rFonts w:ascii="微软雅黑" w:hAnsi="微软雅黑" w:eastAsia="微软雅黑" w:cs="微软雅黑"/>
            <w:color w:val="087E89"/>
          </w:rPr>
          <w:t>特朗普核心内阁闭门会议细节：万斯主持，鲁比奥、赫格塞思等到场，“一些事已作出决定，或得到深入讨论”</w:t>
        </w:r>
      </w:hyperlink>
      <w:r>
        <w:rPr>
          <w:rFonts w:ascii="微软雅黑" w:hAnsi="微软雅黑" w:eastAsia="微软雅黑" w:cs="微软雅黑"/>
        </w:rPr>
      </w:r>
    </w:p>
    <w:p>
      <w:pPr>
        <w:spacing w:after="0" w:line="20" w:lineRule="exact"/>
      </w:pPr>
      <w:bookmarkStart w:id="4" w:name="source-11624"/>
      <w:bookmarkEnd w:id="4" w:name="source-11624"/>
    </w:p>
    <w:p>
      <w:pPr>
        <w:pStyle w:val="ListBullet"/>
      </w:pPr>
      <w:r>
        <w:rPr>
          <w:rFonts w:ascii="微软雅黑" w:hAnsi="微软雅黑" w:eastAsia="微软雅黑" w:cs="微软雅黑"/>
        </w:rPr>
        <w:t>[4] 国家能源集团｜</w:t>
      </w:r>
      <w:hyperlink r:id="rId14">
        <w:r>
          <w:rPr>
            <w:rFonts w:ascii="微软雅黑" w:hAnsi="微软雅黑" w:eastAsia="微软雅黑" w:cs="微软雅黑"/>
            <w:color w:val="087E89"/>
          </w:rPr>
          <w:t>全国首个“沙戈荒”新能源大基地配套调峰电源全容量投产</w:t>
        </w:r>
      </w:hyperlink>
      <w:r>
        <w:rPr>
          <w:rFonts w:ascii="微软雅黑" w:hAnsi="微软雅黑" w:eastAsia="微软雅黑" w:cs="微软雅黑"/>
        </w:rPr>
      </w:r>
    </w:p>
    <w:p>
      <w:pPr>
        <w:spacing w:after="0" w:line="20" w:lineRule="exact"/>
      </w:pPr>
      <w:bookmarkStart w:id="5" w:name="source-11562"/>
      <w:bookmarkEnd w:id="5" w:name="source-11562"/>
    </w:p>
    <w:p>
      <w:pPr>
        <w:pStyle w:val="ListBullet"/>
      </w:pPr>
      <w:r>
        <w:rPr>
          <w:rFonts w:ascii="微软雅黑" w:hAnsi="微软雅黑" w:eastAsia="微软雅黑" w:cs="微软雅黑"/>
        </w:rPr>
        <w:t>[5] 美国财政部｜</w:t>
      </w:r>
      <w:hyperlink r:id="rId15">
        <w:r>
          <w:rPr>
            <w:rFonts w:ascii="微软雅黑" w:hAnsi="微软雅黑" w:eastAsia="微软雅黑" w:cs="微软雅黑"/>
            <w:color w:val="087E89"/>
          </w:rPr>
          <w:t>URIF批准在能源和关键矿产领域的额外投资与合作伙伴关系</w:t>
        </w:r>
      </w:hyperlink>
      <w:r>
        <w:rPr>
          <w:rFonts w:ascii="微软雅黑" w:hAnsi="微软雅黑" w:eastAsia="微软雅黑" w:cs="微软雅黑"/>
        </w:rPr>
      </w:r>
    </w:p>
    <w:p>
      <w:pPr>
        <w:spacing w:after="0" w:line="20" w:lineRule="exact"/>
      </w:pPr>
      <w:bookmarkStart w:id="6" w:name="source-11682"/>
      <w:bookmarkEnd w:id="6" w:name="source-11682"/>
    </w:p>
    <w:p>
      <w:pPr>
        <w:pStyle w:val="ListBullet"/>
      </w:pPr>
      <w:r>
        <w:rPr>
          <w:rFonts w:ascii="微软雅黑" w:hAnsi="微软雅黑" w:eastAsia="微软雅黑" w:cs="微软雅黑"/>
        </w:rPr>
        <w:t>[6] 哈萨克斯坦国家油气公司｜</w:t>
      </w:r>
      <w:hyperlink r:id="rId16">
        <w:r>
          <w:rPr>
            <w:rFonts w:ascii="微软雅黑" w:hAnsi="微软雅黑" w:eastAsia="微软雅黑" w:cs="微软雅黑"/>
            <w:color w:val="087E89"/>
          </w:rPr>
          <w:t>AI &amp; Digital Bridge 2026：KMG 介绍了矿床的数字孪生</w:t>
        </w:r>
      </w:hyperlink>
      <w:r>
        <w:rPr>
          <w:rFonts w:ascii="微软雅黑" w:hAnsi="微软雅黑" w:eastAsia="微软雅黑" w:cs="微软雅黑"/>
        </w:rPr>
      </w:r>
    </w:p>
    <w:p>
      <w:pPr>
        <w:spacing w:after="0" w:line="20" w:lineRule="exact"/>
      </w:pPr>
      <w:bookmarkStart w:id="7" w:name="source-11626"/>
      <w:bookmarkEnd w:id="7" w:name="source-11626"/>
    </w:p>
    <w:p>
      <w:pPr>
        <w:pStyle w:val="ListBullet"/>
      </w:pPr>
      <w:r>
        <w:rPr>
          <w:rFonts w:ascii="微软雅黑" w:hAnsi="微软雅黑" w:eastAsia="微软雅黑" w:cs="微软雅黑"/>
        </w:rPr>
        <w:t>[7] The Battery Magazine｜</w:t>
      </w:r>
      <w:hyperlink r:id="rId17">
        <w:r>
          <w:rPr>
            <w:rFonts w:ascii="微软雅黑" w:hAnsi="微软雅黑" w:eastAsia="微软雅黑" w:cs="微软雅黑"/>
            <w:color w:val="087E89"/>
          </w:rPr>
          <w:t>联合国欢迎印度绿色能源走廊第三期，强调电池储能的作用</w:t>
        </w:r>
      </w:hyperlink>
      <w:r>
        <w:rPr>
          <w:rFonts w:ascii="微软雅黑" w:hAnsi="微软雅黑" w:eastAsia="微软雅黑" w:cs="微软雅黑"/>
        </w:rPr>
      </w:r>
    </w:p>
    <w:p>
      <w:pPr>
        <w:spacing w:after="0" w:line="20" w:lineRule="exact"/>
      </w:pPr>
      <w:bookmarkStart w:id="8" w:name="source-11604"/>
      <w:bookmarkEnd w:id="8" w:name="source-11604"/>
    </w:p>
    <w:p>
      <w:pPr>
        <w:pStyle w:val="ListBullet"/>
      </w:pPr>
      <w:r>
        <w:rPr>
          <w:rFonts w:ascii="微软雅黑" w:hAnsi="微软雅黑" w:eastAsia="微软雅黑" w:cs="微软雅黑"/>
        </w:rPr>
        <w:t>[8] 澳大利亚可再生能源新闻｜</w:t>
      </w:r>
      <w:hyperlink r:id="rId18">
        <w:r>
          <w:rPr>
            <w:rFonts w:ascii="微软雅黑" w:hAnsi="微软雅黑" w:eastAsia="微软雅黑" w:cs="微软雅黑"/>
            <w:color w:val="087E89"/>
          </w:rPr>
          <w:t>澳大利亚最大风电站之一因长期建设延误和维修被迫重新谈判购电协议</w:t>
        </w:r>
      </w:hyperlink>
      <w:r>
        <w:rPr>
          <w:rFonts w:ascii="微软雅黑" w:hAnsi="微软雅黑" w:eastAsia="微软雅黑" w:cs="微软雅黑"/>
        </w:rPr>
      </w:r>
    </w:p>
    <w:p>
      <w:pPr>
        <w:spacing w:after="0" w:line="20" w:lineRule="exact"/>
      </w:pPr>
      <w:bookmarkStart w:id="9" w:name="source-11649"/>
      <w:bookmarkEnd w:id="9" w:name="source-11649"/>
    </w:p>
    <w:p>
      <w:pPr>
        <w:pStyle w:val="ListBullet"/>
      </w:pPr>
      <w:r>
        <w:rPr>
          <w:rFonts w:ascii="微软雅黑" w:hAnsi="微软雅黑" w:eastAsia="微软雅黑" w:cs="微软雅黑"/>
        </w:rPr>
        <w:t>[9] 科技日报｜</w:t>
      </w:r>
      <w:hyperlink r:id="rId19">
        <w:r>
          <w:rPr>
            <w:rFonts w:ascii="微软雅黑" w:hAnsi="微软雅黑" w:eastAsia="微软雅黑" w:cs="微软雅黑"/>
            <w:color w:val="087E89"/>
          </w:rPr>
          <w:t>我国首个深水油田二次开发项目累产原油突破200万吨</w:t>
        </w:r>
      </w:hyperlink>
      <w:r>
        <w:rPr>
          <w:rFonts w:ascii="微软雅黑" w:hAnsi="微软雅黑" w:eastAsia="微软雅黑" w:cs="微软雅黑"/>
        </w:rPr>
      </w:r>
    </w:p>
    <w:p>
      <w:pPr>
        <w:spacing w:after="0" w:line="20" w:lineRule="exact"/>
      </w:pPr>
      <w:bookmarkStart w:id="10" w:name="source-11629"/>
      <w:bookmarkEnd w:id="10" w:name="source-11629"/>
    </w:p>
    <w:p>
      <w:pPr>
        <w:pStyle w:val="ListBullet"/>
      </w:pPr>
      <w:r>
        <w:rPr>
          <w:rFonts w:ascii="微软雅黑" w:hAnsi="微软雅黑" w:eastAsia="微软雅黑" w:cs="微软雅黑"/>
        </w:rPr>
        <w:t>[10] 中国新闻网｜</w:t>
      </w:r>
      <w:hyperlink r:id="rId20">
        <w:r>
          <w:rPr>
            <w:rFonts w:ascii="微软雅黑" w:hAnsi="微软雅黑" w:eastAsia="微软雅黑" w:cs="微软雅黑"/>
            <w:color w:val="087E89"/>
          </w:rPr>
          <w:t>@新能源车主，国庆假日出行 请查收这份“充电服务清单”↓</w:t>
        </w:r>
      </w:hyperlink>
      <w:r>
        <w:rPr>
          <w:rFonts w:ascii="微软雅黑" w:hAnsi="微软雅黑" w:eastAsia="微软雅黑" w:cs="微软雅黑"/>
        </w:rPr>
      </w:r>
    </w:p>
    <w:p>
      <w:pPr>
        <w:spacing w:after="0" w:line="20" w:lineRule="exact"/>
      </w:pPr>
      <w:bookmarkStart w:id="11" w:name="source-11661"/>
      <w:bookmarkEnd w:id="11" w:name="source-11661"/>
    </w:p>
    <w:p>
      <w:pPr>
        <w:pStyle w:val="ListBullet"/>
      </w:pPr>
      <w:r>
        <w:rPr>
          <w:rFonts w:ascii="微软雅黑" w:hAnsi="微软雅黑" w:eastAsia="微软雅黑" w:cs="微软雅黑"/>
        </w:rPr>
        <w:t>[11] 人民财讯等｜</w:t>
      </w:r>
      <w:hyperlink r:id="rId21">
        <w:r>
          <w:rPr>
            <w:rFonts w:ascii="微软雅黑" w:hAnsi="微软雅黑" w:eastAsia="微软雅黑" w:cs="微软雅黑"/>
            <w:color w:val="087E89"/>
          </w:rPr>
          <w:t>特朗普威胁韩国：不签字，就加倍收费</w:t>
        </w:r>
      </w:hyperlink>
      <w:r>
        <w:rPr>
          <w:rFonts w:ascii="微软雅黑" w:hAnsi="微软雅黑" w:eastAsia="微软雅黑" w:cs="微软雅黑"/>
        </w:rPr>
      </w:r>
    </w:p>
    <w:p>
      <w:pPr>
        <w:spacing w:after="0" w:line="20" w:lineRule="exact"/>
      </w:pPr>
      <w:bookmarkStart w:id="12" w:name="source-11662"/>
      <w:bookmarkEnd w:id="12" w:name="source-11662"/>
    </w:p>
    <w:p>
      <w:pPr>
        <w:pStyle w:val="ListBullet"/>
      </w:pPr>
      <w:r>
        <w:rPr>
          <w:rFonts w:ascii="微软雅黑" w:hAnsi="微软雅黑" w:eastAsia="微软雅黑" w:cs="微软雅黑"/>
        </w:rPr>
        <w:t>[12] 新浪财经｜</w:t>
      </w:r>
      <w:hyperlink r:id="rId22">
        <w:r>
          <w:rPr>
            <w:rFonts w:ascii="微软雅黑" w:hAnsi="微软雅黑" w:eastAsia="微软雅黑" w:cs="微软雅黑"/>
            <w:color w:val="087E89"/>
          </w:rPr>
          <w:t>特朗普：“告诉韩国，不赶紧签字，我就把收费翻倍  ”</w:t>
        </w:r>
      </w:hyperlink>
      <w:r>
        <w:rPr>
          <w:rFonts w:ascii="微软雅黑" w:hAnsi="微软雅黑" w:eastAsia="微软雅黑" w:cs="微软雅黑"/>
        </w:rPr>
      </w:r>
    </w:p>
    <w:p>
      <w:pPr>
        <w:spacing w:after="0" w:line="20" w:lineRule="exact"/>
      </w:pPr>
      <w:bookmarkStart w:id="13" w:name="source-11602"/>
      <w:bookmarkEnd w:id="13" w:name="source-11602"/>
    </w:p>
    <w:p>
      <w:pPr>
        <w:pStyle w:val="ListBullet"/>
      </w:pPr>
      <w:r>
        <w:rPr>
          <w:rFonts w:ascii="微软雅黑" w:hAnsi="微软雅黑" w:eastAsia="微软雅黑" w:cs="微软雅黑"/>
        </w:rPr>
        <w:t>[13] 新浪财经｜</w:t>
      </w:r>
      <w:hyperlink r:id="rId23">
        <w:r>
          <w:rPr>
            <w:rFonts w:ascii="微软雅黑" w:hAnsi="微软雅黑" w:eastAsia="微软雅黑" w:cs="微软雅黑"/>
            <w:color w:val="087E89"/>
          </w:rPr>
          <w:t>G7打响“油价降温战”!一亿桶石油储备释放叠加特朗普放弃禁运，全球通胀迎来关键减压阀</w:t>
        </w:r>
      </w:hyperlink>
      <w:r>
        <w:rPr>
          <w:rFonts w:ascii="微软雅黑" w:hAnsi="微软雅黑" w:eastAsia="微软雅黑" w:cs="微软雅黑"/>
        </w:rPr>
      </w:r>
    </w:p>
    <w:p>
      <w:pPr>
        <w:spacing w:after="0" w:line="20" w:lineRule="exact"/>
      </w:pPr>
      <w:bookmarkStart w:id="14" w:name="source-11601"/>
      <w:bookmarkEnd w:id="14" w:name="source-11601"/>
    </w:p>
    <w:p>
      <w:pPr>
        <w:pStyle w:val="ListBullet"/>
      </w:pPr>
      <w:r>
        <w:rPr>
          <w:rFonts w:ascii="微软雅黑" w:hAnsi="微软雅黑" w:eastAsia="微软雅黑" w:cs="微软雅黑"/>
        </w:rPr>
        <w:t>[14] Mysteel｜</w:t>
      </w:r>
      <w:hyperlink r:id="rId24">
        <w:r>
          <w:rPr>
            <w:rFonts w:ascii="微软雅黑" w:hAnsi="微软雅黑" w:eastAsia="微软雅黑" w:cs="微软雅黑"/>
            <w:color w:val="087E89"/>
          </w:rPr>
          <w:t>G7同意联手释放1亿桶能源储备，换取美国放弃柴油出口禁令</w:t>
        </w:r>
      </w:hyperlink>
      <w:r>
        <w:rPr>
          <w:rFonts w:ascii="微软雅黑" w:hAnsi="微软雅黑" w:eastAsia="微软雅黑" w:cs="微软雅黑"/>
        </w:rPr>
      </w:r>
    </w:p>
    <w:p>
      <w:pPr>
        <w:spacing w:after="0" w:line="20" w:lineRule="exact"/>
      </w:pPr>
      <w:bookmarkStart w:id="15" w:name="source-11550"/>
      <w:bookmarkEnd w:id="15" w:name="source-11550"/>
    </w:p>
    <w:p>
      <w:pPr>
        <w:pStyle w:val="ListBullet"/>
      </w:pPr>
      <w:r>
        <w:rPr>
          <w:rFonts w:ascii="微软雅黑" w:hAnsi="微软雅黑" w:eastAsia="微软雅黑" w:cs="微软雅黑"/>
        </w:rPr>
        <w:t>[15] 中财网｜</w:t>
      </w:r>
      <w:hyperlink r:id="rId25">
        <w:r>
          <w:rPr>
            <w:rFonts w:ascii="微软雅黑" w:hAnsi="微软雅黑" w:eastAsia="微软雅黑" w:cs="微软雅黑"/>
            <w:color w:val="087E89"/>
          </w:rPr>
          <w:t>G7释放1亿桶石油柴油 平抑燃料价格飙升压力</w:t>
        </w:r>
      </w:hyperlink>
      <w:r>
        <w:rPr>
          <w:rFonts w:ascii="微软雅黑" w:hAnsi="微软雅黑" w:eastAsia="微软雅黑" w:cs="微软雅黑"/>
        </w:rPr>
      </w:r>
    </w:p>
    <w:p>
      <w:pPr>
        <w:spacing w:after="0" w:line="20" w:lineRule="exact"/>
      </w:pPr>
      <w:bookmarkStart w:id="16" w:name="source-11577"/>
      <w:bookmarkEnd w:id="16" w:name="source-11577"/>
    </w:p>
    <w:p>
      <w:pPr>
        <w:pStyle w:val="ListBullet"/>
      </w:pPr>
      <w:r>
        <w:rPr>
          <w:rFonts w:ascii="微软雅黑" w:hAnsi="微软雅黑" w:eastAsia="微软雅黑" w:cs="微软雅黑"/>
        </w:rPr>
        <w:t>[16] 新浪财经｜</w:t>
      </w:r>
      <w:hyperlink r:id="rId26">
        <w:r>
          <w:rPr>
            <w:rFonts w:ascii="微软雅黑" w:hAnsi="微软雅黑" w:eastAsia="微软雅黑" w:cs="微软雅黑"/>
            <w:color w:val="087E89"/>
          </w:rPr>
          <w:t>大宗商品综述：燃料价格大跌 铜价微升 金价走低</w:t>
        </w:r>
      </w:hyperlink>
      <w:r>
        <w:rPr>
          <w:rFonts w:ascii="微软雅黑" w:hAnsi="微软雅黑" w:eastAsia="微软雅黑" w:cs="微软雅黑"/>
        </w:rPr>
      </w:r>
    </w:p>
    <w:p>
      <w:pPr>
        <w:spacing w:after="0" w:line="20" w:lineRule="exact"/>
      </w:pPr>
      <w:bookmarkStart w:id="17" w:name="source-11582"/>
      <w:bookmarkEnd w:id="17" w:name="source-11582"/>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纽约磋商无果伊朗代表团按期回国 美再增派航母加码中东军力部署</w:t>
        </w:r>
      </w:hyperlink>
      <w:r>
        <w:rPr>
          <w:rFonts w:ascii="微软雅黑" w:hAnsi="微软雅黑" w:eastAsia="微软雅黑" w:cs="微软雅黑"/>
        </w:rPr>
      </w:r>
    </w:p>
    <w:p>
      <w:pPr>
        <w:spacing w:after="0" w:line="20" w:lineRule="exact"/>
      </w:pPr>
      <w:bookmarkStart w:id="18" w:name="source-11584"/>
      <w:bookmarkEnd w:id="18" w:name="source-11584"/>
    </w:p>
    <w:p>
      <w:pPr>
        <w:pStyle w:val="ListBullet"/>
      </w:pPr>
      <w:r>
        <w:rPr>
          <w:rFonts w:ascii="微软雅黑" w:hAnsi="微软雅黑" w:eastAsia="微软雅黑" w:cs="微软雅黑"/>
        </w:rPr>
        <w:t>[18] 新浪财经｜</w:t>
      </w:r>
      <w:hyperlink r:id="rId28">
        <w:r>
          <w:rPr>
            <w:rFonts w:ascii="微软雅黑" w:hAnsi="微软雅黑" w:eastAsia="微软雅黑" w:cs="微软雅黑"/>
            <w:color w:val="087E89"/>
          </w:rPr>
          <w:t>视频丨纽约磋商无果伊朗代表团按期回国 美再增派航母加码中东军力部署</w:t>
        </w:r>
      </w:hyperlink>
      <w:r>
        <w:rPr>
          <w:rFonts w:ascii="微软雅黑" w:hAnsi="微软雅黑" w:eastAsia="微软雅黑" w:cs="微软雅黑"/>
        </w:rPr>
      </w:r>
    </w:p>
    <w:p>
      <w:pPr>
        <w:spacing w:after="0" w:line="20" w:lineRule="exact"/>
      </w:pPr>
      <w:bookmarkStart w:id="19" w:name="source-11588"/>
      <w:bookmarkEnd w:id="19" w:name="source-11588"/>
    </w:p>
    <w:p>
      <w:pPr>
        <w:pStyle w:val="ListBullet"/>
      </w:pPr>
      <w:r>
        <w:rPr>
          <w:rFonts w:ascii="微软雅黑" w:hAnsi="微软雅黑" w:eastAsia="微软雅黑" w:cs="微软雅黑"/>
        </w:rPr>
        <w:t>[19] 新浪财经｜</w:t>
      </w:r>
      <w:hyperlink r:id="rId29">
        <w:r>
          <w:rPr>
            <w:rFonts w:ascii="微软雅黑" w:hAnsi="微软雅黑" w:eastAsia="微软雅黑" w:cs="微软雅黑"/>
            <w:color w:val="087E89"/>
          </w:rPr>
          <w:t>纽约磋商无果伊朗代表团按期回国 美再增派航母加码中东军力部署</w:t>
        </w:r>
      </w:hyperlink>
      <w:r>
        <w:rPr>
          <w:rFonts w:ascii="微软雅黑" w:hAnsi="微软雅黑" w:eastAsia="微软雅黑" w:cs="微软雅黑"/>
        </w:rPr>
      </w:r>
    </w:p>
    <w:p>
      <w:pPr>
        <w:spacing w:after="0" w:line="20" w:lineRule="exact"/>
      </w:pPr>
      <w:bookmarkStart w:id="20" w:name="source-11691"/>
      <w:bookmarkEnd w:id="20" w:name="source-11691"/>
    </w:p>
    <w:p>
      <w:pPr>
        <w:pStyle w:val="ListBullet"/>
      </w:pPr>
      <w:r>
        <w:rPr>
          <w:rFonts w:ascii="微软雅黑" w:hAnsi="微软雅黑" w:eastAsia="微软雅黑" w:cs="微软雅黑"/>
        </w:rPr>
        <w:t>[20] 科技日报｜</w:t>
      </w:r>
      <w:hyperlink r:id="rId30">
        <w:r>
          <w:rPr>
            <w:rFonts w:ascii="微软雅黑" w:hAnsi="微软雅黑" w:eastAsia="微软雅黑" w:cs="微软雅黑"/>
            <w:color w:val="087E89"/>
          </w:rPr>
          <w:t>“巨型充电宝”上新  我国首个百兆瓦级压缩二氧化碳储能项目成功并网</w:t>
        </w:r>
      </w:hyperlink>
      <w:r>
        <w:rPr>
          <w:rFonts w:ascii="微软雅黑" w:hAnsi="微软雅黑" w:eastAsia="微软雅黑" w:cs="微软雅黑"/>
        </w:rPr>
      </w:r>
    </w:p>
    <w:p>
      <w:pPr>
        <w:spacing w:after="0" w:line="20" w:lineRule="exact"/>
      </w:pPr>
      <w:bookmarkStart w:id="21" w:name="source-11608"/>
      <w:bookmarkEnd w:id="21" w:name="source-11608"/>
    </w:p>
    <w:p>
      <w:pPr>
        <w:pStyle w:val="ListBullet"/>
      </w:pPr>
      <w:r>
        <w:rPr>
          <w:rFonts w:ascii="微软雅黑" w:hAnsi="微软雅黑" w:eastAsia="微软雅黑" w:cs="微软雅黑"/>
        </w:rPr>
        <w:t>[21] 人民日报｜</w:t>
      </w:r>
      <w:hyperlink r:id="rId31">
        <w:r>
          <w:rPr>
            <w:rFonts w:ascii="微软雅黑" w:hAnsi="微软雅黑" w:eastAsia="微软雅黑" w:cs="微软雅黑"/>
            <w:color w:val="087E89"/>
          </w:rPr>
          <w:t>我国首个百兆瓦级 这个巨型“充电宝”成功并网</w:t>
        </w:r>
      </w:hyperlink>
      <w:r>
        <w:rPr>
          <w:rFonts w:ascii="微软雅黑" w:hAnsi="微软雅黑" w:eastAsia="微软雅黑" w:cs="微软雅黑"/>
        </w:rPr>
      </w:r>
    </w:p>
    <w:p>
      <w:pPr>
        <w:spacing w:after="0" w:line="20" w:lineRule="exact"/>
      </w:pPr>
      <w:bookmarkStart w:id="22" w:name="source-11639"/>
      <w:bookmarkEnd w:id="22" w:name="source-11639"/>
    </w:p>
    <w:p>
      <w:pPr>
        <w:pStyle w:val="ListBullet"/>
      </w:pPr>
      <w:r>
        <w:rPr>
          <w:rFonts w:ascii="微软雅黑" w:hAnsi="微软雅黑" w:eastAsia="微软雅黑" w:cs="微软雅黑"/>
        </w:rPr>
        <w:t>[22] The Battery Magazine｜</w:t>
      </w:r>
      <w:hyperlink r:id="rId32">
        <w:r>
          <w:rPr>
            <w:rFonts w:ascii="微软雅黑" w:hAnsi="微软雅黑" w:eastAsia="微软雅黑" w:cs="微软雅黑"/>
            <w:color w:val="087E89"/>
          </w:rPr>
          <w:t>中国将100 MW/1,000 MWh压缩二氧化碳储能项目并网</w:t>
        </w:r>
      </w:hyperlink>
      <w:r>
        <w:rPr>
          <w:rFonts w:ascii="微软雅黑" w:hAnsi="微软雅黑" w:eastAsia="微软雅黑" w:cs="微软雅黑"/>
        </w:rPr>
      </w:r>
    </w:p>
    <w:p>
      <w:pPr>
        <w:spacing w:after="0" w:line="20" w:lineRule="exact"/>
      </w:pPr>
      <w:bookmarkStart w:id="23" w:name="source-11625"/>
      <w:bookmarkEnd w:id="23" w:name="source-11625"/>
    </w:p>
    <w:p>
      <w:pPr>
        <w:pStyle w:val="ListBullet"/>
      </w:pPr>
      <w:r>
        <w:rPr>
          <w:rFonts w:ascii="微软雅黑" w:hAnsi="微软雅黑" w:eastAsia="微软雅黑" w:cs="微软雅黑"/>
        </w:rPr>
        <w:t>[23] The Battery Magazine｜</w:t>
      </w:r>
      <w:hyperlink r:id="rId33">
        <w:r>
          <w:rPr>
            <w:rFonts w:ascii="微软雅黑" w:hAnsi="微软雅黑" w:eastAsia="微软雅黑" w:cs="微软雅黑"/>
            <w:color w:val="087E89"/>
          </w:rPr>
          <w:t>电池储能系统电网规程：电池能否真正证明其电网就绪能力？</w:t>
        </w:r>
      </w:hyperlink>
      <w:r>
        <w:rPr>
          <w:rFonts w:ascii="微软雅黑" w:hAnsi="微软雅黑" w:eastAsia="微软雅黑" w:cs="微软雅黑"/>
        </w:rPr>
      </w:r>
    </w:p>
    <w:p>
      <w:pPr>
        <w:spacing w:after="0" w:line="20" w:lineRule="exact"/>
      </w:pPr>
      <w:bookmarkStart w:id="24" w:name="source-11570"/>
      <w:bookmarkEnd w:id="24" w:name="source-11570"/>
    </w:p>
    <w:p>
      <w:pPr>
        <w:pStyle w:val="ListBullet"/>
      </w:pPr>
      <w:r>
        <w:rPr>
          <w:rFonts w:ascii="微软雅黑" w:hAnsi="微软雅黑" w:eastAsia="微软雅黑" w:cs="微软雅黑"/>
        </w:rPr>
        <w:t>[24] 澳大利亚可再生能源新闻｜</w:t>
      </w:r>
      <w:hyperlink r:id="rId34">
        <w:r>
          <w:rPr>
            <w:rFonts w:ascii="微软雅黑" w:hAnsi="微软雅黑" w:eastAsia="微软雅黑" w:cs="微软雅黑"/>
            <w:color w:val="087E89"/>
          </w:rPr>
          <w:t>仍处于黑暗之中：Snowy Hydro 在没有对 Snowy 2 造价进行承诺审查的情况下迎来尴尬周年</w:t>
        </w:r>
      </w:hyperlink>
      <w:r>
        <w:rPr>
          <w:rFonts w:ascii="微软雅黑" w:hAnsi="微软雅黑" w:eastAsia="微软雅黑" w:cs="微软雅黑"/>
        </w:rPr>
      </w:r>
    </w:p>
    <w:p>
      <w:pPr>
        <w:spacing w:after="0" w:line="20" w:lineRule="exact"/>
      </w:pPr>
      <w:bookmarkStart w:id="25" w:name="source-11537"/>
      <w:bookmarkEnd w:id="25" w:name="source-11537"/>
    </w:p>
    <w:p>
      <w:pPr>
        <w:pStyle w:val="ListBullet"/>
      </w:pPr>
      <w:r>
        <w:rPr>
          <w:rFonts w:ascii="微软雅黑" w:hAnsi="微软雅黑" w:eastAsia="微软雅黑" w:cs="微软雅黑"/>
        </w:rPr>
        <w:t>[25] Nuclear Engineering International｜</w:t>
      </w:r>
      <w:hyperlink r:id="rId35">
        <w:r>
          <w:rPr>
            <w:rFonts w:ascii="微软雅黑" w:hAnsi="微软雅黑" w:eastAsia="微软雅黑" w:cs="微软雅黑"/>
            <w:color w:val="087E89"/>
          </w:rPr>
          <w:t>亚美尼亚重新审视小型模块化反应堆计划</w:t>
        </w:r>
      </w:hyperlink>
      <w:r>
        <w:rPr>
          <w:rFonts w:ascii="微软雅黑" w:hAnsi="微软雅黑" w:eastAsia="微软雅黑" w:cs="微软雅黑"/>
        </w:rPr>
      </w:r>
    </w:p>
    <w:p>
      <w:pPr>
        <w:spacing w:after="0" w:line="20" w:lineRule="exact"/>
      </w:pPr>
      <w:bookmarkStart w:id="26" w:name="source-11586"/>
      <w:bookmarkEnd w:id="26" w:name="source-11586"/>
    </w:p>
    <w:p>
      <w:pPr>
        <w:pStyle w:val="ListBullet"/>
      </w:pPr>
      <w:r>
        <w:rPr>
          <w:rFonts w:ascii="微软雅黑" w:hAnsi="微软雅黑" w:eastAsia="微软雅黑" w:cs="微软雅黑"/>
        </w:rPr>
        <w:t>[26] 韩国联合通讯社｜[[Easy Science] 太阳能板下面农作物也能长得好吗？](https://www.yna.co.kr/view/AKR20261002082900017?section=industry/energy-resource)</w:t>
      </w:r>
    </w:p>
    <w:p>
      <w:pPr>
        <w:spacing w:after="0" w:line="20" w:lineRule="exact"/>
      </w:pPr>
      <w:bookmarkStart w:id="27" w:name="source-11533"/>
      <w:bookmarkEnd w:id="27" w:name="source-11533"/>
    </w:p>
    <w:p>
      <w:pPr>
        <w:pStyle w:val="ListBullet"/>
      </w:pPr>
      <w:r>
        <w:rPr>
          <w:rFonts w:ascii="微软雅黑" w:hAnsi="微软雅黑" w:eastAsia="微软雅黑" w:cs="微软雅黑"/>
        </w:rPr>
        <w:t>[27] Interfax｜</w:t>
      </w:r>
      <w:hyperlink r:id="rId36">
        <w:r>
          <w:rPr>
            <w:rFonts w:ascii="微软雅黑" w:hAnsi="微软雅黑" w:eastAsia="微软雅黑" w:cs="微软雅黑"/>
            <w:color w:val="087E89"/>
          </w:rPr>
          <w:t>卢布周五因油价下跌在人民币交易中走低</w:t>
        </w:r>
      </w:hyperlink>
      <w:r>
        <w:rPr>
          <w:rFonts w:ascii="微软雅黑" w:hAnsi="微软雅黑" w:eastAsia="微软雅黑" w:cs="微软雅黑"/>
        </w:rPr>
      </w:r>
    </w:p>
    <w:p>
      <w:pPr>
        <w:spacing w:after="0" w:line="20" w:lineRule="exact"/>
      </w:pPr>
      <w:bookmarkStart w:id="28" w:name="source-11591"/>
      <w:bookmarkEnd w:id="28" w:name="source-11591"/>
    </w:p>
    <w:p>
      <w:pPr>
        <w:pStyle w:val="ListBullet"/>
      </w:pPr>
      <w:r>
        <w:rPr>
          <w:rFonts w:ascii="微软雅黑" w:hAnsi="微软雅黑" w:eastAsia="微软雅黑" w:cs="微软雅黑"/>
        </w:rPr>
        <w:t>[28] 汇通财经｜</w:t>
      </w:r>
      <w:hyperlink r:id="rId37">
        <w:r>
          <w:rPr>
            <w:rFonts w:ascii="微软雅黑" w:hAnsi="微软雅黑" w:eastAsia="微软雅黑" w:cs="微软雅黑"/>
            <w:color w:val="087E89"/>
          </w:rPr>
          <w:t>CFTC持仓报告：贵金属与原油净多头齐降，美债净空头多数增加</w:t>
        </w:r>
      </w:hyperlink>
      <w:r>
        <w:rPr>
          <w:rFonts w:ascii="微软雅黑" w:hAnsi="微软雅黑" w:eastAsia="微软雅黑" w:cs="微软雅黑"/>
        </w:rPr>
      </w:r>
    </w:p>
    <w:p>
      <w:pPr>
        <w:spacing w:after="0" w:line="20" w:lineRule="exact"/>
      </w:pPr>
      <w:bookmarkStart w:id="29" w:name="source-11660"/>
      <w:bookmarkEnd w:id="29" w:name="source-11660"/>
    </w:p>
    <w:p>
      <w:pPr>
        <w:pStyle w:val="ListBullet"/>
      </w:pPr>
      <w:r>
        <w:rPr>
          <w:rFonts w:ascii="微软雅黑" w:hAnsi="微软雅黑" w:eastAsia="微软雅黑" w:cs="微软雅黑"/>
        </w:rPr>
        <w:t>[29] 人民财讯等｜</w:t>
      </w:r>
      <w:hyperlink r:id="rId38">
        <w:r>
          <w:rPr>
            <w:rFonts w:ascii="微软雅黑" w:hAnsi="微软雅黑" w:eastAsia="微软雅黑" w:cs="微软雅黑"/>
            <w:color w:val="087E89"/>
          </w:rPr>
          <w:t>国际原子能机构：无人机袭击威胁扎波罗热核电站供电</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news.un.org/feed/view/en/story/2026/10/1168513" TargetMode="External"/><Relationship Id="rId12" Type="http://schemas.openxmlformats.org/officeDocument/2006/relationships/hyperlink" Target="https://finance.sina.com.cn/stock/usstock/c/2026-10-03/doc-initycec6237363.shtml" TargetMode="External"/><Relationship Id="rId13" Type="http://schemas.openxmlformats.org/officeDocument/2006/relationships/hyperlink" Target="https://finance.sina.com.cn/roll/2026-10-03/doc-initxwvz0642790.shtml" TargetMode="External"/><Relationship Id="rId14" Type="http://schemas.openxmlformats.org/officeDocument/2006/relationships/hyperlink" Target="https://www.chnenergy.com.cn/gjnyjtww/newCE0301/202610/7823c3a8654b443b8815331b2042291d.shtml" TargetMode="External"/><Relationship Id="rId15" Type="http://schemas.openxmlformats.org/officeDocument/2006/relationships/hyperlink" Target="https://home.treasury.gov/news/press-releases/sb0648/" TargetMode="External"/><Relationship Id="rId16" Type="http://schemas.openxmlformats.org/officeDocument/2006/relationships/hyperlink" Target="https://www.kmg.kz/press-center/press-releases/ai-amp-digital-bridge-2026/" TargetMode="External"/><Relationship Id="rId17" Type="http://schemas.openxmlformats.org/officeDocument/2006/relationships/hyperlink" Target="https://www.thebatterymagazine.com/un-welcomes-indias-green-energy-corridor-phase-iii/" TargetMode="External"/><Relationship Id="rId18" Type="http://schemas.openxmlformats.org/officeDocument/2006/relationships/hyperlink" Target="https://reneweconomy.com.au/one-of-australias-biggest-wind-farms-forced-to-revisit-off-take-deals-after-lengthy-construction-delays-and-repairs/?utm_source=rss&amp;utm_medium=rss&amp;utm_campaign=one-of-australias-biggest-wind-farms-forced-to-revisit-off-take-deals-after-lengthy-construction-delays-and-repairs" TargetMode="External"/><Relationship Id="rId19" Type="http://schemas.openxmlformats.org/officeDocument/2006/relationships/hyperlink" Target="https://www.stdaily.com/web/gdxw/2026-10/03/content_591604.html" TargetMode="External"/><Relationship Id="rId20" Type="http://schemas.openxmlformats.org/officeDocument/2006/relationships/hyperlink" Target="https://www.chinanews.com.cn/sh/2026/10-03/10707430.shtml" TargetMode="External"/><Relationship Id="rId21" Type="http://schemas.openxmlformats.org/officeDocument/2006/relationships/hyperlink" Target="https://www.stcn.com/article/detail/4206086.html" TargetMode="External"/><Relationship Id="rId22" Type="http://schemas.openxmlformats.org/officeDocument/2006/relationships/hyperlink" Target="https://finance.sina.com.cn/roll/2026-10-03/doc-initxsqi6382420.shtml" TargetMode="External"/><Relationship Id="rId23" Type="http://schemas.openxmlformats.org/officeDocument/2006/relationships/hyperlink" Target="https://finance.sina.com.cn/stock/hkstock/hkstocknews/2026-10-03/doc-initwzsp5057993.shtml" TargetMode="External"/><Relationship Id="rId24" Type="http://schemas.openxmlformats.org/officeDocument/2006/relationships/hyperlink" Target="https://news.mysteel.com/a/26100309/60B837EEBD2EDA2D.html" TargetMode="External"/><Relationship Id="rId25" Type="http://schemas.openxmlformats.org/officeDocument/2006/relationships/hyperlink" Target="https://industry.cfi.cn/p20261003000003.html" TargetMode="External"/><Relationship Id="rId26" Type="http://schemas.openxmlformats.org/officeDocument/2006/relationships/hyperlink" Target="https://finance.sina.com.cn/stock/usstock/c/2026-10-03/doc-initwvkt6742886.shtml" TargetMode="External"/><Relationship Id="rId27" Type="http://schemas.openxmlformats.org/officeDocument/2006/relationships/hyperlink" Target="https://finance.sina.com.cn/jjxw/2026-10-03/doc-initwvkr5153272.shtml" TargetMode="External"/><Relationship Id="rId28" Type="http://schemas.openxmlformats.org/officeDocument/2006/relationships/hyperlink" Target="https://finance.sina.com.cn/jjxw/2026-10-03/doc-initwvkt6751228.shtml" TargetMode="External"/><Relationship Id="rId29" Type="http://schemas.openxmlformats.org/officeDocument/2006/relationships/hyperlink" Target="https://finance.sina.com.cn/jjxw/2026-10-03/doc-initwvkp0960737.shtml" TargetMode="External"/><Relationship Id="rId30" Type="http://schemas.openxmlformats.org/officeDocument/2006/relationships/hyperlink" Target="https://www.stdaily.com/web/gdxw/2026-10/03/content_591671.html" TargetMode="External"/><Relationship Id="rId31" Type="http://schemas.openxmlformats.org/officeDocument/2006/relationships/hyperlink" Target="http://finance.people.com.cn/n1/2026/1003/c1004-40809087.html" TargetMode="External"/><Relationship Id="rId32" Type="http://schemas.openxmlformats.org/officeDocument/2006/relationships/hyperlink" Target="https://www.thebatterymagazine.com/china-compressed-co2-energy-storage-project-grid/" TargetMode="External"/><Relationship Id="rId33" Type="http://schemas.openxmlformats.org/officeDocument/2006/relationships/hyperlink" Target="https://www.thebatterymagazine.com/bess-grid-code-can-a-battery-really-prove-its-grid-readiness/" TargetMode="External"/><Relationship Id="rId34" Type="http://schemas.openxmlformats.org/officeDocument/2006/relationships/hyperlink" Target="https://reneweconomy.com.au/still-in-the-dark-snowy-hydros-awkward-anniversary-marked-without-promised-review-of-snowy-2-costings/?utm_source=rss&amp;utm_medium=rss&amp;utm_campaign=still-in-the-dark-snowy-hydros-awkward-anniversary-marked-without-promised-review-of-snowy-2-costings" TargetMode="External"/><Relationship Id="rId35" Type="http://schemas.openxmlformats.org/officeDocument/2006/relationships/hyperlink" Target="https://www.neimagazine.com/news/armenia-rethinks-smr-plan/" TargetMode="External"/><Relationship Id="rId36" Type="http://schemas.openxmlformats.org/officeDocument/2006/relationships/hyperlink" Target="https://www.interfax.ru/business/1120024" TargetMode="External"/><Relationship Id="rId37" Type="http://schemas.openxmlformats.org/officeDocument/2006/relationships/hyperlink" Target="https://www.fx678.com/C/20261003/202610030834282467.html" TargetMode="External"/><Relationship Id="rId38" Type="http://schemas.openxmlformats.org/officeDocument/2006/relationships/hyperlink" Target="https://www.stcn.com/article/detail/42061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2026年10月3日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