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信息覆盖时段：2026-10-28 00:00 至 2026-10-29 00:00（不含），Asia/Shanghai。</w:t>
      </w:r>
    </w:p>
    <w:p>
      <w:pPr/>
      <w:r>
        <w:rPr>
          <w:rFonts w:ascii="微软雅黑" w:hAnsi="微软雅黑" w:eastAsia="微软雅黑" w:cs="微软雅黑"/>
        </w:rPr>
        <w:t>统计区间：2026-10-28 至 2026-10-29（结束日不含，北京时间）</w:t>
      </w:r>
    </w:p>
    <w:p>
      <w:pPr>
        <w:ind w:firstLine="420"/>
      </w:pPr>
      <w:r>
        <w:rPr>
          <w:rFonts w:ascii="微软雅黑" w:hAnsi="微软雅黑" w:eastAsia="微软雅黑" w:cs="微软雅黑"/>
        </w:rPr>
        <w:t>资料更新截止：2026-10-29 05:21（北京时间）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Equinor三季度调整后经营收入123.5亿美元 创同期高位 </w:t>
      </w:r>
      <w:hyperlink w:anchor="source-29602">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英国财政大臣宣布废除燃气费固定日费 </w:t>
      </w:r>
      <w:hyperlink w:anchor="source-2960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美国能源部新联盟推进SI驱动的电池制造以增强竞争力 </w:t>
      </w:r>
      <w:hyperlink w:anchor="source-2999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印尼要求KKKS尽快执行已获批开发计划区块，无力开发须交还特许权 </w:t>
      </w:r>
      <w:hyperlink w:anchor="source-2984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南方区域电力市场转入正式运行 五省区同规则竞价 </w:t>
      </w:r>
      <w:hyperlink w:anchor="source-2980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9322">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Equinor 2026年第三季度调整后经营收入</w:t>
            </w:r>
          </w:p>
        </w:tc>
        <w:tc>
          <w:tcPr>
            <w:tcW w:type="dxa" w:w="2268"/>
          </w:tcPr>
          <w:p>
            <w:pPr>
              <w:spacing w:after="40"/>
            </w:pPr>
            <w:r>
              <w:rPr>
                <w:rFonts w:ascii="微软雅黑" w:hAnsi="微软雅黑" w:eastAsia="微软雅黑" w:cs="微软雅黑"/>
              </w:rPr>
              <w:t>123.5亿美元</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29602">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Equinor 2026年第三季度调整后净利润</w:t>
            </w:r>
          </w:p>
        </w:tc>
        <w:tc>
          <w:tcPr>
            <w:tcW w:type="dxa" w:w="2268"/>
          </w:tcPr>
          <w:p>
            <w:pPr>
              <w:spacing w:after="40"/>
            </w:pPr>
            <w:r>
              <w:rPr>
                <w:rFonts w:ascii="微软雅黑" w:hAnsi="微软雅黑" w:eastAsia="微软雅黑" w:cs="微软雅黑"/>
              </w:rPr>
              <w:t>28.6亿美元</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29602">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Equinor 2026年第三季度欧洲天然气实现价格</w:t>
            </w:r>
          </w:p>
        </w:tc>
        <w:tc>
          <w:tcPr>
            <w:tcW w:type="dxa" w:w="2268"/>
          </w:tcPr>
          <w:p>
            <w:pPr>
              <w:spacing w:after="40"/>
            </w:pPr>
            <w:r>
              <w:rPr>
                <w:rFonts w:ascii="微软雅黑" w:hAnsi="微软雅黑" w:eastAsia="微软雅黑" w:cs="微软雅黑"/>
              </w:rPr>
              <w:t>20.0美元/百万英热单位</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29602">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英国燃气费固定日费典型家庭年均费用</w:t>
            </w:r>
          </w:p>
        </w:tc>
        <w:tc>
          <w:tcPr>
            <w:tcW w:type="dxa" w:w="2268"/>
          </w:tcPr>
          <w:p>
            <w:pPr>
              <w:spacing w:after="40"/>
            </w:pPr>
            <w:r>
              <w:rPr>
                <w:rFonts w:ascii="微软雅黑" w:hAnsi="微软雅黑" w:eastAsia="微软雅黑" w:cs="微软雅黑"/>
              </w:rPr>
              <w:t>108英镑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60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取消固定日费后开户家庭平均年节省额</w:t>
            </w:r>
          </w:p>
        </w:tc>
        <w:tc>
          <w:tcPr>
            <w:tcW w:type="dxa" w:w="2268"/>
          </w:tcPr>
          <w:p>
            <w:pPr>
              <w:spacing w:after="40"/>
            </w:pPr>
            <w:r>
              <w:rPr>
                <w:rFonts w:ascii="微软雅黑" w:hAnsi="微软雅黑" w:eastAsia="微软雅黑" w:cs="微软雅黑"/>
              </w:rPr>
              <w:t>约45英镑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60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印尼全国原油开采量（lifting）趋势</w:t>
            </w:r>
          </w:p>
        </w:tc>
        <w:tc>
          <w:tcPr>
            <w:tcW w:type="dxa" w:w="2268"/>
          </w:tcPr>
          <w:p>
            <w:pPr>
              <w:spacing w:after="40"/>
            </w:pPr>
            <w:r>
              <w:rPr>
                <w:rFonts w:ascii="微软雅黑" w:hAnsi="微软雅黑" w:eastAsia="微软雅黑" w:cs="微软雅黑"/>
              </w:rPr>
              <w:t>过去10年持续下降</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84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南方区域电力市场节点电价刷新周期</w:t>
            </w:r>
          </w:p>
        </w:tc>
        <w:tc>
          <w:tcPr>
            <w:tcW w:type="dxa" w:w="2268"/>
          </w:tcPr>
          <w:p>
            <w:pPr>
              <w:spacing w:after="40"/>
            </w:pPr>
            <w:r>
              <w:rPr>
                <w:rFonts w:ascii="微软雅黑" w:hAnsi="微软雅黑" w:eastAsia="微软雅黑" w:cs="微软雅黑"/>
              </w:rPr>
              <w:t>每15分钟</w:t>
            </w:r>
          </w:p>
        </w:tc>
        <w:tc>
          <w:tcPr>
            <w:tcW w:type="dxa" w:w="2268"/>
          </w:tcPr>
          <w:p>
            <w:pPr>
              <w:spacing w:after="40"/>
            </w:pPr>
            <w:r>
              <w:rPr>
                <w:rFonts w:ascii="微软雅黑" w:hAnsi="微软雅黑" w:eastAsia="微软雅黑" w:cs="微软雅黑"/>
              </w:rPr>
              <w:t>2026-10-24</w:t>
            </w:r>
          </w:p>
        </w:tc>
        <w:tc>
          <w:tcPr>
            <w:tcW w:type="dxa" w:w="2268"/>
          </w:tcPr>
          <w:p>
            <w:pPr>
              <w:spacing w:after="40"/>
            </w:pPr>
            <w:r>
              <w:rPr>
                <w:rFonts w:ascii="微软雅黑" w:hAnsi="微软雅黑" w:eastAsia="微软雅黑" w:cs="微软雅黑"/>
              </w:rPr>
            </w:r>
            <w:hyperlink w:anchor="source-2980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932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委内瑞拉已探明石油储量</w:t>
            </w:r>
          </w:p>
        </w:tc>
        <w:tc>
          <w:tcPr>
            <w:tcW w:type="dxa" w:w="2268"/>
          </w:tcPr>
          <w:p>
            <w:pPr>
              <w:spacing w:after="40"/>
            </w:pPr>
            <w:r>
              <w:rPr>
                <w:rFonts w:ascii="微软雅黑" w:hAnsi="微软雅黑" w:eastAsia="微软雅黑" w:cs="微软雅黑"/>
              </w:rPr>
              <w:t>约3030亿桶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723">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委内瑞拉天然气储量</w:t>
            </w:r>
          </w:p>
        </w:tc>
        <w:tc>
          <w:tcPr>
            <w:tcW w:type="dxa" w:w="2268"/>
          </w:tcPr>
          <w:p>
            <w:pPr>
              <w:spacing w:after="40"/>
            </w:pPr>
            <w:r>
              <w:rPr>
                <w:rFonts w:ascii="微软雅黑" w:hAnsi="微软雅黑" w:eastAsia="微软雅黑" w:cs="微软雅黑"/>
              </w:rPr>
              <w:t>193万亿立方英尺</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9723">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中原油田普光气田大湾区块403湿气增压站投运后日增天然气商品气量</w:t>
            </w:r>
          </w:p>
        </w:tc>
        <w:tc>
          <w:tcPr>
            <w:tcW w:type="dxa" w:w="2268"/>
          </w:tcPr>
          <w:p>
            <w:pPr>
              <w:spacing w:after="40"/>
            </w:pPr>
            <w:r>
              <w:rPr>
                <w:rFonts w:ascii="微软雅黑" w:hAnsi="微软雅黑" w:eastAsia="微软雅黑" w:cs="微软雅黑"/>
              </w:rPr>
              <w:t>150万立方米</w:t>
            </w:r>
          </w:p>
        </w:tc>
        <w:tc>
          <w:tcPr>
            <w:tcW w:type="dxa" w:w="2268"/>
          </w:tcPr>
          <w:p>
            <w:pPr>
              <w:spacing w:after="40"/>
            </w:pPr>
            <w:r>
              <w:rPr>
                <w:rFonts w:ascii="微软雅黑" w:hAnsi="微软雅黑" w:eastAsia="微软雅黑" w:cs="微软雅黑"/>
              </w:rPr>
              <w:t>10月16日</w:t>
            </w:r>
          </w:p>
        </w:tc>
        <w:tc>
          <w:tcPr>
            <w:tcW w:type="dxa" w:w="2268"/>
          </w:tcPr>
          <w:p>
            <w:pPr>
              <w:spacing w:after="40"/>
            </w:pPr>
            <w:r>
              <w:rPr>
                <w:rFonts w:ascii="微软雅黑" w:hAnsi="微软雅黑" w:eastAsia="微软雅黑" w:cs="微软雅黑"/>
              </w:rPr>
            </w:r>
            <w:hyperlink w:anchor="source-29434">
              <w:r>
                <w:rPr>
                  <w:rFonts w:ascii="微软雅黑" w:hAnsi="微软雅黑" w:eastAsia="微软雅黑" w:cs="微软雅黑"/>
                  <w:color w:val="087E89"/>
                </w:rPr>
                <w:t>10</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印尼要求KKKS尽快执行已获批开发计划区块，无力开发须交还特许权</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印尼统筹部长兼能源与矿产资源部长巴利勒要求已获批开发计划（PoD）的KKKS特许权持有人立即执行项目，无力开发则须将特许权交还国家，以提升原油产量、压减进口。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统筹部长兼能源与矿产资源部长巴利勒·拉哈达利亚要求已持有工作合同承包商（KKKS）特许权并获批开发计划（PoD）的企业立即执行项目，若无力开发则须将特许权交还国家另行招标；该指令同样适用于国家石油公司Pertamina，他表示国企身份不是工作缓慢的理由。巴利勒于2026年10月28日在雅加达开幕2026年上游油气论坛（FOREK Hulu Migas 2026），称当前最艰巨的工作是提高原油产量，油价上涨、全球需求走强是行动的合适时机。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巴利勒称其指令是“建议”而非“威胁”，并表示若所有特许权持有者认真快速推进，总统普拉博沃·苏比安托的目标可在2029-2030年实现，项目加速执行是政府实现能源自给自足努力的一部分。</w:t>
      </w:r>
    </w:p>
    <w:p>
      <w:pPr>
        <w:ind w:firstLine="420"/>
      </w:pPr>
      <w:r>
        <w:rPr>
          <w:rFonts w:ascii="微软雅黑" w:hAnsi="微软雅黑" w:eastAsia="微软雅黑" w:cs="微软雅黑"/>
        </w:rPr>
        <w:t>来源：</w:t>
      </w:r>
      <w:hyperlink w:anchor="source-2984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印尼拟设一站式许可机构，上游油气许可将只需一个窗口</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印尼政府拟在《石油天然气法案》（RUU Migas）中设立专门机构（BUK），作为上游油气的一站式许可机构，解决承包商开工前需在各部门间奔波办许可、拖慢钻探进度的问题。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统筹部长兼能源与矿产资源部长巴利勒·拉哈达利亚表示，长期以来许可流程冗长导致勘探活动进展缓慢，他不希望KKKS中标后仍需在各部门间辗转办许可。RUU Migas还拟在勘探阶段提供税收减免：在活动仍处于勘探阶段且尚未产生成果期间无需缴税，纳税义务仅在产生成果后才适用。该简化措施与政府加快生产、提升国家原油开采量（lifting）的努力相一致。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政府希望通过一站式许可和勘探阶段激励，营造更好的上游油气投资环境，加快勘探和生产活动，与能源自给自足（swasembada energi）目标相一致。</w:t>
      </w:r>
    </w:p>
    <w:p>
      <w:pPr>
        <w:ind w:firstLine="420"/>
      </w:pPr>
      <w:r>
        <w:rPr>
          <w:rFonts w:ascii="微软雅黑" w:hAnsi="微软雅黑" w:eastAsia="微软雅黑" w:cs="微软雅黑"/>
        </w:rPr>
        <w:t>来源：</w:t>
      </w:r>
      <w:hyperlink w:anchor="source-29843">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3. Equinor三季度调整后经营收入123.5亿美元 创同期高位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Equinor公布2026年第三季度业绩，调整后经营收入123.5亿美元，净利润25.4亿美元，业绩主要受液体价格和欧洲天然气价格上涨推动。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第三季度调整后经营收入123.5亿美元，净经营收入119.5亿美元（去年同期为52.7亿美元），净利润25.4亿美元，调整后净利润28.6亿美元，调整后每股收益1.20美元。当季欧洲天然气实现价格为每百万英热单位20.0美元，液体价格为每桶92.3美元，业绩主要受液体价格和欧洲天然气价格上涨影响。营销、中游与加工（MMP）板块业绩强劲，主要受高炼油利润率、强劲炼油表现及LNG贸易驱动，其中Mongstad炼油厂贡献创纪录业绩。</w:t>
      </w:r>
    </w:p>
    <w:p>
      <w:pPr>
        <w:ind w:firstLine="420"/>
      </w:pPr>
      <w:r>
        <w:rPr>
          <w:rFonts w:ascii="微软雅黑" w:hAnsi="微软雅黑" w:eastAsia="微软雅黑" w:cs="微软雅黑"/>
        </w:rPr>
        <w:t>来源：</w:t>
      </w:r>
      <w:hyperlink w:anchor="source-29602">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4. 欧盟委员会启动与欧洲炼油行业首次高级别对话</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欧盟委员会启动与欧洲炼油行业的首次高级别对话，讨论加强欧洲能源安全、防务准备和工业竞争力，并与行业共同制定转型路线图。</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由能源与住房委员丹·约根森和国防与航天委员安德留斯·库比利乌斯共同主持，与会者包括炼油行业、新兴燃料生产商、工程公司、技术供应商、行业协会及北约代表。讨论涉及对中东冲突持续造成的中断的短期应对，以及欧洲炼油厂竞争力和转型的中期展望，重点包括优化现有欧洲炼油产能、增强燃料供应链韧性，并确保足够的生产能力以应对危机时期和防务需求。背景：欧盟炼油厂供应欧洲消费的约70%的航空燃油和85%的柴油。</w:t>
      </w:r>
    </w:p>
    <w:p>
      <w:pPr>
        <w:ind w:firstLine="420"/>
      </w:pPr>
      <w:r>
        <w:rPr>
          <w:rFonts w:ascii="微软雅黑" w:hAnsi="微软雅黑" w:eastAsia="微软雅黑" w:cs="微软雅黑"/>
        </w:rPr>
        <w:t>来源：</w:t>
      </w:r>
      <w:hyperlink w:anchor="source-29957">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5. 英国财政大臣宣布废除燃气费固定日费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英国财政大臣宣布废除燃气费固定日费，并要求Ofgem在2027年或其后尽快取消该收费。</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固定日费是无论用气多少都需支付的固定每日费用，即使完全不用气也须缴纳，典型家庭平均每年为108英镑。取消后固定成本将计入单位气价，可能使60%的开户家庭平均每年节省约45英镑；未获自动节省的家庭仍将更好掌控账单，政府将适时为少数家庭出台针对性缓解措施。财政大臣John Healey称其预算案将在已让缴费者多年承受额外成本、更易受全球冲击的能源政策上“划下界线”；首相Andy Burnham表示此举关乎基本公平，能源大臣Miatta Fahnbulleh称可负担性是其首要优先事项。</w:t>
      </w:r>
    </w:p>
    <w:p>
      <w:pPr>
        <w:ind w:firstLine="420"/>
      </w:pPr>
      <w:r>
        <w:rPr>
          <w:rFonts w:ascii="微软雅黑" w:hAnsi="微软雅黑" w:eastAsia="微软雅黑" w:cs="微软雅黑"/>
        </w:rPr>
        <w:t>来源：</w:t>
      </w:r>
      <w:hyperlink w:anchor="source-2960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欧洲天然气价格逼近100欧元，寒潮叠加库存偏低</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欧洲基准天然气期货价格一度突破每兆瓦时97欧元，为2022年能源危机以来首次，逼近100欧元关口；寒潮来袭叠加库存偏低，冬季供应承压。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周一欧洲基准天然气期货价格一度突破每兆瓦时97欧元，为2022年能源危机以来首次，年内涨幅约234%，并逼近每兆瓦时100欧元。Bruegel数据显示，截至10月24日欧盟储气设施库存率仅为74.6%，低于去年同期的82.9%和2023年同期的98.5%，IEEFA指出这是自2011年有记录以来同期最低水平；欧洲天然气基础设施协会数据显示欧盟库存自今年以来首次下降。天气预报显示本周末起欧洲大陆部分地区气温将比往年同期低2至3摄氏度，挪威气田计划外停产使形势进一步恶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库存缓冲不足意味着欧洲将越来越依赖国际天然气市场，并不得不与亚洲买家争夺有限供应；市场可能需要通过价格大幅上涨来平衡供应紧张与需求增长。</w:t>
      </w:r>
    </w:p>
    <w:p>
      <w:pPr>
        <w:ind w:firstLine="420"/>
      </w:pPr>
      <w:r>
        <w:rPr>
          <w:rFonts w:ascii="微软雅黑" w:hAnsi="微软雅黑" w:eastAsia="微软雅黑" w:cs="微软雅黑"/>
        </w:rPr>
        <w:t>来源：</w:t>
      </w:r>
      <w:hyperlink w:anchor="source-30052">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29967">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7. 冬季补库与供应扰动共振，国际动力煤价格延续上行</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过去一周，北半球冬季补库与出口国供应扰动共同支撑国际动力煤市场延续强势，印尼、澳大利亚、南非及欧洲主要煤价整体上行。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10月23日，印尼CCI3800大卡煤离岸价80.5美元/吨，周涨0.2美元/吨；CCI4700大卡煤104美元/吨，周涨0.7美元/吨，主产区干旱、河流水位偏低及森林火灾烟霾影响采矿与运输。澳大利亚纽卡斯尔港5500大卡煤涨至接近116美元/吨以上，6000大卡煤涨1.6美元/吨至150美元/吨上方，昆士兰州降雨致达尔林普尔湾码头等待约15天、格拉德斯通港约20天。南非理查兹湾5500大卡煤周涨近3美元/吨超116美元/吨，6000大卡煤涨近3.5美元/吨超131美元/吨。欧洲ARA三港6000大卡煤到岸价接近148美元/吨，创2023年初以来新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供应偏紧格局预计延续至年底；周末电厂库存逼近目标水平，买家转趋挑剔，仅在刚需时入场。</w:t>
      </w:r>
    </w:p>
    <w:p>
      <w:pPr>
        <w:ind w:firstLine="420"/>
      </w:pPr>
      <w:r>
        <w:rPr>
          <w:rFonts w:ascii="微软雅黑" w:hAnsi="微软雅黑" w:eastAsia="微软雅黑" w:cs="微软雅黑"/>
        </w:rPr>
        <w:t>来源：</w:t>
      </w:r>
      <w:hyperlink w:anchor="source-29897">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美国能源部向Constellation提供最高50亿美元贷款支持核电增容</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美国能源部能源主导融资办公室向Constellation Energy提供最高50亿美元的有条件贷款承诺，支持其位于伊利诺伊州、马里兰州和宾夕法尼亚州八座设施近1.1吉瓦的潜在核电增容与现代化项目。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融资涉及八座电站共15台在运反应堆，约15.5吉瓦净容量归属Constellation权益：PWR包括Braidwood（2,386兆瓦）、Byron（2,350兆瓦）、Calvert Cliffs（1,789兆瓦）；BWR包括Clinton（1,092兆瓦）、Dresden（1,845兆瓦）、LaSalle（2,320兆瓦）、Quad Cities（1,403兆瓦，Constellation持股75%）和Limerick（2,315兆瓦）。其UPRISE计划已确定约4.7吉瓦潜在核电容量增量，目标为5吉瓦。能源主导融资办公室拥有超过2890亿美元贷款授权，可为符合条件的核电增容项目提供最高80%的融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Constellation与Google、Amazon的20年协议已激励超过70亿美元投资，新增约1,080兆瓦核电容量；联邦融资有望降低借贷成本并加速开发。</w:t>
      </w:r>
    </w:p>
    <w:p>
      <w:pPr>
        <w:ind w:firstLine="420"/>
      </w:pPr>
      <w:r>
        <w:rPr>
          <w:rFonts w:ascii="微软雅黑" w:hAnsi="微软雅黑" w:eastAsia="微软雅黑" w:cs="微软雅黑"/>
        </w:rPr>
        <w:t>来源：</w:t>
      </w:r>
      <w:hyperlink w:anchor="source-2937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9773">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美国能源部新联盟推进SI驱动的电池制造以增强竞争力</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美国能源部太平洋西北国家实验室（PNNL）牵头成立全国性联盟“电池制造加速器”（BattMan Accelerator），旨在加速能源存储创新从发现走向国内制造，解决新电池技术规模化中的关键障碍。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联盟成员包括橡树岭、阿贡和落基山国家实验室，以及华盛顿大学、宾厄姆顿大学、阿拉巴马大学、亚利桑那州立大学和密歇根大学迪尔伯恩分校等创始高校伙伴。近期目标为实施高通量实验、自动化合成与表征及数字化制造工具，提升数据质量、可重复性和工艺一致性；长期目标是利用实时数据、数字孪生和闭环控制开发自优化制造系统，推进自主中试线。PNNL与伙伴近期发表论文，强调“超级智能”（SI）方法可加速新材料发现、提高实验室流程效率、支持预测性低成本设计并实时化解制造风险。加速器由能源部关键矿产与能源创新办公室下属的先进材料与制造技术办公室支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聚焦降低制造成本、加快从实验室到商业规模开发，并支持关键矿产供应链以减少对国外电池材料的依赖。</w:t>
      </w:r>
    </w:p>
    <w:p>
      <w:pPr>
        <w:ind w:firstLine="420"/>
      </w:pPr>
      <w:r>
        <w:rPr>
          <w:rFonts w:ascii="微软雅黑" w:hAnsi="微软雅黑" w:eastAsia="微软雅黑" w:cs="微软雅黑"/>
        </w:rPr>
        <w:t>来源：</w:t>
      </w:r>
      <w:hyperlink w:anchor="source-29993">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10. 美国能源部完成51亿美元贷款交割支持Alliant Energy项目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美国能源部能源主导融资办公室（EDF）宣布完成向Alliant Energy提供的51亿美元贷款包融资交割，旨在降低电价、扩大稳定发电能力并加强爱荷华州和威斯康星州的电网可靠性。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投资将新增或升级超过2.6吉瓦（GW）发电容量，用于建设新的天然气发电厂、增加储能系统（ESS）以及对现有发电设施进行升级，创造数百个建筑相关就业岗位。新增电力足以供应近200万户家庭的等效用电（能源部另一数据估计为约180万户家庭）。这笔贷款是特朗普政府第十次融资交割，也是通过能源主导融资计划完成的第六和第七笔公用事业融资，由新更名的“能源主导融资办公室”（EDF，前身为贷款项目办公室）监管。EDF办公室主任Gregory Beard表示，新的可靠电力将加强国家能源安全并降低两州家庭与企业的电费。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为两州的美国家庭和企业带来超过10亿美元的电力成本节省；但能源部表示，由于贷款需数十年偿还，电价下降可能需要多年才会显现。</w:t>
      </w:r>
    </w:p>
    <w:p>
      <w:pPr>
        <w:ind w:firstLine="420"/>
      </w:pPr>
      <w:r>
        <w:rPr>
          <w:rFonts w:ascii="微软雅黑" w:hAnsi="微软雅黑" w:eastAsia="微软雅黑" w:cs="微软雅黑"/>
        </w:rPr>
        <w:t>来源：</w:t>
      </w:r>
      <w:hyperlink w:anchor="source-29931">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29718">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11. 委内瑞拉修订碳氢化合物法吸引油气投资，PDVSA拟敲定105份合同</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委内瑞拉修订后的《碳氢化合物组织法》为油气行业创造新的投资机会，为国际公司开发重油储量、成熟油田、海上天然气资源和炼化基础设施提供不同合同选项，旨在吸引外资、提高产量并扩大能源价值链活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据商业政策副部长Ricardo Gomez在南非开普敦非洲能源周2026委内瑞拉全球投资论坛上公布的数据，委内瑞拉拥有约3030亿桶已探明石油储量和193万亿立方英尺天然气，机会涵盖上游项目到下游和炼化。碳氢化合物生产参与合同（CPPH）允许在委注册的公司以自担成本和风险方式运营指定区域25年；与PDVSA组建重组合资企业时国有公司保持多数股权，国际合作伙伴可获得运营管理职责和销售权。GeoPark获得奥里诺科重油带Bare油田25年合同，计划重新激活最多1100口井，并在2038年前将产量提高到约9万桶/日。海上天然气开发走单独许可程序，BP运营跨境Loran油田二期，与阿布扎比XRG和卡塔尔UCC Oil and Gas Holding持有等额股份许可。</w:t>
      </w:r>
    </w:p>
    <w:p>
      <w:pPr>
        <w:ind w:firstLine="420"/>
      </w:pPr>
      <w:r>
        <w:rPr>
          <w:rFonts w:ascii="微软雅黑" w:hAnsi="微软雅黑" w:eastAsia="微软雅黑" w:cs="微软雅黑"/>
        </w:rPr>
        <w:t>来源：</w:t>
      </w:r>
      <w:hyperlink w:anchor="source-29723">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12. 英国TRA公布进口PET保障措施调查初裁肯定性结论</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2026年10月23日，英国贸易救济署（TRA）公布对进口聚对苯二甲酸乙二醇酯（PET）保障措施调查的初裁肯定性结论，认定进口量增长对英国国内产业造成损害，案件编号SG0094。</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调查于2026年8月5日应ALPEK Polyester Limited申请发起，调查期为2021年1月1日至2025年12月31日，产品范围为粘度指数74 ml/g及以上的原生PET（vPET）及同粘度范围再生PET（rPET），现行税则号为3907 6100和3907 6900。TRA数据显示2021–2025年PET进口量增长68%，2023年下降后连续两年回升，2025年达到最高水平，同期英国国内产业产量持续下降；调查期末英国生产商国内售价承压下行，TRA认为生产成本下降不能充分解释价格走势。TRA将走势与全球PET产能扩张（尤其在亚洲）而需求未相应增长相联系，中国占全球PET贸易量比重2025年估计达35–45%，较2020年约23%上升；欧盟、加拿大和美国等大型市场的贸易防御措施及贸易流向变化、低成本原料可获得性是进口英国数量超预期增加的因素。</w:t>
      </w:r>
    </w:p>
    <w:p>
      <w:pPr>
        <w:ind w:firstLine="420"/>
      </w:pPr>
      <w:r>
        <w:rPr>
          <w:rFonts w:ascii="微软雅黑" w:hAnsi="微软雅黑" w:eastAsia="微软雅黑" w:cs="微软雅黑"/>
        </w:rPr>
        <w:t>来源：</w:t>
      </w:r>
      <w:hyperlink w:anchor="source-29990">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国家发展改革委发布《能源保供中长期合同管理办法（试行）》</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10月23日，国家发展改革委以2026年第50号令公布《能源保供中长期合同管理办法（试行）》，共6章45条，对电煤、电力、天然气保供中长期合同的签订、履行、监管等活动作出规定，将于12月1日起正式施行。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共6章45条，将电煤、电力、天然气三类保供中长期合同纳入统一制度框架，明确“企业主责、政府监管、分级负责”责任链条；坚持民生优先，天然气供应方不得单方面停止承担民生用气保障责任，承担民生供电供暖任务的燃煤发电供热企业列为应当签约的需求方；专设法律责任一章，签约履约情况视情纳入企业信用记录并依法开展失信惩戒，可作为国企综合考核、煤炭先进产能释放、跨省跨区送电安排、铁路运力保障的重要参考。国网能源院研究员马秋阳表示，合同将从“软约束”变成“硬规矩”，建议用好电力中长期市场D-2日连续开市等日频交易工具对冲风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针对“重签订、轻履行”“量价不符”、合同煤源被倒卖挪用、跨省跨区送电协议难落地等问题，把签约、资源保障、履行、变更、监管全链条一次性确立，提升中长期合同履约质效。</w:t>
      </w:r>
    </w:p>
    <w:p>
      <w:pPr>
        <w:ind w:firstLine="420"/>
      </w:pPr>
      <w:r>
        <w:rPr>
          <w:rFonts w:ascii="微软雅黑" w:hAnsi="微软雅黑" w:eastAsia="微软雅黑" w:cs="微软雅黑"/>
        </w:rPr>
        <w:t>来源：</w:t>
      </w:r>
      <w:hyperlink w:anchor="source-29443">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14. 中原油田403湿气增压站投运日增天然气商品气量150万立方米</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中原油田普光气田大湾区块403湿气增压站投运，日增天然气商品气量150万立方米，为供暖季保供再添新动能。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16日，中原油田普光气田大湾区块403湿气增压站经半年施工后投运，有效改善低压生产井工作条件，日增天然气商品气量150万立方米。中原油田强化生产组织、倒排时间节点全力增产，目前天然气日产量1800多万立方米，供暖季期间将进一步增加，较上个供暖季提高约10%。通南巴气田日均实施维护措施超110井次，并提前完成普光气田天然气净化厂第五联合装置调试。</w:t>
      </w:r>
    </w:p>
    <w:p>
      <w:pPr>
        <w:ind w:firstLine="420"/>
      </w:pPr>
      <w:r>
        <w:rPr>
          <w:rFonts w:ascii="微软雅黑" w:hAnsi="微软雅黑" w:eastAsia="微软雅黑" w:cs="微软雅黑"/>
        </w:rPr>
        <w:t>来源：</w:t>
      </w:r>
      <w:hyperlink w:anchor="source-29434">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15. 上海调整非居民用户天然气销售基准价格，11月1日起执行</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上海市发展改革委依据非居民天然气用户上下游价格联动机制，结合上游气源价格变动情况，决定调整非居民用户天然气销售基准价格，调整后的价格自2026年11月1日起执行。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上海市发展和改革委员会根据《关于本市非居民天然气用户上下游价格联动机制的通知》（沪发改规范〔2022〕10号）相关规定，结合本市天然气上游气源价格变动情况，决定调整非居民用户天然气销售基准价格。调整后的价格自2026年11月1日起执行。实际销售价格以政府制定的基准价格为基础，由供应企业在上下5%的浮动幅度内确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非居民用户天然气实际销售价格以调整后的基准价格为基础，由供应企业在上下5%的浮动幅度内确定。</w:t>
      </w:r>
    </w:p>
    <w:p>
      <w:pPr>
        <w:ind w:firstLine="420"/>
      </w:pPr>
      <w:r>
        <w:rPr>
          <w:rFonts w:ascii="微软雅黑" w:hAnsi="微软雅黑" w:eastAsia="微软雅黑" w:cs="微软雅黑"/>
        </w:rPr>
        <w:t>来源：</w:t>
      </w:r>
      <w:hyperlink w:anchor="source-29692">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16. 塔本陶勒盖至杭吉运煤公路暂停运输，满都拉口岸通关受影响</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因塔本陶勒盖-曼莱-杭吉公路整改未到位、安全不达标，自10月15日19点起暂停运输，该线路对应中方满都拉口岸。</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因塔本陶勒盖-曼莱-杭吉公路整改未到位、安全不达标，自10月15日19点起暂停运输。该线路对应中方满都拉口岸，10月日均通关约500车，其中蒙5#原煤不足60车。主流通道嘎顺苏海图-甘其毛都口岸不受影响，10月日均通关710车以上。</w:t>
      </w:r>
    </w:p>
    <w:p>
      <w:pPr>
        <w:ind w:firstLine="420"/>
      </w:pPr>
      <w:r>
        <w:rPr>
          <w:rFonts w:ascii="微软雅黑" w:hAnsi="微软雅黑" w:eastAsia="微软雅黑" w:cs="微软雅黑"/>
        </w:rPr>
        <w:t>来源：</w:t>
      </w:r>
      <w:hyperlink w:anchor="source-30051">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17. 中国核电子公司拟27.96亿元转让辛安核电项目1、2号机组资产</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10月27日，中国核电公告，控股子公司中核山东拟将中核山东海阳辛安核电项目1、2号机组相关资产，通过非公开协议方式按27.96亿元转让给山东二核。</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27日，中国核电公告，控股子公司中核山东拟将其持有的中核山东海阳辛安核电项目1、2号机组相关资产，通过非公开协议方式按照27.96亿元转让给山东二核，不构成关联交易或重大资产重组。2025年11月，中核山东设立全资子公司山东二核作为二期工程后续民资入股的主体，为确保后续批复主体和资产持有主体一致、推动后续华龙项目顺利核准。截至上半年末，山东二核资产总额、负债总额均为993.86万元。截至目前，项目1、2号机组尚未核准，暂未开展实质性建设运营工作。</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中国核电表示，本次交易在合并范围内进行，不会对财务及经营状况产生实质影响，不会产生关联交易及同业竞争，符合公司发展战略及全体股东利益。</w:t>
      </w:r>
    </w:p>
    <w:p>
      <w:pPr>
        <w:ind w:firstLine="420"/>
      </w:pPr>
      <w:r>
        <w:rPr>
          <w:rFonts w:ascii="微软雅黑" w:hAnsi="微软雅黑" w:eastAsia="微软雅黑" w:cs="微软雅黑"/>
        </w:rPr>
        <w:t>来源：</w:t>
      </w:r>
      <w:hyperlink w:anchor="source-2980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18. 南方区域电力市场转入正式运行 五省区同规则竞价</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国家发展改革委、国家能源局复函同意南方区域电力市场转入正式运行，五省区经营主体进入同一市场，全部电源类型在同一套规则下竞价并统一形成价格。</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发展改革委办公厅、国家能源局综合司复函（发改办体改〔2026〕715号，2026年10月14日）原则同意南方区域电力市场转入正式运行。10月24日市场正式运行，广东、广西、云南、贵州、海南五省区的发电企业、售电公司、电力用户及新型储能、虚拟电厂等经营主体进入同一市场，煤电、水电、核电、风电、光伏、气电等全部电源类型在同一套规则下竞价、统一形成价格。市场每15分钟刷新节点电价，价格随供需实时波动，并打通绿电、绿证交易渠道，企业可在更大范围比价选购绿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促进电力资源在更大范围内优化配置和畅通循环，充分挖掘新能源消纳空间，为全国统一电力市场体系建设营造良好环境。</w:t>
      </w:r>
    </w:p>
    <w:p>
      <w:pPr>
        <w:ind w:firstLine="420"/>
      </w:pPr>
      <w:r>
        <w:rPr>
          <w:rFonts w:ascii="微软雅黑" w:hAnsi="微软雅黑" w:eastAsia="微软雅黑" w:cs="微软雅黑"/>
        </w:rPr>
        <w:t>来源：</w:t>
      </w:r>
      <w:hyperlink w:anchor="source-2980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9322">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19. 北京印发“十五五”新型能源体系规划：2030年基本建成</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北京市人民政府印发《北京市“十五五”时期新型能源体系规划》，提出到2030年基本建成坚强韧性、清洁低碳、智能高效的新型能源体系。</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安全韧性水平显著提升，能源多元供给保障裕度充足，老旧设施和管线隐患基本消除，安全防控与极端情况风险抵御能力全面增强；绿色低碳转型持续深化，非化石能源成为能源消费增量主体，新增用电量需求主要由绿电保障，终端用能电气化水平持续提升；新型电力系统基本建成，新型供热系统加快建设，建筑、交通、工业等重点领域节能降碳水平显著提升；新型能源基础设施能力不断增强，源储调节能力优化升级，“人工智能+能源”融合应用纵深推进，先进能源产业加速培育壮大。到2035年，北京全面建成新型能源体系，非化石能源消费比重持续提高，绿色低碳关键核心技术研发领跑全国，先进能源产业发展迈上新台阶。</w:t>
      </w:r>
    </w:p>
    <w:p>
      <w:pPr>
        <w:ind w:firstLine="420"/>
      </w:pPr>
      <w:r>
        <w:rPr>
          <w:rFonts w:ascii="微软雅黑" w:hAnsi="微软雅黑" w:eastAsia="微软雅黑" w:cs="微软雅黑"/>
        </w:rPr>
        <w:t>来源：</w:t>
      </w:r>
      <w:hyperlink w:anchor="source-29571">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20. 中国中煤装备公司采煤机AI自动视频跟机系统获软件著作权</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中国中煤所属装备公司智能科技公司研发的《工作面采煤机AI自动视频跟机系统》近日获计算机软件著作权登记证书。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系统可实时追踪采煤机运行状态，自适应调节监控视角，智能识别设备故障与环境隐患并分级预警，有效减少人工干预。系统搭载八大数字化管理模块，覆盖设备运行、生产统计、维保溯源等全流程数据，实现采煤作业标准化、精细化管控。落地应用后实现井下采煤作业减人、增安、提效，提升综采工作面智能化管控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为矿井智能开采建设提供优质技术方案，为矿井智能生产提供精准数据支撑。</w:t>
      </w:r>
    </w:p>
    <w:p>
      <w:pPr>
        <w:ind w:firstLine="420"/>
      </w:pPr>
      <w:r>
        <w:rPr>
          <w:rFonts w:ascii="微软雅黑" w:hAnsi="微软雅黑" w:eastAsia="微软雅黑" w:cs="微软雅黑"/>
        </w:rPr>
        <w:t>来源：</w:t>
      </w:r>
      <w:hyperlink w:anchor="source-29629">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取消后固定成本将计入单位气价；未获自动节省的家庭需等待政府适时出台的针对性缓解措施。 </w:t>
      </w:r>
      <w:hyperlink w:anchor="source-2960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SI融入研究与制造能否实现从试错走向预测性设计，以及自主中试线能否缩短放大时间和成本，尚待落实。 </w:t>
      </w:r>
      <w:hyperlink w:anchor="source-2999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印尼大部分油井已老化，全国lifting在过去10年持续下降；巴利勒要求KKKS通过技术工程创新优化生产，并举埃克森美孚在东爪哇Cepu的做法为例；地缘政治不确定使各国保护自身能源需求，争夺石油可能在包括东南亚在内的多个地区引发紧张。 </w:t>
      </w:r>
      <w:hyperlink w:anchor="source-2984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复函要求进一步扩大市场交易范围和规模，推动除保障性用户外的电力用户全部直接参与市场交易，修订完善交易细则、升级技术平台功能并防范市场风险。 </w:t>
      </w:r>
      <w:hyperlink w:anchor="source-2980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9322">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PDVSA正努力在2026年底前敲定105份最终石油合同；委内瑞拉国内炼厂目前加工约35万桶/日，PDVSA目标2027年达到最高60万桶/日吞吐量，需投资恢复和升级加工能力。 </w:t>
      </w:r>
      <w:hyperlink w:anchor="source-29723">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随着新能源全面入市、现货市场全覆盖，市场价格可预测性下降，主体面对高比例中长期合约有一定履约压力；2027年电力交易需转变经营策略、科学设定签约比例。 </w:t>
      </w:r>
      <w:hyperlink w:anchor="source-29443">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603 篇文章，形成 406 篇有效能源材料；正文引用 24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7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9602"/>
      <w:bookmarkEnd w:id="1" w:name="source-29602"/>
    </w:p>
    <w:p>
      <w:pPr>
        <w:pStyle w:val="ListBullet"/>
      </w:pPr>
      <w:r>
        <w:rPr>
          <w:rFonts w:ascii="微软雅黑" w:hAnsi="微软雅黑" w:eastAsia="微软雅黑" w:cs="微软雅黑"/>
        </w:rPr>
        <w:t>[1] 挪威国家能源公司｜</w:t>
      </w:r>
      <w:hyperlink r:id="rId11">
        <w:r>
          <w:rPr>
            <w:rFonts w:ascii="微软雅黑" w:hAnsi="微软雅黑" w:eastAsia="微软雅黑" w:cs="微软雅黑"/>
            <w:color w:val="087E89"/>
          </w:rPr>
          <w:t>Equinor 2026年第三季度业绩</w:t>
        </w:r>
      </w:hyperlink>
      <w:r>
        <w:rPr>
          <w:rFonts w:ascii="微软雅黑" w:hAnsi="微软雅黑" w:eastAsia="微软雅黑" w:cs="微软雅黑"/>
        </w:rPr>
      </w:r>
    </w:p>
    <w:p>
      <w:pPr>
        <w:spacing w:after="0" w:line="20" w:lineRule="exact"/>
      </w:pPr>
      <w:bookmarkStart w:id="2" w:name="source-29600"/>
      <w:bookmarkEnd w:id="2" w:name="source-29600"/>
    </w:p>
    <w:p>
      <w:pPr>
        <w:pStyle w:val="ListBullet"/>
      </w:pPr>
      <w:r>
        <w:rPr>
          <w:rFonts w:ascii="微软雅黑" w:hAnsi="微软雅黑" w:eastAsia="微软雅黑" w:cs="微软雅黑"/>
        </w:rPr>
        <w:t>[2] 英国能源安全与净零排放部｜</w:t>
      </w:r>
      <w:hyperlink r:id="rId12">
        <w:r>
          <w:rPr>
            <w:rFonts w:ascii="微软雅黑" w:hAnsi="微软雅黑" w:eastAsia="微软雅黑" w:cs="微软雅黑"/>
            <w:color w:val="087E89"/>
          </w:rPr>
          <w:t>财政大臣废除燃气费固定日费以使缴费更公平</w:t>
        </w:r>
      </w:hyperlink>
      <w:r>
        <w:rPr>
          <w:rFonts w:ascii="微软雅黑" w:hAnsi="微软雅黑" w:eastAsia="微软雅黑" w:cs="微软雅黑"/>
        </w:rPr>
      </w:r>
    </w:p>
    <w:p>
      <w:pPr>
        <w:spacing w:after="0" w:line="20" w:lineRule="exact"/>
      </w:pPr>
      <w:bookmarkStart w:id="3" w:name="source-29993"/>
      <w:bookmarkEnd w:id="3" w:name="source-29993"/>
    </w:p>
    <w:p>
      <w:pPr>
        <w:pStyle w:val="ListBullet"/>
      </w:pPr>
      <w:r>
        <w:rPr>
          <w:rFonts w:ascii="微软雅黑" w:hAnsi="微软雅黑" w:eastAsia="微软雅黑" w:cs="微软雅黑"/>
        </w:rPr>
        <w:t>[3] 太平洋西北国家实验室｜</w:t>
      </w:r>
      <w:hyperlink r:id="rId13">
        <w:r>
          <w:rPr>
            <w:rFonts w:ascii="微软雅黑" w:hAnsi="微软雅黑" w:eastAsia="微软雅黑" w:cs="微软雅黑"/>
            <w:color w:val="087E89"/>
          </w:rPr>
          <w:t>美国能源部新联盟推进SI驱动的电池制造以增强美国竞争力</w:t>
        </w:r>
      </w:hyperlink>
      <w:r>
        <w:rPr>
          <w:rFonts w:ascii="微软雅黑" w:hAnsi="微软雅黑" w:eastAsia="微软雅黑" w:cs="微软雅黑"/>
        </w:rPr>
      </w:r>
    </w:p>
    <w:p>
      <w:pPr>
        <w:spacing w:after="0" w:line="20" w:lineRule="exact"/>
      </w:pPr>
      <w:bookmarkStart w:id="4" w:name="source-29845"/>
      <w:bookmarkEnd w:id="4" w:name="source-29845"/>
    </w:p>
    <w:p>
      <w:pPr>
        <w:pStyle w:val="ListBullet"/>
      </w:pPr>
      <w:r>
        <w:rPr>
          <w:rFonts w:ascii="微软雅黑" w:hAnsi="微软雅黑" w:eastAsia="微软雅黑" w:cs="微软雅黑"/>
        </w:rPr>
        <w:t>[4] 印度尼西亚能源与矿产资源部官网｜</w:t>
      </w:r>
      <w:hyperlink r:id="rId14">
        <w:r>
          <w:rPr>
            <w:rFonts w:ascii="微软雅黑" w:hAnsi="微软雅黑" w:eastAsia="微软雅黑" w:cs="微软雅黑"/>
            <w:color w:val="087E89"/>
          </w:rPr>
          <w:t>为提高产量、压减进口，巴利勒要求KKKS尽快执行已获批开发计划的区块</w:t>
        </w:r>
      </w:hyperlink>
      <w:r>
        <w:rPr>
          <w:rFonts w:ascii="微软雅黑" w:hAnsi="微软雅黑" w:eastAsia="微软雅黑" w:cs="微软雅黑"/>
        </w:rPr>
      </w:r>
    </w:p>
    <w:p>
      <w:pPr>
        <w:spacing w:after="0" w:line="20" w:lineRule="exact"/>
      </w:pPr>
      <w:bookmarkStart w:id="5" w:name="source-29808"/>
      <w:bookmarkEnd w:id="5" w:name="source-29808"/>
    </w:p>
    <w:p>
      <w:pPr>
        <w:pStyle w:val="ListBullet"/>
      </w:pPr>
      <w:r>
        <w:rPr>
          <w:rFonts w:ascii="微软雅黑" w:hAnsi="微软雅黑" w:eastAsia="微软雅黑" w:cs="微软雅黑"/>
        </w:rPr>
        <w:t>[5] 中国能源新闻网｜</w:t>
      </w:r>
      <w:hyperlink r:id="rId15">
        <w:r>
          <w:rPr>
            <w:rFonts w:ascii="微软雅黑" w:hAnsi="微软雅黑" w:eastAsia="微软雅黑" w:cs="微软雅黑"/>
            <w:color w:val="087E89"/>
          </w:rPr>
          <w:t>国家发改委、国家能源局同意南方区域电力市场转入正式运行</w:t>
        </w:r>
      </w:hyperlink>
      <w:r>
        <w:rPr>
          <w:rFonts w:ascii="微软雅黑" w:hAnsi="微软雅黑" w:eastAsia="微软雅黑" w:cs="微软雅黑"/>
        </w:rPr>
      </w:r>
    </w:p>
    <w:p>
      <w:pPr>
        <w:spacing w:after="0" w:line="20" w:lineRule="exact"/>
      </w:pPr>
      <w:bookmarkStart w:id="6" w:name="source-29322"/>
      <w:bookmarkEnd w:id="6" w:name="source-29322"/>
    </w:p>
    <w:p>
      <w:pPr>
        <w:pStyle w:val="ListBullet"/>
      </w:pPr>
      <w:r>
        <w:rPr>
          <w:rFonts w:ascii="微软雅黑" w:hAnsi="微软雅黑" w:eastAsia="微软雅黑" w:cs="微软雅黑"/>
        </w:rPr>
        <w:t>[6] 经济日报｜</w:t>
      </w:r>
      <w:hyperlink r:id="rId16">
        <w:r>
          <w:rPr>
            <w:rFonts w:ascii="微软雅黑" w:hAnsi="微软雅黑" w:eastAsia="微软雅黑" w:cs="微软雅黑"/>
            <w:color w:val="087E89"/>
          </w:rPr>
          <w:t>“电力超市”带来三重变化</w:t>
        </w:r>
      </w:hyperlink>
      <w:r>
        <w:rPr>
          <w:rFonts w:ascii="微软雅黑" w:hAnsi="微软雅黑" w:eastAsia="微软雅黑" w:cs="微软雅黑"/>
        </w:rPr>
      </w:r>
    </w:p>
    <w:p>
      <w:pPr>
        <w:spacing w:after="0" w:line="20" w:lineRule="exact"/>
      </w:pPr>
      <w:bookmarkStart w:id="7" w:name="source-29723"/>
      <w:bookmarkEnd w:id="7" w:name="source-29723"/>
    </w:p>
    <w:p>
      <w:pPr>
        <w:pStyle w:val="ListBullet"/>
      </w:pPr>
      <w:r>
        <w:rPr>
          <w:rFonts w:ascii="微软雅黑" w:hAnsi="微软雅黑" w:eastAsia="微软雅黑" w:cs="微软雅黑"/>
        </w:rPr>
        <w:t>[7] OGN News｜</w:t>
      </w:r>
      <w:hyperlink r:id="rId17">
        <w:r>
          <w:rPr>
            <w:rFonts w:ascii="微软雅黑" w:hAnsi="微软雅黑" w:eastAsia="微软雅黑" w:cs="微软雅黑"/>
            <w:color w:val="087E89"/>
          </w:rPr>
          <w:t>委内瑞拉修订后的碳氢化合物法按资产类型设定投资条款</w:t>
        </w:r>
      </w:hyperlink>
      <w:r>
        <w:rPr>
          <w:rFonts w:ascii="微软雅黑" w:hAnsi="微软雅黑" w:eastAsia="微软雅黑" w:cs="微软雅黑"/>
        </w:rPr>
      </w:r>
    </w:p>
    <w:p>
      <w:pPr>
        <w:spacing w:after="0" w:line="20" w:lineRule="exact"/>
      </w:pPr>
      <w:bookmarkStart w:id="8" w:name="source-29571"/>
      <w:bookmarkEnd w:id="8" w:name="source-29571"/>
    </w:p>
    <w:p>
      <w:pPr>
        <w:pStyle w:val="ListBullet"/>
      </w:pPr>
      <w:r>
        <w:rPr>
          <w:rFonts w:ascii="微软雅黑" w:hAnsi="微软雅黑" w:eastAsia="微软雅黑" w:cs="微软雅黑"/>
        </w:rPr>
        <w:t>[8] 财联社｜</w:t>
      </w:r>
      <w:hyperlink r:id="rId18">
        <w:r>
          <w:rPr>
            <w:rFonts w:ascii="微软雅黑" w:hAnsi="微软雅黑" w:eastAsia="微软雅黑" w:cs="微软雅黑"/>
            <w:color w:val="087E89"/>
          </w:rPr>
          <w:t>北京：到2030年 基本建成坚强韧性、清洁低碳、智能高效的新型能源体系</w:t>
        </w:r>
      </w:hyperlink>
      <w:r>
        <w:rPr>
          <w:rFonts w:ascii="微软雅黑" w:hAnsi="微软雅黑" w:eastAsia="微软雅黑" w:cs="微软雅黑"/>
        </w:rPr>
      </w:r>
    </w:p>
    <w:p>
      <w:pPr>
        <w:spacing w:after="0" w:line="20" w:lineRule="exact"/>
      </w:pPr>
      <w:bookmarkStart w:id="9" w:name="source-29443"/>
      <w:bookmarkEnd w:id="9" w:name="source-29443"/>
    </w:p>
    <w:p>
      <w:pPr>
        <w:pStyle w:val="ListBullet"/>
      </w:pPr>
      <w:r>
        <w:rPr>
          <w:rFonts w:ascii="微软雅黑" w:hAnsi="微软雅黑" w:eastAsia="微软雅黑" w:cs="微软雅黑"/>
        </w:rPr>
        <w:t>[9] 中国能源新闻网｜</w:t>
      </w:r>
      <w:hyperlink r:id="rId19">
        <w:r>
          <w:rPr>
            <w:rFonts w:ascii="微软雅黑" w:hAnsi="微软雅黑" w:eastAsia="微软雅黑" w:cs="微软雅黑"/>
            <w:color w:val="087E89"/>
          </w:rPr>
          <w:t>中能观察丨民生要夯实、市场要提质，能两全吗？——这份新规给出答案</w:t>
        </w:r>
      </w:hyperlink>
      <w:r>
        <w:rPr>
          <w:rFonts w:ascii="微软雅黑" w:hAnsi="微软雅黑" w:eastAsia="微软雅黑" w:cs="微软雅黑"/>
        </w:rPr>
      </w:r>
    </w:p>
    <w:p>
      <w:pPr>
        <w:spacing w:after="0" w:line="20" w:lineRule="exact"/>
      </w:pPr>
      <w:bookmarkStart w:id="10" w:name="source-29434"/>
      <w:bookmarkEnd w:id="10" w:name="source-29434"/>
    </w:p>
    <w:p>
      <w:pPr>
        <w:pStyle w:val="ListBullet"/>
      </w:pPr>
      <w:r>
        <w:rPr>
          <w:rFonts w:ascii="微软雅黑" w:hAnsi="微软雅黑" w:eastAsia="微软雅黑" w:cs="微软雅黑"/>
        </w:rPr>
        <w:t>[10] 上海石油天然气交易中心｜</w:t>
      </w:r>
      <w:hyperlink r:id="rId20">
        <w:r>
          <w:rPr>
            <w:rFonts w:ascii="微软雅黑" w:hAnsi="微软雅黑" w:eastAsia="微软雅黑" w:cs="微软雅黑"/>
            <w:color w:val="087E89"/>
          </w:rPr>
          <w:t>中国石化提前发力为冬供蓄能</w:t>
        </w:r>
      </w:hyperlink>
      <w:r>
        <w:rPr>
          <w:rFonts w:ascii="微软雅黑" w:hAnsi="微软雅黑" w:eastAsia="微软雅黑" w:cs="微软雅黑"/>
        </w:rPr>
      </w:r>
    </w:p>
    <w:p>
      <w:pPr>
        <w:spacing w:after="0" w:line="20" w:lineRule="exact"/>
      </w:pPr>
      <w:bookmarkStart w:id="11" w:name="source-29371"/>
      <w:bookmarkEnd w:id="11" w:name="source-29371"/>
    </w:p>
    <w:p>
      <w:pPr>
        <w:pStyle w:val="ListBullet"/>
      </w:pPr>
      <w:r>
        <w:rPr>
          <w:rFonts w:ascii="微软雅黑" w:hAnsi="微软雅黑" w:eastAsia="微软雅黑" w:cs="微软雅黑"/>
        </w:rPr>
        <w:t>[11] 《电力杂志》｜</w:t>
      </w:r>
      <w:hyperlink r:id="rId21">
        <w:r>
          <w:rPr>
            <w:rFonts w:ascii="微软雅黑" w:hAnsi="微软雅黑" w:eastAsia="微软雅黑" w:cs="微软雅黑"/>
            <w:color w:val="087E89"/>
          </w:rPr>
          <w:t>美国能源部向Constellation提供最高50亿美元贷款，用于八座核电站1.1吉瓦功率提升</w:t>
        </w:r>
      </w:hyperlink>
      <w:r>
        <w:rPr>
          <w:rFonts w:ascii="微软雅黑" w:hAnsi="微软雅黑" w:eastAsia="微软雅黑" w:cs="微软雅黑"/>
        </w:rPr>
      </w:r>
    </w:p>
    <w:p>
      <w:pPr>
        <w:spacing w:after="0" w:line="20" w:lineRule="exact"/>
      </w:pPr>
      <w:bookmarkStart w:id="12" w:name="source-29773"/>
      <w:bookmarkEnd w:id="12" w:name="source-29773"/>
    </w:p>
    <w:p>
      <w:pPr>
        <w:pStyle w:val="ListBullet"/>
      </w:pPr>
      <w:r>
        <w:rPr>
          <w:rFonts w:ascii="微软雅黑" w:hAnsi="微软雅黑" w:eastAsia="微软雅黑" w:cs="微软雅黑"/>
        </w:rPr>
        <w:t>[12] 世界核新闻｜</w:t>
      </w:r>
      <w:hyperlink r:id="rId22">
        <w:r>
          <w:rPr>
            <w:rFonts w:ascii="微软雅黑" w:hAnsi="微软雅黑" w:eastAsia="微软雅黑" w:cs="微软雅黑"/>
            <w:color w:val="087E89"/>
          </w:rPr>
          <w:t>美国政府贷款支持Constellation核电增容项目</w:t>
        </w:r>
      </w:hyperlink>
      <w:r>
        <w:rPr>
          <w:rFonts w:ascii="微软雅黑" w:hAnsi="微软雅黑" w:eastAsia="微软雅黑" w:cs="微软雅黑"/>
        </w:rPr>
      </w:r>
    </w:p>
    <w:p>
      <w:pPr>
        <w:spacing w:after="0" w:line="20" w:lineRule="exact"/>
      </w:pPr>
      <w:bookmarkStart w:id="13" w:name="source-29990"/>
      <w:bookmarkEnd w:id="13" w:name="source-29990"/>
    </w:p>
    <w:p>
      <w:pPr>
        <w:pStyle w:val="ListBullet"/>
      </w:pPr>
      <w:r>
        <w:rPr>
          <w:rFonts w:ascii="微软雅黑" w:hAnsi="微软雅黑" w:eastAsia="微软雅黑" w:cs="微软雅黑"/>
        </w:rPr>
        <w:t>[13] 越南工贸部官网｜</w:t>
      </w:r>
      <w:hyperlink r:id="rId23">
        <w:r>
          <w:rPr>
            <w:rFonts w:ascii="微软雅黑" w:hAnsi="微软雅黑" w:eastAsia="微软雅黑" w:cs="微软雅黑"/>
            <w:color w:val="087E89"/>
          </w:rPr>
          <w:t>英国公布对进口Poly产品保障措施调查初裁结论</w:t>
        </w:r>
      </w:hyperlink>
      <w:r>
        <w:rPr>
          <w:rFonts w:ascii="微软雅黑" w:hAnsi="微软雅黑" w:eastAsia="微软雅黑" w:cs="微软雅黑"/>
        </w:rPr>
      </w:r>
    </w:p>
    <w:p>
      <w:pPr>
        <w:spacing w:after="0" w:line="20" w:lineRule="exact"/>
      </w:pPr>
      <w:bookmarkStart w:id="14" w:name="source-29897"/>
      <w:bookmarkEnd w:id="14" w:name="source-29897"/>
    </w:p>
    <w:p>
      <w:pPr>
        <w:pStyle w:val="ListBullet"/>
      </w:pPr>
      <w:r>
        <w:rPr>
          <w:rFonts w:ascii="微软雅黑" w:hAnsi="微软雅黑" w:eastAsia="微软雅黑" w:cs="微软雅黑"/>
        </w:rPr>
        <w:t>[14] 中国能源网｜</w:t>
      </w:r>
      <w:hyperlink r:id="rId24">
        <w:r>
          <w:rPr>
            <w:rFonts w:ascii="微软雅黑" w:hAnsi="微软雅黑" w:eastAsia="微软雅黑" w:cs="微软雅黑"/>
            <w:color w:val="087E89"/>
          </w:rPr>
          <w:t>冬季补库与供应扰动共振，国际煤炭市场延续强势</w:t>
        </w:r>
      </w:hyperlink>
      <w:r>
        <w:rPr>
          <w:rFonts w:ascii="微软雅黑" w:hAnsi="微软雅黑" w:eastAsia="微软雅黑" w:cs="微软雅黑"/>
        </w:rPr>
      </w:r>
    </w:p>
    <w:p>
      <w:pPr>
        <w:spacing w:after="0" w:line="20" w:lineRule="exact"/>
      </w:pPr>
      <w:bookmarkStart w:id="15" w:name="source-30051"/>
      <w:bookmarkEnd w:id="15" w:name="source-30051"/>
    </w:p>
    <w:p>
      <w:pPr>
        <w:pStyle w:val="ListBullet"/>
      </w:pPr>
      <w:r>
        <w:rPr>
          <w:rFonts w:ascii="微软雅黑" w:hAnsi="微软雅黑" w:eastAsia="微软雅黑" w:cs="微软雅黑"/>
        </w:rPr>
        <w:t>[15] Mysteel｜</w:t>
      </w:r>
      <w:hyperlink r:id="rId25">
        <w:r>
          <w:rPr>
            <w:rFonts w:ascii="微软雅黑" w:hAnsi="微软雅黑" w:eastAsia="微软雅黑" w:cs="微软雅黑"/>
            <w:color w:val="087E89"/>
          </w:rPr>
          <w:t>Mysteel早读：塔本陶勒盖至杭吉运煤公路暂停，山东螺线价差创两年新高</w:t>
        </w:r>
      </w:hyperlink>
      <w:r>
        <w:rPr>
          <w:rFonts w:ascii="微软雅黑" w:hAnsi="微软雅黑" w:eastAsia="微软雅黑" w:cs="微软雅黑"/>
        </w:rPr>
      </w:r>
    </w:p>
    <w:p>
      <w:pPr>
        <w:spacing w:after="0" w:line="20" w:lineRule="exact"/>
      </w:pPr>
      <w:bookmarkStart w:id="16" w:name="source-29807"/>
      <w:bookmarkEnd w:id="16" w:name="source-29807"/>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中国核电子公司拟28亿转让资产</w:t>
        </w:r>
      </w:hyperlink>
      <w:r>
        <w:rPr>
          <w:rFonts w:ascii="微软雅黑" w:hAnsi="微软雅黑" w:eastAsia="微软雅黑" w:cs="微软雅黑"/>
        </w:rPr>
      </w:r>
    </w:p>
    <w:p>
      <w:pPr>
        <w:spacing w:after="0" w:line="20" w:lineRule="exact"/>
      </w:pPr>
      <w:bookmarkStart w:id="17" w:name="source-29692"/>
      <w:bookmarkEnd w:id="17" w:name="source-29692"/>
    </w:p>
    <w:p>
      <w:pPr>
        <w:pStyle w:val="ListBullet"/>
      </w:pPr>
      <w:r>
        <w:rPr>
          <w:rFonts w:ascii="微软雅黑" w:hAnsi="微软雅黑" w:eastAsia="微软雅黑" w:cs="微软雅黑"/>
        </w:rPr>
        <w:t>[17] 上海市发展改革委（能源与项目入口）｜</w:t>
      </w:r>
      <w:hyperlink r:id="rId27">
        <w:r>
          <w:rPr>
            <w:rFonts w:ascii="微软雅黑" w:hAnsi="微软雅黑" w:eastAsia="微软雅黑" w:cs="微软雅黑"/>
            <w:color w:val="087E89"/>
          </w:rPr>
          <w:t>关于调整本市非居民用户天然气销售基准价格的通知</w:t>
        </w:r>
      </w:hyperlink>
      <w:r>
        <w:rPr>
          <w:rFonts w:ascii="微软雅黑" w:hAnsi="微软雅黑" w:eastAsia="微软雅黑" w:cs="微软雅黑"/>
        </w:rPr>
      </w:r>
    </w:p>
    <w:p>
      <w:pPr>
        <w:spacing w:after="0" w:line="20" w:lineRule="exact"/>
      </w:pPr>
      <w:bookmarkStart w:id="18" w:name="source-29629"/>
      <w:bookmarkEnd w:id="18" w:name="source-29629"/>
    </w:p>
    <w:p>
      <w:pPr>
        <w:pStyle w:val="ListBullet"/>
      </w:pPr>
      <w:r>
        <w:rPr>
          <w:rFonts w:ascii="微软雅黑" w:hAnsi="微软雅黑" w:eastAsia="微软雅黑" w:cs="微软雅黑"/>
        </w:rPr>
        <w:t>[18] 中国中煤能源集团｜</w:t>
      </w:r>
      <w:hyperlink r:id="rId28">
        <w:r>
          <w:rPr>
            <w:rFonts w:ascii="微软雅黑" w:hAnsi="微软雅黑" w:eastAsia="微软雅黑" w:cs="微软雅黑"/>
            <w:color w:val="087E89"/>
          </w:rPr>
          <w:t>中国中煤所属装备公司1项科研成果获得软件著作权登记证书</w:t>
        </w:r>
      </w:hyperlink>
      <w:r>
        <w:rPr>
          <w:rFonts w:ascii="微软雅黑" w:hAnsi="微软雅黑" w:eastAsia="微软雅黑" w:cs="微软雅黑"/>
        </w:rPr>
      </w:r>
    </w:p>
    <w:p>
      <w:pPr>
        <w:spacing w:after="0" w:line="20" w:lineRule="exact"/>
      </w:pPr>
      <w:bookmarkStart w:id="19" w:name="source-30052"/>
      <w:bookmarkEnd w:id="19" w:name="source-30052"/>
    </w:p>
    <w:p>
      <w:pPr>
        <w:pStyle w:val="ListBullet"/>
      </w:pPr>
      <w:r>
        <w:rPr>
          <w:rFonts w:ascii="微软雅黑" w:hAnsi="微软雅黑" w:eastAsia="微软雅黑" w:cs="微软雅黑"/>
        </w:rPr>
        <w:t>[19] Mysteel｜</w:t>
      </w:r>
      <w:hyperlink r:id="rId29">
        <w:r>
          <w:rPr>
            <w:rFonts w:ascii="微软雅黑" w:hAnsi="微软雅黑" w:eastAsia="微软雅黑" w:cs="微软雅黑"/>
            <w:color w:val="087E89"/>
          </w:rPr>
          <w:t>欧洲天然气价格逼近100欧元！寒潮来袭叠加库存偏低，冬季能源供应承压</w:t>
        </w:r>
      </w:hyperlink>
      <w:r>
        <w:rPr>
          <w:rFonts w:ascii="微软雅黑" w:hAnsi="微软雅黑" w:eastAsia="微软雅黑" w:cs="微软雅黑"/>
        </w:rPr>
      </w:r>
    </w:p>
    <w:p>
      <w:pPr>
        <w:spacing w:after="0" w:line="20" w:lineRule="exact"/>
      </w:pPr>
      <w:bookmarkStart w:id="20" w:name="source-29967"/>
      <w:bookmarkEnd w:id="20" w:name="source-29967"/>
    </w:p>
    <w:p>
      <w:pPr>
        <w:pStyle w:val="ListBullet"/>
      </w:pPr>
      <w:r>
        <w:rPr>
          <w:rFonts w:ascii="微软雅黑" w:hAnsi="微软雅黑" w:eastAsia="微软雅黑" w:cs="微软雅黑"/>
        </w:rPr>
        <w:t>[20] Interfax｜</w:t>
      </w:r>
      <w:hyperlink r:id="rId30">
        <w:r>
          <w:rPr>
            <w:rFonts w:ascii="微软雅黑" w:hAnsi="微软雅黑" w:eastAsia="微软雅黑" w:cs="微软雅黑"/>
            <w:color w:val="087E89"/>
          </w:rPr>
          <w:t>欧洲天然气价格自2022年12月以来首次达到100欧元/兆瓦时</w:t>
        </w:r>
      </w:hyperlink>
      <w:r>
        <w:rPr>
          <w:rFonts w:ascii="微软雅黑" w:hAnsi="微软雅黑" w:eastAsia="微软雅黑" w:cs="微软雅黑"/>
        </w:rPr>
      </w:r>
    </w:p>
    <w:p>
      <w:pPr>
        <w:spacing w:after="0" w:line="20" w:lineRule="exact"/>
      </w:pPr>
      <w:bookmarkStart w:id="21" w:name="source-29957"/>
      <w:bookmarkEnd w:id="21" w:name="source-29957"/>
    </w:p>
    <w:p>
      <w:pPr>
        <w:pStyle w:val="ListBullet"/>
      </w:pPr>
      <w:r>
        <w:rPr>
          <w:rFonts w:ascii="微软雅黑" w:hAnsi="微软雅黑" w:eastAsia="微软雅黑" w:cs="微软雅黑"/>
        </w:rPr>
        <w:t>[21] 欧盟委员会能源总司｜</w:t>
      </w:r>
      <w:hyperlink r:id="rId31">
        <w:r>
          <w:rPr>
            <w:rFonts w:ascii="微软雅黑" w:hAnsi="微软雅黑" w:eastAsia="微软雅黑" w:cs="微软雅黑"/>
            <w:color w:val="087E89"/>
          </w:rPr>
          <w:t>欧盟委员会启动与欧洲炼油行业的高级别对话</w:t>
        </w:r>
      </w:hyperlink>
      <w:r>
        <w:rPr>
          <w:rFonts w:ascii="微软雅黑" w:hAnsi="微软雅黑" w:eastAsia="微软雅黑" w:cs="微软雅黑"/>
        </w:rPr>
      </w:r>
    </w:p>
    <w:p>
      <w:pPr>
        <w:spacing w:after="0" w:line="20" w:lineRule="exact"/>
      </w:pPr>
      <w:bookmarkStart w:id="22" w:name="source-29931"/>
      <w:bookmarkEnd w:id="22" w:name="source-29931"/>
    </w:p>
    <w:p>
      <w:pPr>
        <w:pStyle w:val="ListBullet"/>
      </w:pPr>
      <w:r>
        <w:rPr>
          <w:rFonts w:ascii="微软雅黑" w:hAnsi="微软雅黑" w:eastAsia="微软雅黑" w:cs="微软雅黑"/>
        </w:rPr>
        <w:t>[22] 美国能源部｜</w:t>
      </w:r>
      <w:hyperlink r:id="rId32">
        <w:r>
          <w:rPr>
            <w:rFonts w:ascii="微软雅黑" w:hAnsi="微软雅黑" w:eastAsia="微软雅黑" w:cs="微软雅黑"/>
            <w:color w:val="087E89"/>
          </w:rPr>
          <w:t>能源部完成51亿美元贷款交割，降低爱荷华州和威斯康星州电价并加强电网可靠性</w:t>
        </w:r>
      </w:hyperlink>
      <w:r>
        <w:rPr>
          <w:rFonts w:ascii="微软雅黑" w:hAnsi="微软雅黑" w:eastAsia="微软雅黑" w:cs="微软雅黑"/>
        </w:rPr>
      </w:r>
    </w:p>
    <w:p>
      <w:pPr>
        <w:spacing w:after="0" w:line="20" w:lineRule="exact"/>
      </w:pPr>
      <w:bookmarkStart w:id="23" w:name="source-29718"/>
      <w:bookmarkEnd w:id="23" w:name="source-29718"/>
    </w:p>
    <w:p>
      <w:pPr>
        <w:pStyle w:val="ListBullet"/>
      </w:pPr>
      <w:r>
        <w:rPr>
          <w:rFonts w:ascii="微软雅黑" w:hAnsi="微软雅黑" w:eastAsia="微软雅黑" w:cs="微软雅黑"/>
        </w:rPr>
        <w:t>[23] Power Technology｜</w:t>
      </w:r>
      <w:hyperlink r:id="rId33">
        <w:r>
          <w:rPr>
            <w:rFonts w:ascii="微软雅黑" w:hAnsi="微软雅黑" w:eastAsia="微软雅黑" w:cs="微软雅黑"/>
            <w:color w:val="087E89"/>
          </w:rPr>
          <w:t>美国能源部批准51亿美元贷款支持Alliant Energy电力项目</w:t>
        </w:r>
      </w:hyperlink>
      <w:r>
        <w:rPr>
          <w:rFonts w:ascii="微软雅黑" w:hAnsi="微软雅黑" w:eastAsia="微软雅黑" w:cs="微软雅黑"/>
        </w:rPr>
      </w:r>
    </w:p>
    <w:p>
      <w:pPr>
        <w:spacing w:after="0" w:line="20" w:lineRule="exact"/>
      </w:pPr>
      <w:bookmarkStart w:id="24" w:name="source-29843"/>
      <w:bookmarkEnd w:id="24" w:name="source-29843"/>
    </w:p>
    <w:p>
      <w:pPr>
        <w:pStyle w:val="ListBullet"/>
      </w:pPr>
      <w:r>
        <w:rPr>
          <w:rFonts w:ascii="微软雅黑" w:hAnsi="微软雅黑" w:eastAsia="微软雅黑" w:cs="微软雅黑"/>
        </w:rPr>
        <w:t>[24] 印度尼西亚能源与矿产资源部官网｜</w:t>
      </w:r>
      <w:hyperlink r:id="rId34">
        <w:r>
          <w:rPr>
            <w:rFonts w:ascii="微软雅黑" w:hAnsi="微软雅黑" w:eastAsia="微软雅黑" w:cs="微软雅黑"/>
            <w:color w:val="087E89"/>
          </w:rPr>
          <w:t>无需再跑遍各部委：上游油气许可将只需一个窗口</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equinor.com/news/equinor-third-quarter-2026-results" TargetMode="External"/><Relationship Id="rId12" Type="http://schemas.openxmlformats.org/officeDocument/2006/relationships/hyperlink" Target="https://www.gov.uk/government/news/chancellor-abolishes-standing-charges-on-gas-bills-to-make-payments-fairer" TargetMode="External"/><Relationship Id="rId13" Type="http://schemas.openxmlformats.org/officeDocument/2006/relationships/hyperlink" Target="https://www.pnnl.gov/news-media/new-doe-consortium-advances-si-driven-battery-manufacturing-strengthen-us" TargetMode="External"/><Relationship Id="rId14" Type="http://schemas.openxmlformats.org/officeDocument/2006/relationships/hyperlink" Target="https://www.esdm.go.id/id/media-center/arsip-berita/kejar-lifting-dan-tekan-impor-bahlil-minta-kkks-segera-eksekusi-blok-yang-sudah-pod" TargetMode="External"/><Relationship Id="rId15" Type="http://schemas.openxmlformats.org/officeDocument/2006/relationships/hyperlink" Target="https://www.cpnn.com.cn/news/nytt/202610/t20261028_1922973.html" TargetMode="External"/><Relationship Id="rId16" Type="http://schemas.openxmlformats.org/officeDocument/2006/relationships/hyperlink" Target="http://www.ce.cn/cysc/newmain/yc/jsxw/202610/t20261028_3273674.shtml" TargetMode="External"/><Relationship Id="rId17" Type="http://schemas.openxmlformats.org/officeDocument/2006/relationships/hyperlink" Target="https://ognnews.com/ArticleTA/488743/venezuelas-revised-hydrocarbons-law-sets-investment-terms-by-asset-type" TargetMode="External"/><Relationship Id="rId18" Type="http://schemas.openxmlformats.org/officeDocument/2006/relationships/hyperlink" Target="https://www.cls.cn/detail/2517761" TargetMode="External"/><Relationship Id="rId19" Type="http://schemas.openxmlformats.org/officeDocument/2006/relationships/hyperlink" Target="https://www.cpnn.com.cn/news/xwtt/202610/t20261028_1922861.html" TargetMode="External"/><Relationship Id="rId20" Type="http://schemas.openxmlformats.org/officeDocument/2006/relationships/hyperlink" Target="https://www.shpgx.com/html/xyzx/20261028/10233.html" TargetMode="External"/><Relationship Id="rId21" Type="http://schemas.openxmlformats.org/officeDocument/2006/relationships/hyperlink" Target="https://www.powermag.com/doe-offers-constellation-up-to-5b-loan-for-1-1-gw-of-nuclear-uprates-at-eight-plants/" TargetMode="External"/><Relationship Id="rId22" Type="http://schemas.openxmlformats.org/officeDocument/2006/relationships/hyperlink" Target="https://www.world-nuclear-news.org/articles/us-government-loan-to-support-constellation-uprates" TargetMode="External"/><Relationship Id="rId23" Type="http://schemas.openxmlformats.org/officeDocument/2006/relationships/hyperlink" Target="https://moit.gov.vn/tin-tuc/vuong-quoc-anh-cong-bo-ket-luan-so-bo-dieu-tra-tu-ve-doi-voi-san-pham-poly-nhap-khau.html" TargetMode="External"/><Relationship Id="rId24" Type="http://schemas.openxmlformats.org/officeDocument/2006/relationships/hyperlink" Target="https://www.china5e.com/news/news-1211087-1.html" TargetMode="External"/><Relationship Id="rId25" Type="http://schemas.openxmlformats.org/officeDocument/2006/relationships/hyperlink" Target="https://news.mysteel.com/a/26102807/8A6AAC50BBB5210E.html" TargetMode="External"/><Relationship Id="rId26" Type="http://schemas.openxmlformats.org/officeDocument/2006/relationships/hyperlink" Target="https://www.cpnn.com.cn/news/nyqy/202610/t20261028_1922919.html" TargetMode="External"/><Relationship Id="rId27" Type="http://schemas.openxmlformats.org/officeDocument/2006/relationships/hyperlink" Target="https://fgw.sh.gov.cn/fgw_jggl/20261028/52fde67cc5084d01a0e87aacde15e556.html" TargetMode="External"/><Relationship Id="rId28" Type="http://schemas.openxmlformats.org/officeDocument/2006/relationships/hyperlink" Target="https://www.chinacoal.com/col/col34/art/2026/art_f7a1a2717819418b88d1f29c17ca6b45.html" TargetMode="External"/><Relationship Id="rId29" Type="http://schemas.openxmlformats.org/officeDocument/2006/relationships/hyperlink" Target="https://news.mysteel.com/a/26102808/9786672CA70D13C0.html" TargetMode="External"/><Relationship Id="rId30" Type="http://schemas.openxmlformats.org/officeDocument/2006/relationships/hyperlink" Target="https://www.interfax.ru/business/1125546" TargetMode="External"/><Relationship Id="rId31" Type="http://schemas.openxmlformats.org/officeDocument/2006/relationships/hyperlink" Target="https://energy.ec.europa.eu/news/commission-launches-high-level-dialogue-european-oil-refining-sector-2026-10-28_en" TargetMode="External"/><Relationship Id="rId32" Type="http://schemas.openxmlformats.org/officeDocument/2006/relationships/hyperlink" Target="https://www.energy.gov/articles/energy-department-closes-51-billion-loan-lower-electricity-costs-and-strengthen-grid" TargetMode="External"/><Relationship Id="rId33" Type="http://schemas.openxmlformats.org/officeDocument/2006/relationships/hyperlink" Target="https://www.power-technology.com/news/us-approves-loan-alliant-energy/" TargetMode="External"/><Relationship Id="rId34" Type="http://schemas.openxmlformats.org/officeDocument/2006/relationships/hyperlink" Target="https://www.esdm.go.id/id/media-center/arsip-berita/tak-perlu-lagi-keliling-kementerian-izin-hulu-migas-bakal-cukup-di-satu-pi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2026年10月28日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