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0" w:line="20" w:lineRule="atLeast"/>
        <w:ind w:firstLine="0" w:left="0" w:right="0"/>
      </w:pPr>
      <w:r>
        <w:rPr>
          <w:rFonts w:ascii="微软雅黑" w:hAnsi="微软雅黑" w:eastAsia="微软雅黑" w:cs="微软雅黑"/>
          <w:sz w:val="2"/>
        </w:rPr>
        <w:drawing>
          <wp:inline xmlns:a="http://schemas.openxmlformats.org/drawingml/2006/main" xmlns:pic="http://schemas.openxmlformats.org/drawingml/2006/picture">
            <wp:extent cx="7488000" cy="10584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488000" cy="10584000"/>
                    </a:xfrm>
                    <a:prstGeom prst="rect"/>
                  </pic:spPr>
                </pic:pic>
              </a:graphicData>
            </a:graphic>
          </wp:inline>
        </w:drawing>
      </w:r>
    </w:p>
    <w:p>
      <w:pPr>
        <w:spacing w:before="0" w:after="0" w:line="20" w:lineRule="exact"/>
        <w:sectPr>
          <w:pgSz w:w="11906" w:h="16838"/>
          <w:pgMar w:top="0" w:right="0" w:bottom="0" w:left="0" w:header="720" w:footer="720" w:gutter="0"/>
          <w:cols w:space="720"/>
          <w:docGrid w:linePitch="360"/>
        </w:sectPr>
      </w:pPr>
    </w:p>
    <w:p>
      <w:pPr>
        <w:spacing w:after="180"/>
      </w:pPr>
      <w:r>
        <w:rPr>
          <w:rFonts w:ascii="微软雅黑" w:hAnsi="微软雅黑" w:eastAsia="微软雅黑" w:cs="微软雅黑"/>
          <w:b/>
          <w:sz w:val="30"/>
        </w:rPr>
        <w:t>报告目录</w:t>
      </w:r>
    </w:p>
    <w:p>
      <w:pPr>
        <w:pStyle w:val="ListBullet"/>
        <w:spacing w:after="60"/>
      </w:pPr>
      <w:r>
        <w:rPr>
          <w:rFonts w:ascii="微软雅黑" w:hAnsi="微软雅黑" w:eastAsia="微软雅黑" w:cs="微软雅黑"/>
        </w:rPr>
        <w:t>核心摘要</w:t>
      </w:r>
    </w:p>
    <w:p>
      <w:pPr>
        <w:pStyle w:val="ListBullet"/>
        <w:spacing w:after="60"/>
      </w:pPr>
      <w:r>
        <w:rPr>
          <w:rFonts w:ascii="微软雅黑" w:hAnsi="微软雅黑" w:eastAsia="微软雅黑" w:cs="微软雅黑"/>
        </w:rPr>
        <w:t>关键数据</w:t>
      </w:r>
    </w:p>
    <w:p>
      <w:pPr>
        <w:pStyle w:val="ListBullet"/>
        <w:spacing w:after="60"/>
      </w:pPr>
      <w:r>
        <w:rPr>
          <w:rFonts w:ascii="微软雅黑" w:hAnsi="微软雅黑" w:eastAsia="微软雅黑" w:cs="微软雅黑"/>
        </w:rPr>
        <w:t>国际重点事件</w:t>
      </w:r>
    </w:p>
    <w:p>
      <w:pPr>
        <w:pStyle w:val="ListBullet"/>
        <w:spacing w:after="60"/>
      </w:pPr>
      <w:r>
        <w:rPr>
          <w:rFonts w:ascii="微软雅黑" w:hAnsi="微软雅黑" w:eastAsia="微软雅黑" w:cs="微软雅黑"/>
        </w:rPr>
        <w:t>中国重点事件</w:t>
      </w:r>
    </w:p>
    <w:p>
      <w:pPr>
        <w:pStyle w:val="ListBullet"/>
        <w:spacing w:after="60"/>
      </w:pPr>
      <w:r>
        <w:rPr>
          <w:rFonts w:ascii="微软雅黑" w:hAnsi="微软雅黑" w:eastAsia="微软雅黑" w:cs="微软雅黑"/>
        </w:rPr>
        <w:t>风险与后续观察</w:t>
      </w:r>
    </w:p>
    <w:p>
      <w:pPr>
        <w:pStyle w:val="ListBullet"/>
        <w:spacing w:after="60"/>
      </w:pPr>
      <w:r>
        <w:rPr>
          <w:rFonts w:ascii="微软雅黑" w:hAnsi="微软雅黑" w:eastAsia="微软雅黑" w:cs="微软雅黑"/>
        </w:rPr>
        <w:t>资料覆盖说明</w:t>
      </w:r>
    </w:p>
    <w:p>
      <w:pPr>
        <w:pStyle w:val="ListBullet"/>
        <w:spacing w:after="60"/>
      </w:pPr>
      <w:r>
        <w:rPr>
          <w:rFonts w:ascii="微软雅黑" w:hAnsi="微软雅黑" w:eastAsia="微软雅黑" w:cs="微软雅黑"/>
        </w:rPr>
        <w:t>资料来源</w:t>
      </w:r>
    </w:p>
    <w:p>
      <w:pPr>
        <w:spacing w:after="280"/>
      </w:pPr>
    </w:p>
    <w:p>
      <w:pPr>
        <w:ind w:firstLine="420"/>
      </w:pPr>
      <w:r>
        <w:rPr>
          <w:rFonts w:ascii="微软雅黑" w:hAnsi="微软雅黑" w:eastAsia="微软雅黑" w:cs="微软雅黑"/>
        </w:rPr>
        <w:t>信息覆盖时段：2026-10-26 00:00 至 2026-10-27 00:00（不含），Asia/Shanghai。</w:t>
      </w:r>
    </w:p>
    <w:p>
      <w:pPr/>
      <w:r>
        <w:rPr>
          <w:rFonts w:ascii="微软雅黑" w:hAnsi="微软雅黑" w:eastAsia="微软雅黑" w:cs="微软雅黑"/>
        </w:rPr>
        <w:t>统计区间：2026-10-26 至 2026-10-27（结束日不含，北京时间）</w:t>
      </w:r>
    </w:p>
    <w:p>
      <w:pPr>
        <w:ind w:firstLine="420"/>
      </w:pPr>
      <w:r>
        <w:rPr>
          <w:rFonts w:ascii="微软雅黑" w:hAnsi="微软雅黑" w:eastAsia="微软雅黑" w:cs="微软雅黑"/>
        </w:rPr>
        <w:t>资料更新截止：2026-10-27 04:02（北京时间）</w:t>
      </w:r>
    </w:p>
    <w:p>
      <w:pPr>
        <w:pStyle w:val="Heading2"/>
      </w:pPr>
      <w:r>
        <w:rPr>
          <w:rFonts w:ascii="微软雅黑" w:hAnsi="微软雅黑" w:eastAsia="微软雅黑" w:cs="微软雅黑"/>
        </w:rPr>
        <w:t>核心摘要</w:t>
      </w:r>
    </w:p>
    <w:p>
      <w:pPr>
        <w:pStyle w:val="ListBullet"/>
      </w:pPr>
      <w:r>
        <w:rPr>
          <w:rFonts w:ascii="微软雅黑" w:hAnsi="微软雅黑" w:eastAsia="微软雅黑" w:cs="微软雅黑"/>
        </w:rPr>
        <w:t xml:space="preserve">联合国调查委员会认定俄罗斯袭击能源基础设施构成战争罪 </w:t>
      </w:r>
      <w:hyperlink w:anchor="source-28216">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印尼总统条例107/2026出台，原油、成品油和LPG进口改政府间采购 </w:t>
      </w:r>
      <w:hyperlink w:anchor="source-2797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南方区域电力市场转入正式运行 全国统一电力市场建设取得突破 </w:t>
      </w:r>
      <w:hyperlink w:anchor="source-27927">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7930">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7654">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7641">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“十五五”将开展找矿大会战行动，石油列聚焦矿种首位 </w:t>
      </w:r>
      <w:hyperlink w:anchor="source-27648">
        <w:r>
          <w:rPr>
            <w:rFonts w:ascii="微软雅黑" w:hAnsi="微软雅黑" w:eastAsia="微软雅黑" w:cs="微软雅黑"/>
            <w:color w:val="087E89"/>
          </w:rPr>
          <w:t>7</w:t>
        </w:r>
      </w:hyperlink>
      <w:r>
        <w:rPr>
          <w:rFonts w:ascii="微软雅黑" w:hAnsi="微软雅黑" w:eastAsia="微软雅黑" w:cs="微软雅黑"/>
        </w:rPr>
      </w:r>
    </w:p>
    <w:p>
      <w:pPr>
        <w:pStyle w:val="ListBullet"/>
      </w:pPr>
      <w:r>
        <w:rPr>
          <w:rFonts w:ascii="微软雅黑" w:hAnsi="微软雅黑" w:eastAsia="微软雅黑" w:cs="微软雅黑"/>
        </w:rPr>
        <w:t xml:space="preserve">EQT全股票收购Range，打造美国最大天然气生产商 </w:t>
      </w:r>
      <w:hyperlink w:anchor="source-28139">
        <w:r>
          <w:rPr>
            <w:rFonts w:ascii="微软雅黑" w:hAnsi="微软雅黑" w:eastAsia="微软雅黑" w:cs="微软雅黑"/>
            <w:color w:val="087E89"/>
          </w:rPr>
          <w:t>8</w:t>
        </w:r>
      </w:hyperlink>
      <w:r>
        <w:rPr>
          <w:rFonts w:ascii="微软雅黑" w:hAnsi="微软雅黑" w:eastAsia="微软雅黑" w:cs="微软雅黑"/>
        </w:rPr>
      </w:r>
    </w:p>
    <w:p>
      <w:pPr>
        <w:pStyle w:val="Heading2"/>
        <w:keepNext/>
      </w:pPr>
      <w:r>
        <w:rPr>
          <w:rFonts w:ascii="微软雅黑" w:hAnsi="微软雅黑" w:eastAsia="微软雅黑" w:cs="微软雅黑"/>
        </w:rPr>
        <w:t>关键数据</w:t>
      </w:r>
    </w:p>
    <w:tbl>
      <w:tblPr>
        <w:tblStyle w:val="TableGrid"/>
        <w:tblW w:type="auto" w:w="0"/>
        <w:tblLook w:firstColumn="1" w:firstRow="1" w:lastColumn="0" w:lastRow="0" w:noHBand="0" w:noVBand="1" w:val="04A0"/>
      </w:tblPr>
      <w:tblGrid>
        <w:gridCol w:w="2268"/>
        <w:gridCol w:w="2268"/>
        <w:gridCol w:w="2268"/>
        <w:gridCol w:w="2268"/>
      </w:tblGrid>
      <w:tr>
        <w:trPr>
          <w:cantSplit/>
          <w:tblHeader/>
        </w:trPr>
        <w:tc>
          <w:tcPr>
            <w:tcW w:type="dxa" w:w="2268"/>
          </w:tcPr>
          <w:p>
            <w:pPr>
              <w:spacing w:after="40"/>
            </w:pPr>
            <w:r>
              <w:rPr>
                <w:rFonts w:ascii="微软雅黑" w:hAnsi="微软雅黑" w:eastAsia="微软雅黑" w:cs="微软雅黑"/>
                <w:b/>
              </w:rPr>
              <w:t>指标</w:t>
            </w:r>
          </w:p>
        </w:tc>
        <w:tc>
          <w:tcPr>
            <w:tcW w:type="dxa" w:w="2268"/>
          </w:tcPr>
          <w:p>
            <w:pPr>
              <w:spacing w:after="40"/>
            </w:pPr>
            <w:r>
              <w:rPr>
                <w:rFonts w:ascii="微软雅黑" w:hAnsi="微软雅黑" w:eastAsia="微软雅黑" w:cs="微软雅黑"/>
                <w:b/>
              </w:rPr>
              <w:t>数值及单位</w:t>
            </w:r>
          </w:p>
        </w:tc>
        <w:tc>
          <w:tcPr>
            <w:tcW w:type="dxa" w:w="2268"/>
          </w:tcPr>
          <w:p>
            <w:pPr>
              <w:spacing w:after="40"/>
            </w:pPr>
            <w:r>
              <w:rPr>
                <w:rFonts w:ascii="微软雅黑" w:hAnsi="微软雅黑" w:eastAsia="微软雅黑" w:cs="微软雅黑"/>
                <w:b/>
              </w:rPr>
              <w:t>数据时间</w:t>
            </w:r>
          </w:p>
        </w:tc>
        <w:tc>
          <w:tcPr>
            <w:tcW w:type="dxa" w:w="2268"/>
          </w:tcPr>
          <w:p>
            <w:pPr>
              <w:spacing w:after="40"/>
            </w:pPr>
            <w:r>
              <w:rPr>
                <w:rFonts w:ascii="微软雅黑" w:hAnsi="微软雅黑" w:eastAsia="微软雅黑" w:cs="微软雅黑"/>
                <w:b/>
              </w:rPr>
              <w:t>来源</w:t>
            </w:r>
          </w:p>
        </w:tc>
      </w:tr>
      <w:tr>
        <w:trPr>
          <w:cantSplit/>
        </w:trPr>
        <w:tc>
          <w:tcPr>
            <w:tcW w:type="dxa" w:w="2268"/>
          </w:tcPr>
          <w:p>
            <w:pPr>
              <w:spacing w:after="40"/>
            </w:pPr>
            <w:r>
              <w:rPr>
                <w:rFonts w:ascii="微软雅黑" w:hAnsi="微软雅黑" w:eastAsia="微软雅黑" w:cs="微软雅黑"/>
              </w:rPr>
              <w:t>南方区域电力市场累计交易电量</w:t>
            </w:r>
          </w:p>
        </w:tc>
        <w:tc>
          <w:tcPr>
            <w:tcW w:type="dxa" w:w="2268"/>
          </w:tcPr>
          <w:p>
            <w:pPr>
              <w:spacing w:after="40"/>
            </w:pPr>
            <w:r>
              <w:rPr>
                <w:rFonts w:ascii="微软雅黑" w:hAnsi="微软雅黑" w:eastAsia="微软雅黑" w:cs="微软雅黑"/>
              </w:rPr>
              <w:t>近9000亿千瓦时，占全网售电量比例超七成</w:t>
            </w:r>
          </w:p>
        </w:tc>
        <w:tc>
          <w:tcPr>
            <w:tcW w:type="dxa" w:w="2268"/>
          </w:tcPr>
          <w:p>
            <w:pPr>
              <w:spacing w:after="40"/>
            </w:pPr>
            <w:r>
              <w:rPr>
                <w:rFonts w:ascii="微软雅黑" w:hAnsi="微软雅黑" w:eastAsia="微软雅黑" w:cs="微软雅黑"/>
              </w:rPr>
              <w:t>2026年1月至9月</w:t>
            </w:r>
          </w:p>
        </w:tc>
        <w:tc>
          <w:tcPr>
            <w:tcW w:type="dxa" w:w="2268"/>
          </w:tcPr>
          <w:p>
            <w:pPr>
              <w:spacing w:after="40"/>
            </w:pPr>
            <w:r>
              <w:rPr>
                <w:rFonts w:ascii="微软雅黑" w:hAnsi="微软雅黑" w:eastAsia="微软雅黑" w:cs="微软雅黑"/>
              </w:rPr>
            </w:r>
            <w:hyperlink w:anchor="source-27927">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7930">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7654">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7641">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南方区域电力市场经营主体注册数</w:t>
            </w:r>
          </w:p>
        </w:tc>
        <w:tc>
          <w:tcPr>
            <w:tcW w:type="dxa" w:w="2268"/>
          </w:tcPr>
          <w:p>
            <w:pPr>
              <w:spacing w:after="40"/>
            </w:pPr>
            <w:r>
              <w:rPr>
                <w:rFonts w:ascii="微软雅黑" w:hAnsi="微软雅黑" w:eastAsia="微软雅黑" w:cs="微软雅黑"/>
              </w:rPr>
              <w:t>突破29万家</w:t>
            </w:r>
          </w:p>
        </w:tc>
        <w:tc>
          <w:tcPr>
            <w:tcW w:type="dxa" w:w="2268"/>
          </w:tcPr>
          <w:p>
            <w:pPr>
              <w:spacing w:after="40"/>
            </w:pPr>
            <w:r>
              <w:rPr>
                <w:rFonts w:ascii="微软雅黑" w:hAnsi="微软雅黑" w:eastAsia="微软雅黑" w:cs="微软雅黑"/>
              </w:rPr>
              <w:t>2026年10月</w:t>
            </w:r>
          </w:p>
        </w:tc>
        <w:tc>
          <w:tcPr>
            <w:tcW w:type="dxa" w:w="2268"/>
          </w:tcPr>
          <w:p>
            <w:pPr>
              <w:spacing w:after="40"/>
            </w:pPr>
            <w:r>
              <w:rPr>
                <w:rFonts w:ascii="微软雅黑" w:hAnsi="微软雅黑" w:eastAsia="微软雅黑" w:cs="微软雅黑"/>
              </w:rPr>
            </w:r>
            <w:hyperlink w:anchor="source-27927">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7930">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7654">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7641">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南方区域电力市场最大单日出清电量</w:t>
            </w:r>
          </w:p>
        </w:tc>
        <w:tc>
          <w:tcPr>
            <w:tcW w:type="dxa" w:w="2268"/>
          </w:tcPr>
          <w:p>
            <w:pPr>
              <w:spacing w:after="40"/>
            </w:pPr>
            <w:r>
              <w:rPr>
                <w:rFonts w:ascii="微软雅黑" w:hAnsi="微软雅黑" w:eastAsia="微软雅黑" w:cs="微软雅黑"/>
              </w:rPr>
              <w:t>超40亿千瓦时</w:t>
            </w:r>
          </w:p>
        </w:tc>
        <w:tc>
          <w:tcPr>
            <w:tcW w:type="dxa" w:w="2268"/>
          </w:tcPr>
          <w:p>
            <w:pPr>
              <w:spacing w:after="40"/>
            </w:pPr>
            <w:r>
              <w:rPr>
                <w:rFonts w:ascii="微软雅黑" w:hAnsi="微软雅黑" w:eastAsia="微软雅黑" w:cs="微软雅黑"/>
              </w:rPr>
              <w:t>2026年1月至9月</w:t>
            </w:r>
          </w:p>
        </w:tc>
        <w:tc>
          <w:tcPr>
            <w:tcW w:type="dxa" w:w="2268"/>
          </w:tcPr>
          <w:p>
            <w:pPr>
              <w:spacing w:after="40"/>
            </w:pPr>
            <w:r>
              <w:rPr>
                <w:rFonts w:ascii="微软雅黑" w:hAnsi="微软雅黑" w:eastAsia="微软雅黑" w:cs="微软雅黑"/>
              </w:rPr>
            </w:r>
            <w:hyperlink w:anchor="source-27927">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7930">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7654">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7641">
              <w:r>
                <w:rPr>
                  <w:rFonts w:ascii="微软雅黑" w:hAnsi="微软雅黑" w:eastAsia="微软雅黑" w:cs="微软雅黑"/>
                  <w:color w:val="087E89"/>
                </w:rPr>
                <w:t>6</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中国国内油气供应量</w:t>
            </w:r>
          </w:p>
        </w:tc>
        <w:tc>
          <w:tcPr>
            <w:tcW w:type="dxa" w:w="2268"/>
          </w:tcPr>
          <w:p>
            <w:pPr>
              <w:spacing w:after="40"/>
            </w:pPr>
            <w:r>
              <w:rPr>
                <w:rFonts w:ascii="微软雅黑" w:hAnsi="微软雅黑" w:eastAsia="微软雅黑" w:cs="微软雅黑"/>
              </w:rPr>
              <w:t>4.2亿吨油当量</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27648">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中国原油产量</w:t>
            </w:r>
          </w:p>
        </w:tc>
        <w:tc>
          <w:tcPr>
            <w:tcW w:type="dxa" w:w="2268"/>
          </w:tcPr>
          <w:p>
            <w:pPr>
              <w:spacing w:after="40"/>
            </w:pPr>
            <w:r>
              <w:rPr>
                <w:rFonts w:ascii="微软雅黑" w:hAnsi="微软雅黑" w:eastAsia="微软雅黑" w:cs="微软雅黑"/>
              </w:rPr>
              <w:t>2.16亿吨</w:t>
            </w:r>
          </w:p>
        </w:tc>
        <w:tc>
          <w:tcPr>
            <w:tcW w:type="dxa" w:w="2268"/>
          </w:tcPr>
          <w:p>
            <w:pPr>
              <w:spacing w:after="40"/>
            </w:pPr>
            <w:r>
              <w:rPr>
                <w:rFonts w:ascii="微软雅黑" w:hAnsi="微软雅黑" w:eastAsia="微软雅黑" w:cs="微软雅黑"/>
              </w:rPr>
              <w:t>2025年</w:t>
            </w:r>
          </w:p>
        </w:tc>
        <w:tc>
          <w:tcPr>
            <w:tcW w:type="dxa" w:w="2268"/>
          </w:tcPr>
          <w:p>
            <w:pPr>
              <w:spacing w:after="40"/>
            </w:pPr>
            <w:r>
              <w:rPr>
                <w:rFonts w:ascii="微软雅黑" w:hAnsi="微软雅黑" w:eastAsia="微软雅黑" w:cs="微软雅黑"/>
              </w:rPr>
            </w:r>
            <w:hyperlink w:anchor="source-27648">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中国国内油气供应量目标</w:t>
            </w:r>
          </w:p>
        </w:tc>
        <w:tc>
          <w:tcPr>
            <w:tcW w:type="dxa" w:w="2268"/>
          </w:tcPr>
          <w:p>
            <w:pPr>
              <w:spacing w:after="40"/>
            </w:pPr>
            <w:r>
              <w:rPr>
                <w:rFonts w:ascii="微软雅黑" w:hAnsi="微软雅黑" w:eastAsia="微软雅黑" w:cs="微软雅黑"/>
              </w:rPr>
              <w:t>4.4亿吨油当量</w:t>
            </w:r>
          </w:p>
        </w:tc>
        <w:tc>
          <w:tcPr>
            <w:tcW w:type="dxa" w:w="2268"/>
          </w:tcPr>
          <w:p>
            <w:pPr>
              <w:spacing w:after="40"/>
            </w:pPr>
            <w:r>
              <w:rPr>
                <w:rFonts w:ascii="微软雅黑" w:hAnsi="微软雅黑" w:eastAsia="微软雅黑" w:cs="微软雅黑"/>
              </w:rPr>
              <w:t>2030年目标</w:t>
            </w:r>
          </w:p>
        </w:tc>
        <w:tc>
          <w:tcPr>
            <w:tcW w:type="dxa" w:w="2268"/>
          </w:tcPr>
          <w:p>
            <w:pPr>
              <w:spacing w:after="40"/>
            </w:pPr>
            <w:r>
              <w:rPr>
                <w:rFonts w:ascii="微软雅黑" w:hAnsi="微软雅黑" w:eastAsia="微软雅黑" w:cs="微软雅黑"/>
              </w:rPr>
            </w:r>
            <w:hyperlink w:anchor="source-27648">
              <w:r>
                <w:rPr>
                  <w:rFonts w:ascii="微软雅黑" w:hAnsi="微软雅黑" w:eastAsia="微软雅黑" w:cs="微软雅黑"/>
                  <w:color w:val="087E89"/>
                </w:rPr>
                <w:t>7</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EQT与Range合并后备考企业价值</w:t>
            </w:r>
          </w:p>
        </w:tc>
        <w:tc>
          <w:tcPr>
            <w:tcW w:type="dxa" w:w="2268"/>
          </w:tcPr>
          <w:p>
            <w:pPr>
              <w:spacing w:after="40"/>
            </w:pPr>
            <w:r>
              <w:rPr>
                <w:rFonts w:ascii="微软雅黑" w:hAnsi="微软雅黑" w:eastAsia="微软雅黑" w:cs="微软雅黑"/>
              </w:rPr>
              <w:t>超过500亿美元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8139">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EQT与Range合并后公司净产量</w:t>
            </w:r>
          </w:p>
        </w:tc>
        <w:tc>
          <w:tcPr>
            <w:tcW w:type="dxa" w:w="2268"/>
          </w:tcPr>
          <w:p>
            <w:pPr>
              <w:spacing w:after="40"/>
            </w:pPr>
            <w:r>
              <w:rPr>
                <w:rFonts w:ascii="微软雅黑" w:hAnsi="微软雅黑" w:eastAsia="微软雅黑" w:cs="微软雅黑"/>
              </w:rPr>
              <w:t>超过9 Bcfed</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8139">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EQT预计年度协同效应（两年内）</w:t>
            </w:r>
          </w:p>
        </w:tc>
        <w:tc>
          <w:tcPr>
            <w:tcW w:type="dxa" w:w="2268"/>
          </w:tcPr>
          <w:p>
            <w:pPr>
              <w:spacing w:after="40"/>
            </w:pPr>
            <w:r>
              <w:rPr>
                <w:rFonts w:ascii="微软雅黑" w:hAnsi="微软雅黑" w:eastAsia="微软雅黑" w:cs="微软雅黑"/>
              </w:rPr>
              <w:t>3.25亿美元</w:t>
            </w:r>
          </w:p>
        </w:tc>
        <w:tc>
          <w:tcPr>
            <w:tcW w:type="dxa" w:w="2268"/>
          </w:tcPr>
          <w:p>
            <w:pPr>
              <w:spacing w:after="40"/>
            </w:pPr>
            <w:r>
              <w:rPr>
                <w:rFonts w:ascii="微软雅黑" w:hAnsi="微软雅黑" w:eastAsia="微软雅黑" w:cs="微软雅黑"/>
              </w:rPr>
              <w:t>未注明</w:t>
            </w:r>
          </w:p>
        </w:tc>
        <w:tc>
          <w:tcPr>
            <w:tcW w:type="dxa" w:w="2268"/>
          </w:tcPr>
          <w:p>
            <w:pPr>
              <w:spacing w:after="40"/>
            </w:pPr>
            <w:r>
              <w:rPr>
                <w:rFonts w:ascii="微软雅黑" w:hAnsi="微软雅黑" w:eastAsia="微软雅黑" w:cs="微软雅黑"/>
              </w:rPr>
            </w:r>
            <w:hyperlink w:anchor="source-28139">
              <w:r>
                <w:rPr>
                  <w:rFonts w:ascii="微软雅黑" w:hAnsi="微软雅黑" w:eastAsia="微软雅黑" w:cs="微软雅黑"/>
                  <w:color w:val="087E89"/>
                </w:rPr>
                <w:t>8</w:t>
              </w:r>
            </w:hyperlink>
            <w:r>
              <w:rPr>
                <w:rFonts w:ascii="微软雅黑" w:hAnsi="微软雅黑" w:eastAsia="微软雅黑" w:cs="微软雅黑"/>
              </w:rPr>
            </w:r>
          </w:p>
        </w:tc>
      </w:tr>
      <w:tr>
        <w:trPr>
          <w:cantSplit/>
        </w:trPr>
        <w:tc>
          <w:tcPr>
            <w:tcW w:type="dxa" w:w="2268"/>
          </w:tcPr>
          <w:p>
            <w:pPr>
              <w:spacing w:after="40"/>
            </w:pPr>
            <w:r>
              <w:rPr>
                <w:rFonts w:ascii="微软雅黑" w:hAnsi="微软雅黑" w:eastAsia="微软雅黑" w:cs="微软雅黑"/>
              </w:rPr>
              <w:t>摩根士丹利预测2026—28年美国数据中心净电力缺口</w:t>
            </w:r>
          </w:p>
        </w:tc>
        <w:tc>
          <w:tcPr>
            <w:tcW w:type="dxa" w:w="2268"/>
          </w:tcPr>
          <w:p>
            <w:pPr>
              <w:spacing w:after="40"/>
            </w:pPr>
            <w:r>
              <w:rPr>
                <w:rFonts w:ascii="微软雅黑" w:hAnsi="微软雅黑" w:eastAsia="微软雅黑" w:cs="微软雅黑"/>
              </w:rPr>
              <w:t>38GW（此前33GW）</w:t>
            </w:r>
          </w:p>
        </w:tc>
        <w:tc>
          <w:tcPr>
            <w:tcW w:type="dxa" w:w="2268"/>
          </w:tcPr>
          <w:p>
            <w:pPr>
              <w:spacing w:after="40"/>
            </w:pPr>
            <w:r>
              <w:rPr>
                <w:rFonts w:ascii="微软雅黑" w:hAnsi="微软雅黑" w:eastAsia="微软雅黑" w:cs="微软雅黑"/>
              </w:rPr>
              <w:t>2026-10-26</w:t>
            </w:r>
          </w:p>
        </w:tc>
        <w:tc>
          <w:tcPr>
            <w:tcW w:type="dxa" w:w="2268"/>
          </w:tcPr>
          <w:p>
            <w:pPr>
              <w:spacing w:after="40"/>
            </w:pPr>
            <w:r>
              <w:rPr>
                <w:rFonts w:ascii="微软雅黑" w:hAnsi="微软雅黑" w:eastAsia="微软雅黑" w:cs="微软雅黑"/>
              </w:rPr>
            </w:r>
            <w:hyperlink w:anchor="source-28079">
              <w:r>
                <w:rPr>
                  <w:rFonts w:ascii="微软雅黑" w:hAnsi="微软雅黑" w:eastAsia="微软雅黑" w:cs="微软雅黑"/>
                  <w:color w:val="087E89"/>
                </w:rPr>
                <w:t>9</w:t>
              </w:r>
            </w:hyperlink>
            <w:r>
              <w:rPr>
                <w:rFonts w:ascii="微软雅黑" w:hAnsi="微软雅黑" w:eastAsia="微软雅黑" w:cs="微软雅黑"/>
              </w:rPr>
            </w:r>
          </w:p>
        </w:tc>
      </w:tr>
    </w:tbl>
    <w:p>
      <w:pPr>
        <w:spacing w:after="120"/>
      </w:pPr>
    </w:p>
    <w:p>
      <w:pPr>
        <w:pStyle w:val="Heading2"/>
      </w:pPr>
      <w:r>
        <w:rPr>
          <w:rFonts w:ascii="微软雅黑" w:hAnsi="微软雅黑" w:eastAsia="微软雅黑" w:cs="微软雅黑"/>
        </w:rPr>
        <w:t>国际重点事件</w:t>
      </w:r>
    </w:p>
    <w:p>
      <w:pPr>
        <w:pStyle w:val="Heading3"/>
      </w:pPr>
      <w:r>
        <w:rPr>
          <w:rFonts w:ascii="微软雅黑" w:hAnsi="微软雅黑" w:eastAsia="微软雅黑" w:cs="微软雅黑"/>
        </w:rPr>
        <w:t>1. 联合国调查委员会认定俄罗斯袭击能源基础设施构成战争罪</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调查俄罗斯全面入侵乌克兰的联合国独立国际调查委员会周一表示，俄罗斯当局通过袭击平民和关键能源基础设施等行为，犯下了战争罪和危害人类罪。</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报告指出，俄军指挥官下令袭击时完全清楚所打击的供暖设施“对平民、尤其是冬季期间不可或缺”，独立调查人员据此认定其犯下蓄意袭击民用物体的战争罪；这意味着老年人必须留在没有电、没有水、没有供暖的住所中，无法使用生命维持设备或基本服务。委员会还援引“令人信服的证据”称，俄罗斯当局招募了从29个国家被贩运来的男子加入武装部队，违反国际人权法；这些新兵被部署在乌克兰前线并被分配危险任务，许多人已阵亡或失踪，其他人向乌克兰武装部队投降或被俘，从而获得战俘地位。委员会还审查了乌克兰武装部队对俄罗斯境内及乌克兰被占领地区能源基础设施的袭击，但由于俄方不允许进入且不回应信息请求，调查人员无法核实这些打击在俄罗斯境内的影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关键能源基础设施遭袭导致平民在冬季失去电、水与供暖，无法使用生命维持设备或基本服务。</w:t>
      </w:r>
    </w:p>
    <w:p>
      <w:pPr>
        <w:ind w:firstLine="420"/>
      </w:pPr>
      <w:r>
        <w:rPr>
          <w:rFonts w:ascii="微软雅黑" w:hAnsi="微软雅黑" w:eastAsia="微软雅黑" w:cs="微软雅黑"/>
        </w:rPr>
        <w:t>来源：</w:t>
      </w:r>
      <w:hyperlink w:anchor="source-28216">
        <w:r>
          <w:rPr>
            <w:rFonts w:ascii="微软雅黑" w:hAnsi="微软雅黑" w:eastAsia="微软雅黑" w:cs="微软雅黑"/>
            <w:color w:val="087E89"/>
          </w:rPr>
          <w:t>1</w:t>
        </w:r>
      </w:hyperlink>
      <w:r>
        <w:rPr>
          <w:rFonts w:ascii="微软雅黑" w:hAnsi="微软雅黑" w:eastAsia="微软雅黑" w:cs="微软雅黑"/>
        </w:rPr>
      </w:r>
    </w:p>
    <w:p>
      <w:pPr>
        <w:pStyle w:val="Heading3"/>
      </w:pPr>
      <w:r>
        <w:rPr>
          <w:rFonts w:ascii="微软雅黑" w:hAnsi="微软雅黑" w:eastAsia="微软雅黑" w:cs="微软雅黑"/>
        </w:rPr>
        <w:t>2. 芬兰Posiva获全球首个深地质核废物处置库运营许可证</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芬兰政府向环境技术与废物管理公司Posiva Oy颁发了位于埃拉约基奥尔基卢奥托的乏燃料封装与最终处置设施的运营许可证，这是全球首个达到这一监管审批阶段的深地质永久核废物处置库。</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决定距处置库开工建设已22年，结束了40多年的系统性研发；许可证有效期至2070年底。设施将处理芬兰现有奥尔基卢奥托和洛维萨核电站产生的废物；Posiva还可持有、生产、加工、贮存和处置封装厂、最终处置设施及其股东核设施运行和退役产生的低中放废物，总量不得超过3,000立方米，其中最终处置的不得超过1,500立方米。Posiva获准处理并永久贮存最多6,500吨铀，待处置的乏燃料约相当于3,300个处置罐，计划每年最多处置60个罐。最终处置运营预计持续到2120年代，之后处置库将回填封闭，乏燃料责任将依《核能法》移交国家；Posiva须在获证后十年内向STUK提交定期安全评估和更新的长期安全论证，STUK将在设施投运前进行最终检查。地下处置库Onkalo采用多重屏障安全系统：乏燃料装入耐腐蚀铜罐，放入在19亿年稳定基岩中开凿的400多米深的处置隧道，孔洞用膨润土粘土填充并以钢筋混凝土封堵；设计可安全隔离放射性废物至少10万年。</w:t>
      </w:r>
    </w:p>
    <w:p>
      <w:pPr>
        <w:ind w:firstLine="420"/>
      </w:pPr>
      <w:r>
        <w:rPr>
          <w:rFonts w:ascii="微软雅黑" w:hAnsi="微软雅黑" w:eastAsia="微软雅黑" w:cs="微软雅黑"/>
        </w:rPr>
        <w:t>来源：</w:t>
      </w:r>
      <w:hyperlink w:anchor="source-28098">
        <w:r>
          <w:rPr>
            <w:rFonts w:ascii="微软雅黑" w:hAnsi="微软雅黑" w:eastAsia="微软雅黑" w:cs="微软雅黑"/>
            <w:color w:val="087E89"/>
          </w:rPr>
          <w:t>21</w:t>
        </w:r>
      </w:hyperlink>
      <w:r>
        <w:rPr>
          <w:rFonts w:ascii="微软雅黑" w:hAnsi="微软雅黑" w:eastAsia="微软雅黑" w:cs="微软雅黑"/>
        </w:rPr>
      </w:r>
    </w:p>
    <w:p>
      <w:pPr>
        <w:pStyle w:val="Heading3"/>
      </w:pPr>
      <w:r>
        <w:rPr>
          <w:rFonts w:ascii="微软雅黑" w:hAnsi="微软雅黑" w:eastAsia="微软雅黑" w:cs="微软雅黑"/>
        </w:rPr>
        <w:t>3. 印尼总统条例107/2026出台，原油、成品油和LPG进口改政府间采购</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印尼政府通过2026年第107号总统条例（Perpres 107/2026），将原油、成品油（BBM）和液化石油气（LPG）的国外采购方式从企业间招标改为政府间合作（G2G）及政府与企业合作（G2B），以加强国内能源供应保障。</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该条例已由总统普拉博沃·苏比安托签署，统筹下游产业和能源转型部长兼能源与矿产资源部长巴利勒·拉哈达利亚于2026年10月26日在新闻发布会上宣布，称其为国家能源采购体系的新篇章。改革源于Pertamina招标经验：招标耗时长，且若干案例中Pertamina虽以低价中标，却因供应国选择出价更高的其他买家而失去供应。新机制下由国家直接与供应国谈判，采购由政府指定的公共服务机构（BLU）执行，Pertamina再从BLU购买，采购链条中不再有其他企业参与。条例仍允许Pertamina在国家储备非常薄弱或石油来源国发生地缘政治动荡时直接进口，但须与BLU协调。</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巴利勒计划出访包括印度和中国在内的多个国家以获取供应保障，并被政府委托寻求长期供应合同。</w:t>
      </w:r>
    </w:p>
    <w:p>
      <w:pPr>
        <w:ind w:firstLine="420"/>
      </w:pPr>
      <w:r>
        <w:rPr>
          <w:rFonts w:ascii="微软雅黑" w:hAnsi="微软雅黑" w:eastAsia="微软雅黑" w:cs="微软雅黑"/>
        </w:rPr>
        <w:t>来源：</w:t>
      </w:r>
      <w:hyperlink w:anchor="source-27970">
        <w:r>
          <w:rPr>
            <w:rFonts w:ascii="微软雅黑" w:hAnsi="微软雅黑" w:eastAsia="微软雅黑" w:cs="微软雅黑"/>
            <w:color w:val="087E89"/>
          </w:rPr>
          <w:t>2</w:t>
        </w:r>
      </w:hyperlink>
      <w:r>
        <w:rPr>
          <w:rFonts w:ascii="微软雅黑" w:hAnsi="微软雅黑" w:eastAsia="微软雅黑" w:cs="微软雅黑"/>
        </w:rPr>
      </w:r>
    </w:p>
    <w:p>
      <w:pPr>
        <w:pStyle w:val="Heading3"/>
      </w:pPr>
      <w:r>
        <w:rPr>
          <w:rFonts w:ascii="微软雅黑" w:hAnsi="微软雅黑" w:eastAsia="微软雅黑" w:cs="微软雅黑"/>
        </w:rPr>
        <w:t>4. 新加坡与沙特阿美达成意向，2027年下半年起原油储存于裕廊岩洞</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新加坡与沙特阿美计划自2027年下半年起，将沙特原油储存在地下裕廊岩洞（Jurong Rock Caverns）中，以在全球供应中断背景下增强能源安全。</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新加坡能源、贸易与工业部长陈诗龙在周一举行的2026年新加坡能源讲座上宣布这一联合意向。他表示，该安排将增强沙特原油供应链在东南亚的韧性，并在供应紧急时期为新加坡的能源安全作出贡献。沙特阿美、能源市场管理局（EMA）与JTC已签署谅解备忘录以敲定储存协议，官员们力争在几个月内完成谈判。今年全球能源格局因霍尔木兹海峡关闭而面临重大挑战，近期胡塞武装对沙特机场和能源基础设施的袭击进一步加剧国际能源局势。新加坡已建立多道防线，包括要求发电机组以天然气或柴油运行以动用储备燃料，并计划到2030年通过建设第二个LNG接收站将LNG接收能力扩大50%。</w:t>
      </w:r>
    </w:p>
    <w:p>
      <w:pPr>
        <w:ind w:firstLine="420"/>
      </w:pPr>
      <w:r>
        <w:rPr>
          <w:rFonts w:ascii="微软雅黑" w:hAnsi="微软雅黑" w:eastAsia="微软雅黑" w:cs="微软雅黑"/>
        </w:rPr>
        <w:t>来源：</w:t>
      </w:r>
      <w:hyperlink w:anchor="source-28002">
        <w:r>
          <w:rPr>
            <w:rFonts w:ascii="微软雅黑" w:hAnsi="微软雅黑" w:eastAsia="微软雅黑" w:cs="微软雅黑"/>
            <w:color w:val="087E89"/>
          </w:rPr>
          <w:t>26</w:t>
        </w:r>
      </w:hyperlink>
      <w:r>
        <w:rPr>
          <w:rFonts w:ascii="微软雅黑" w:hAnsi="微软雅黑" w:eastAsia="微软雅黑" w:cs="微软雅黑"/>
        </w:rPr>
        <w:t xml:space="preserve"> </w:t>
      </w:r>
      <w:hyperlink w:anchor="source-27825">
        <w:r>
          <w:rPr>
            <w:rFonts w:ascii="微软雅黑" w:hAnsi="微软雅黑" w:eastAsia="微软雅黑" w:cs="微软雅黑"/>
            <w:color w:val="087E89"/>
          </w:rPr>
          <w:t>27</w:t>
        </w:r>
      </w:hyperlink>
      <w:r>
        <w:rPr>
          <w:rFonts w:ascii="微软雅黑" w:hAnsi="微软雅黑" w:eastAsia="微软雅黑" w:cs="微软雅黑"/>
        </w:rPr>
      </w:r>
    </w:p>
    <w:p>
      <w:pPr>
        <w:pStyle w:val="Heading3"/>
      </w:pPr>
      <w:r>
        <w:rPr>
          <w:rFonts w:ascii="微软雅黑" w:hAnsi="微软雅黑" w:eastAsia="微软雅黑" w:cs="微软雅黑"/>
        </w:rPr>
        <w:t>5. EQT全股票收购Range，打造美国最大天然气生产商</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EQT已同意以全股票交易收购Range Resources，合并阿巴拉契亚地区两家最大的天然气生产商，双方董事会一致批准该交易。</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双方董事会一致批准该全股票交易，Range股东每持有一股Range股份将获得0.987股EQT股份；EQT股东预计持有合并后公司约73%股份，Range股东约27%。合并后公司净产量将超过9 Bcfed，拥有近300万净英亩面积、超过30年钻井库存以及超过3,700英里中游基础设施，总部设在宾夕法尼亚州Canonsburg，由EQT管理团队领导，Degner和另一位Range代表将加入EQT董事会。</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EQT预计两年内实现3.25亿美元年度协同效应，长期可超过6亿美元；交易将把其无杠杆自由现金流盈亏平衡点降至低于2美元/MMBtu并增加NGL敞口，按近期远期价格计算预计五年累计自由现金流约200亿美元。</w:t>
      </w:r>
    </w:p>
    <w:p>
      <w:pPr>
        <w:ind w:firstLine="420"/>
      </w:pPr>
      <w:r>
        <w:rPr>
          <w:rFonts w:ascii="微软雅黑" w:hAnsi="微软雅黑" w:eastAsia="微软雅黑" w:cs="微软雅黑"/>
        </w:rPr>
        <w:t>来源：</w:t>
      </w:r>
      <w:hyperlink w:anchor="source-28139">
        <w:r>
          <w:rPr>
            <w:rFonts w:ascii="微软雅黑" w:hAnsi="微软雅黑" w:eastAsia="微软雅黑" w:cs="微软雅黑"/>
            <w:color w:val="087E89"/>
          </w:rPr>
          <w:t>8</w:t>
        </w:r>
      </w:hyperlink>
      <w:r>
        <w:rPr>
          <w:rFonts w:ascii="微软雅黑" w:hAnsi="微软雅黑" w:eastAsia="微软雅黑" w:cs="微软雅黑"/>
        </w:rPr>
      </w:r>
    </w:p>
    <w:p>
      <w:pPr>
        <w:pStyle w:val="Heading3"/>
      </w:pPr>
      <w:r>
        <w:rPr>
          <w:rFonts w:ascii="微软雅黑" w:hAnsi="微软雅黑" w:eastAsia="微软雅黑" w:cs="微软雅黑"/>
        </w:rPr>
        <w:t>6. 埃尼启动塞浦路斯Cronos项目执行阶段，目标2028年投产</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埃尼已签署塞浦路斯6号区块海上Cronos天然气项目的主要工程、采购、建设和钻井合同，推动项目进入执行阶段。这是埃尼在塞浦路斯的首个开发项目，也是该国首个油气开发项目。</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已授出的合同包括浮式控制单元、运输与安装、海底管线、水下生产系统、柔性管线、脐带缆、陆上管线EPC及钻井平台服务，埃尼未公布承包商名称。项目基于初始地质储量超过3万亿立方英尺（TCF）的天然气资源，预计产量平台期最高达每日5亿标准立方英尺（mmscf/d），采用基于区域一体化和利用现有基础设施的快速推进方式。第6区块由埃尼作业并持有50%权益，合作伙伴为TotalEnergies。</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Cronos产出的天然气将输送至埃及，经包括Zohr基础设施在内的现有设施处理后，在达米埃塔LNG工厂液化，主要出口至欧洲等国际市场，支持塞浦路斯成为天然气生产国和出口国，并加强东地中海能源系统一体化。</w:t>
      </w:r>
    </w:p>
    <w:p>
      <w:pPr>
        <w:ind w:firstLine="420"/>
      </w:pPr>
      <w:r>
        <w:rPr>
          <w:rFonts w:ascii="微软雅黑" w:hAnsi="微软雅黑" w:eastAsia="微软雅黑" w:cs="微软雅黑"/>
        </w:rPr>
        <w:t>来源：</w:t>
      </w:r>
      <w:hyperlink w:anchor="source-28015">
        <w:r>
          <w:rPr>
            <w:rFonts w:ascii="微软雅黑" w:hAnsi="微软雅黑" w:eastAsia="微软雅黑" w:cs="微软雅黑"/>
            <w:color w:val="087E89"/>
          </w:rPr>
          <w:t>23</w:t>
        </w:r>
      </w:hyperlink>
      <w:r>
        <w:rPr>
          <w:rFonts w:ascii="微软雅黑" w:hAnsi="微软雅黑" w:eastAsia="微软雅黑" w:cs="微软雅黑"/>
        </w:rPr>
        <w:t xml:space="preserve"> </w:t>
      </w:r>
      <w:hyperlink w:anchor="source-28140">
        <w:r>
          <w:rPr>
            <w:rFonts w:ascii="微软雅黑" w:hAnsi="微软雅黑" w:eastAsia="微软雅黑" w:cs="微软雅黑"/>
            <w:color w:val="087E89"/>
          </w:rPr>
          <w:t>24</w:t>
        </w:r>
      </w:hyperlink>
      <w:r>
        <w:rPr>
          <w:rFonts w:ascii="微软雅黑" w:hAnsi="微软雅黑" w:eastAsia="微软雅黑" w:cs="微软雅黑"/>
        </w:rPr>
      </w:r>
    </w:p>
    <w:p>
      <w:pPr>
        <w:pStyle w:val="Heading3"/>
      </w:pPr>
      <w:r>
        <w:rPr>
          <w:rFonts w:ascii="微软雅黑" w:hAnsi="微软雅黑" w:eastAsia="微软雅黑" w:cs="微软雅黑"/>
        </w:rPr>
        <w:t>7. GCEL 2026：全球计划新建煤炭项目数量为取消项目的三倍</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据外媒10月20日报道，Urgewald发布《2026全球煤炭退出名单》更新报告，全球计划新开的煤炭项目数量是取消项目的三倍，包括主办COP31的澳大利亚和土耳其的项目。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德国环保组织Urgewald于10月20日发布《2026全球煤炭退出名单》更新报告：过去一年宣布拟新建煤炭项目257个，而2025年计划被搁置或取消的项目仅76个；新煤矿、煤电、化工和基础设施项目计划已增至1510个，超过40%的上市公司正在开发新的动力煤资产。名单列出335家公司计划建设606个新燃煤发电项目，总装机超过740吉瓦，Urgewald称相当于美国燃煤电厂总装机容量的四倍；另列出39个国家/地区的357家煤矿开发商，计划新开发煤矿总产能至少每年32.71亿吨，相当于全球当前动力煤生产量的41%。</w:t>
      </w:r>
    </w:p>
    <w:p>
      <w:pPr>
        <w:ind w:firstLine="420"/>
      </w:pPr>
      <w:r>
        <w:rPr>
          <w:rFonts w:ascii="微软雅黑" w:hAnsi="微软雅黑" w:eastAsia="微软雅黑" w:cs="微软雅黑"/>
        </w:rPr>
        <w:t>来源：</w:t>
      </w:r>
      <w:hyperlink w:anchor="source-28239">
        <w:r>
          <w:rPr>
            <w:rFonts w:ascii="微软雅黑" w:hAnsi="微软雅黑" w:eastAsia="微软雅黑" w:cs="微软雅黑"/>
            <w:color w:val="087E89"/>
          </w:rPr>
          <w:t>19</w:t>
        </w:r>
      </w:hyperlink>
      <w:r>
        <w:rPr>
          <w:rFonts w:ascii="微软雅黑" w:hAnsi="微软雅黑" w:eastAsia="微软雅黑" w:cs="微软雅黑"/>
        </w:rPr>
      </w:r>
    </w:p>
    <w:p>
      <w:pPr>
        <w:pStyle w:val="Heading3"/>
      </w:pPr>
      <w:r>
        <w:rPr>
          <w:rFonts w:ascii="微软雅黑" w:hAnsi="微软雅黑" w:eastAsia="微软雅黑" w:cs="微软雅黑"/>
        </w:rPr>
        <w:t>8. 国家能源局启动新一轮核电行业安全质量提升行动</w:t>
      </w:r>
    </w:p>
    <w:p>
      <w:pPr>
        <w:keepNext/>
      </w:pPr>
      <w:r>
        <w:rPr>
          <w:rFonts w:ascii="微软雅黑" w:hAnsi="微软雅黑" w:eastAsia="微软雅黑" w:cs="微软雅黑"/>
        </w:rPr>
        <w:t>领域：核能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国家能源局在京召开新一轮核电行业安全质量提升行动动员启动会议，局长王宏志出席并讲话，副局长何洋主持会议。</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会议指出，发展核电对保障国家能源安全和能源清洁低碳转型具有重要战略意义；从秦山、大亚湾核电站建设开始，经过近40年努力，我国已成为全球少数几个拥有完整核电工业体系的国家，党的十八大以来核电技术、装备、建设、运行等能力水平已进入国际先进行列。会议强调安全是核电的生命线，随着核电规模快速增长，安全保障要求将进一步提高。会议要求端口前移、加强源头治理，加快核电设计标准化进程，大力推进模块化施工，持续推进智慧工地建设；聚焦新机型调试运行安全、核燃料组件运行可靠性及核电运行技术服务体系等关键环节；高度关注非核领域安全风险，与核安全风险一体研判、一体防控，强化督查考核和跟踪问效。国家发展改革委、生态环境部、国务院国资委、国家国防科工局有关司局及核电集团、电网公司、各核电厂营运单位等负责同志参加会议。</w:t>
      </w:r>
    </w:p>
    <w:p>
      <w:pPr>
        <w:ind w:firstLine="420"/>
      </w:pPr>
      <w:r>
        <w:rPr>
          <w:rFonts w:ascii="微软雅黑" w:hAnsi="微软雅黑" w:eastAsia="微软雅黑" w:cs="微软雅黑"/>
        </w:rPr>
        <w:t>来源：</w:t>
      </w:r>
      <w:hyperlink w:anchor="source-27661">
        <w:r>
          <w:rPr>
            <w:rFonts w:ascii="微软雅黑" w:hAnsi="微软雅黑" w:eastAsia="微软雅黑" w:cs="微软雅黑"/>
            <w:color w:val="087E89"/>
          </w:rPr>
          <w:t>11</w:t>
        </w:r>
      </w:hyperlink>
      <w:r>
        <w:rPr>
          <w:rFonts w:ascii="微软雅黑" w:hAnsi="微软雅黑" w:eastAsia="微软雅黑" w:cs="微软雅黑"/>
        </w:rPr>
      </w:r>
    </w:p>
    <w:p>
      <w:pPr>
        <w:pStyle w:val="Heading3"/>
      </w:pPr>
      <w:r>
        <w:rPr>
          <w:rFonts w:ascii="微软雅黑" w:hAnsi="微软雅黑" w:eastAsia="微软雅黑" w:cs="微软雅黑"/>
        </w:rPr>
        <w:t>9. 大摩上调2026—28年美国AI数据中心电力缺口至38GW</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摩根士丹利10月26日研报将2026—28年美国数据中心净电力缺口由33GW上调至38GW，并列举五类“缩短通电周期”方案及其成功概率。</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摩根士丹利10月26日研报把2026—28年美国数据中心净电力缺口上调至38GW（此前33GW）。方案前缺口为需求116GW（此前97GW），扣减在建表前与表后机房25GW、可用表前电网容量21GW后为70GW（此前57GW）；概率加权后美国本土净缺口为60/43/23GW，含亚太溢出后为56/38/17GW，中位数档即美国本土43GW或含全球方案的38GW。五类“缩短通电周期”方案包括额外表后涡轮机与发动机（6/22/38GW，90%）、Bloom Energy燃料电池（5/6/8GW，90%）、运营核电站同址建数据中心（1/3/8GW，70%）、改造既有通电机房场址（11/19/27GW，85%）、需求向亚太溢出（5/6/8GW，90%），没有一招能单独填平70GW。基准情形预测2026—28年上线31GW表后方案，瓶颈转为劳动力。亚洲外溢方面，研报估计2026—28年溢出6GW，亚洲团队预计到2030年约15GW美国超大规模需求可能溢出至亚洲。</w:t>
      </w:r>
    </w:p>
    <w:p>
      <w:pPr>
        <w:ind w:firstLine="420"/>
      </w:pPr>
      <w:r>
        <w:rPr>
          <w:rFonts w:ascii="微软雅黑" w:hAnsi="微软雅黑" w:eastAsia="微软雅黑" w:cs="微软雅黑"/>
        </w:rPr>
        <w:t>来源：</w:t>
      </w:r>
      <w:hyperlink w:anchor="source-28079">
        <w:r>
          <w:rPr>
            <w:rFonts w:ascii="微软雅黑" w:hAnsi="微软雅黑" w:eastAsia="微软雅黑" w:cs="微软雅黑"/>
            <w:color w:val="087E89"/>
          </w:rPr>
          <w:t>9</w:t>
        </w:r>
      </w:hyperlink>
      <w:r>
        <w:rPr>
          <w:rFonts w:ascii="微软雅黑" w:hAnsi="微软雅黑" w:eastAsia="微软雅黑" w:cs="微软雅黑"/>
        </w:rPr>
      </w:r>
    </w:p>
    <w:p>
      <w:pPr>
        <w:pStyle w:val="Heading3"/>
      </w:pPr>
      <w:r>
        <w:rPr>
          <w:rFonts w:ascii="微软雅黑" w:hAnsi="微软雅黑" w:eastAsia="微软雅黑" w:cs="微软雅黑"/>
        </w:rPr>
        <w:t>10. 南方区域电力市场转正式运行，全国首个正式运行的区域电力市场</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南方区域电力市场转入正式运行，成为全国首个正式运行的区域电力市场，价格信号首次跨过省界直接决定机组出力。</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南方区域电力市场转正式运行，是全国首个正式运行的区域电力市场，被视为落实国办4号文“到2030年基本建成全国统一电力市场体系、现货市场全面转入正式运行”的关键一步。区域现货市场把南方五省区全主体、全电量纳入统一出清，价格信号首次跨过省界直接决定机组出力；近16个月连续运行经受新能源高渗透率、水电丰枯转换、节假日低负荷、超强台风等极端场景考验。市场探索十年：2016年首笔云南送广东增量交易，2022年7月23日启动模拟试运行，2025年6月转入连续结算，今年10月转入正式运行；29万家经营主体同台竞价，新能源利用率保持95%以上。连续结算试运行首月较优先计划增送省间电量26亿千瓦时。中长期交易按自然日连续开市机制将于2026年9月1日起在南方区域正式落地。</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沉淀了“1+N+5X”规则体系、联席会加管委会治理模式等可复用的制度机制样版，实现“一地注册、全国共享”，为新型储能、虚拟电厂、分布式新能源等新型主体入市扫清制度障碍。</w:t>
      </w:r>
    </w:p>
    <w:p>
      <w:pPr>
        <w:ind w:firstLine="420"/>
      </w:pPr>
      <w:r>
        <w:rPr>
          <w:rFonts w:ascii="微软雅黑" w:hAnsi="微软雅黑" w:eastAsia="微软雅黑" w:cs="微软雅黑"/>
        </w:rPr>
        <w:t>来源：</w:t>
      </w:r>
      <w:hyperlink w:anchor="source-28020">
        <w:r>
          <w:rPr>
            <w:rFonts w:ascii="微软雅黑" w:hAnsi="微软雅黑" w:eastAsia="微软雅黑" w:cs="微软雅黑"/>
            <w:color w:val="087E89"/>
          </w:rPr>
          <w:t>22</w:t>
        </w:r>
      </w:hyperlink>
      <w:r>
        <w:rPr>
          <w:rFonts w:ascii="微软雅黑" w:hAnsi="微软雅黑" w:eastAsia="微软雅黑" w:cs="微软雅黑"/>
        </w:rPr>
      </w:r>
    </w:p>
    <w:p>
      <w:pPr>
        <w:pStyle w:val="Heading3"/>
      </w:pPr>
      <w:r>
        <w:rPr>
          <w:rFonts w:ascii="微软雅黑" w:hAnsi="微软雅黑" w:eastAsia="微软雅黑" w:cs="微软雅黑"/>
        </w:rPr>
        <w:t>11. 德国交通配额催生电子燃料承购交易，e-SAF供应仍缺</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德国交通部门电子燃料（e-fuels）需求正在成为氢能的新动能：多项电子甲烷、电子甲醇承购交易已签署，但e-SAF生产项目几乎均未作出最终投资决定。</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据T&amp;E预测，德国2030-31年满足配额可能需要约160,000吨/年的e-SAF；据Argus Media估算，所需氢投入可能至少100,000吨/年，约合1GW电解产能。欧盟成员国须将未达标罚金设定为至少e-SAF与常规航空燃料成本差价的两倍，德国初步定为17,000欧元/吨。目前德国及各地几乎没有e-SAF项目做出最终投资决定；德国最大的在运设施是Ineratec的Era One工厂，产能约2,500吨/年e-fuels，并非全部为e-SAF。已出现多项承购交易，如OMV与European Energy和三井在丹麦Kasso设施签署电子甲醇协议。</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通过交通部门需求扩大氢的生产和进口，最终可能支持其在难以减排行业中的更广泛采用。</w:t>
      </w:r>
    </w:p>
    <w:p>
      <w:pPr>
        <w:ind w:firstLine="420"/>
      </w:pPr>
      <w:r>
        <w:rPr>
          <w:rFonts w:ascii="微软雅黑" w:hAnsi="微软雅黑" w:eastAsia="微软雅黑" w:cs="微软雅黑"/>
        </w:rPr>
        <w:t>来源：</w:t>
      </w:r>
      <w:hyperlink w:anchor="source-27953">
        <w:r>
          <w:rPr>
            <w:rFonts w:ascii="微软雅黑" w:hAnsi="微软雅黑" w:eastAsia="微软雅黑" w:cs="微软雅黑"/>
            <w:color w:val="087E89"/>
          </w:rPr>
          <w:t>10</w:t>
        </w:r>
      </w:hyperlink>
      <w:r>
        <w:rPr>
          <w:rFonts w:ascii="微软雅黑" w:hAnsi="微软雅黑" w:eastAsia="微软雅黑" w:cs="微软雅黑"/>
        </w:rPr>
      </w:r>
    </w:p>
    <w:p>
      <w:pPr>
        <w:pStyle w:val="Heading3"/>
      </w:pPr>
      <w:r>
        <w:rPr>
          <w:rFonts w:ascii="微软雅黑" w:hAnsi="微软雅黑" w:eastAsia="微软雅黑" w:cs="微软雅黑"/>
        </w:rPr>
        <w:t>12. 印尼能源与矿产资源部调查涉嫌超范围采矿的油棕种植园</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印尼能源与矿产资源部（ESDM）将监测和检查涉嫌同时从事采矿活动的油棕种植园，据称这些超出许可范围的经营活动由一些外国公司实施。</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统筹部长兼能源与矿产资源部长巴利勒·拉哈达利亚表示，已与执法（Gakkum）团队及能源与矿产资源部内部团队召开会议跟进上述涉嫌行为。巴利勒强调，每家公司必须按照政府颁发的许可开展活动，仅持有油棕种植园经营许可的公司不得从事许可范围以外的其他业务。执法团队已报告存在若干外国公司，目前正被深入调查，因其可能在许可范围之外开展活动。</w:t>
      </w:r>
    </w:p>
    <w:p>
      <w:pPr>
        <w:ind w:firstLine="420"/>
      </w:pPr>
      <w:r>
        <w:rPr>
          <w:rFonts w:ascii="微软雅黑" w:hAnsi="微软雅黑" w:eastAsia="微软雅黑" w:cs="微软雅黑"/>
        </w:rPr>
        <w:t>来源：</w:t>
      </w:r>
      <w:hyperlink w:anchor="source-28092">
        <w:r>
          <w:rPr>
            <w:rFonts w:ascii="微软雅黑" w:hAnsi="微软雅黑" w:eastAsia="微软雅黑" w:cs="微软雅黑"/>
            <w:color w:val="087E89"/>
          </w:rPr>
          <w:t>20</w:t>
        </w:r>
      </w:hyperlink>
      <w:r>
        <w:rPr>
          <w:rFonts w:ascii="微软雅黑" w:hAnsi="微软雅黑" w:eastAsia="微软雅黑" w:cs="微软雅黑"/>
        </w:rPr>
      </w:r>
    </w:p>
    <w:p>
      <w:pPr>
        <w:pStyle w:val="Heading2"/>
      </w:pPr>
      <w:r>
        <w:rPr>
          <w:rFonts w:ascii="微软雅黑" w:hAnsi="微软雅黑" w:eastAsia="微软雅黑" w:cs="微软雅黑"/>
        </w:rPr>
        <w:t>中国重点事件</w:t>
      </w:r>
    </w:p>
    <w:p>
      <w:pPr>
        <w:pStyle w:val="Heading3"/>
      </w:pPr>
      <w:r>
        <w:rPr>
          <w:rFonts w:ascii="微软雅黑" w:hAnsi="微软雅黑" w:eastAsia="微软雅黑" w:cs="微软雅黑"/>
        </w:rPr>
        <w:t>13. “十五五”将开展找矿大会战行动，石油列聚焦矿种首位</w:t>
      </w:r>
    </w:p>
    <w:p>
      <w:pPr>
        <w:keepNext/>
      </w:pPr>
      <w:r>
        <w:rPr>
          <w:rFonts w:ascii="微软雅黑" w:hAnsi="微软雅黑" w:eastAsia="微软雅黑" w:cs="微软雅黑"/>
        </w:rPr>
        <w:t>领域：政策与能源安全</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自然资源部明确“十五五”时期将组织开展“找矿大会战行动”，聚焦石油等紧缺矿产，并推进约300个能源资源基地建设，油气勘探开发迎来政策叠加利好期。</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自然资源部在国新办发布会明确，“十五五”时期将组织开展“找矿大会战行动”，聚焦石油、铁、铜、铝等紧缺矿产，石油位列聚焦矿种首位，并稳步推进约300个能源资源基地建设。2025年国内油气供应量站上4.2亿吨油当量新台阶，原油产量创2.16亿吨历史新高，天然气产量连续9年增产超百亿立方米；按《石油天然气发展“十五五”规划》，2030年国内油气供应量要达到4.4亿吨油当量。</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油气开发在“十五五”开局之年已形成相互衔接的成本减负、勘探部署和产能目标体系。</w:t>
      </w:r>
    </w:p>
    <w:p>
      <w:pPr>
        <w:ind w:firstLine="420"/>
      </w:pPr>
      <w:r>
        <w:rPr>
          <w:rFonts w:ascii="微软雅黑" w:hAnsi="微软雅黑" w:eastAsia="微软雅黑" w:cs="微软雅黑"/>
        </w:rPr>
        <w:t>来源：</w:t>
      </w:r>
      <w:hyperlink w:anchor="source-27648">
        <w:r>
          <w:rPr>
            <w:rFonts w:ascii="微软雅黑" w:hAnsi="微软雅黑" w:eastAsia="微软雅黑" w:cs="微软雅黑"/>
            <w:color w:val="087E89"/>
          </w:rPr>
          <w:t>7</w:t>
        </w:r>
      </w:hyperlink>
      <w:r>
        <w:rPr>
          <w:rFonts w:ascii="微软雅黑" w:hAnsi="微软雅黑" w:eastAsia="微软雅黑" w:cs="微软雅黑"/>
        </w:rPr>
      </w:r>
    </w:p>
    <w:p>
      <w:pPr>
        <w:pStyle w:val="Heading3"/>
      </w:pPr>
      <w:r>
        <w:rPr>
          <w:rFonts w:ascii="微软雅黑" w:hAnsi="微软雅黑" w:eastAsia="微软雅黑" w:cs="微软雅黑"/>
        </w:rPr>
        <w:t>14. 天津：“十五五”新增用电全部通过本地绿电和外受电解决</w:t>
      </w:r>
    </w:p>
    <w:p>
      <w:pPr>
        <w:keepNext/>
      </w:pPr>
      <w:r>
        <w:rPr>
          <w:rFonts w:ascii="微软雅黑" w:hAnsi="微软雅黑" w:eastAsia="微软雅黑" w:cs="微软雅黑"/>
        </w:rPr>
        <w:t>领域：石油与炼化</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10月22日，天津市政府新闻办举行“开局起步‘十五五’”系列主题新闻发布会，市发展改革委主任梁军介绍“十五五”时期天津能源发展安排，提出新增用电需求全部通过本地绿电和外受电解决。</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十四五”期间天津电力装机较2020年增长73.7%，新能源超过煤电成为第一大电源，煤炭消费比重由34.6%降至24.6%，非化石能源消费比重由7.1%提高至17%；三座LNG接收站投产运行，接收能力领跑全国。“十五五”时期天津将统筹推进风电、光伏等非化石能源开发，非化石能源发电装机超过2000万千瓦、装机比重超过50%；新增用电需求全部通过本地绿电和外受电解决；煤炭消费总量较2025年下降10%、比重降至21%左右，非化石能源消费比重增至22.2%。</w:t>
      </w:r>
    </w:p>
    <w:p>
      <w:pPr>
        <w:ind w:firstLine="420"/>
      </w:pPr>
      <w:r>
        <w:rPr>
          <w:rFonts w:ascii="微软雅黑" w:hAnsi="微软雅黑" w:eastAsia="微软雅黑" w:cs="微软雅黑"/>
        </w:rPr>
        <w:t>来源：</w:t>
      </w:r>
      <w:hyperlink w:anchor="source-28180">
        <w:r>
          <w:rPr>
            <w:rFonts w:ascii="微软雅黑" w:hAnsi="微软雅黑" w:eastAsia="微软雅黑" w:cs="微软雅黑"/>
            <w:color w:val="087E89"/>
          </w:rPr>
          <w:t>12</w:t>
        </w:r>
      </w:hyperlink>
      <w:r>
        <w:rPr>
          <w:rFonts w:ascii="微软雅黑" w:hAnsi="微软雅黑" w:eastAsia="微软雅黑" w:cs="微软雅黑"/>
        </w:rPr>
      </w:r>
    </w:p>
    <w:p>
      <w:pPr>
        <w:pStyle w:val="Heading3"/>
      </w:pPr>
      <w:r>
        <w:rPr>
          <w:rFonts w:ascii="微软雅黑" w:hAnsi="微软雅黑" w:eastAsia="微软雅黑" w:cs="微软雅黑"/>
        </w:rPr>
        <w:t>15. 国家发展改革委印发《能源保供中长期合同管理办法（试行）》</w:t>
      </w:r>
    </w:p>
    <w:p>
      <w:pPr>
        <w:keepNext/>
      </w:pPr>
      <w:r>
        <w:rPr>
          <w:rFonts w:ascii="微软雅黑" w:hAnsi="微软雅黑" w:eastAsia="微软雅黑" w:cs="微软雅黑"/>
        </w:rPr>
        <w:t>领域：天然气与液化天然气</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国家发展改革委近日印发《能源保供中长期合同管理办法（试行）》，自2026年12月1日起施行，将电煤、电力、天然气保供中长期合同纳入统一制度规范。</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办法》（国家发展改革委令2026年第50号）将电煤、电力、天然气保供中长期合同纳入统一制度规范，明确了各方权利义务，科学确定了适用范围、保供责任、签约履约、监督管理等内容。出台目的是加强能源产供储销体系建设，更好发挥中长期合同在能源保供中的基础性作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有助于更好发挥能源保供中长期合同“稳定器”和“压舱石”作用，引导能源资源优化配置，从制度上保障能源供应链的韧性与安全，推动能源保供制度化、法治化、规范化水平进一步提升。</w:t>
      </w:r>
    </w:p>
    <w:p>
      <w:pPr>
        <w:ind w:firstLine="420"/>
      </w:pPr>
      <w:r>
        <w:rPr>
          <w:rFonts w:ascii="微软雅黑" w:hAnsi="微软雅黑" w:eastAsia="微软雅黑" w:cs="微软雅黑"/>
        </w:rPr>
        <w:t>来源：</w:t>
      </w:r>
      <w:hyperlink w:anchor="source-27754">
        <w:r>
          <w:rPr>
            <w:rFonts w:ascii="微软雅黑" w:hAnsi="微软雅黑" w:eastAsia="微软雅黑" w:cs="微软雅黑"/>
            <w:color w:val="087E89"/>
          </w:rPr>
          <w:t>16</w:t>
        </w:r>
      </w:hyperlink>
      <w:r>
        <w:rPr>
          <w:rFonts w:ascii="微软雅黑" w:hAnsi="微软雅黑" w:eastAsia="微软雅黑" w:cs="微软雅黑"/>
        </w:rPr>
        <w:t xml:space="preserve"> </w:t>
      </w:r>
      <w:hyperlink w:anchor="source-27721">
        <w:r>
          <w:rPr>
            <w:rFonts w:ascii="微软雅黑" w:hAnsi="微软雅黑" w:eastAsia="微软雅黑" w:cs="微软雅黑"/>
            <w:color w:val="087E89"/>
          </w:rPr>
          <w:t>17</w:t>
        </w:r>
      </w:hyperlink>
      <w:r>
        <w:rPr>
          <w:rFonts w:ascii="微软雅黑" w:hAnsi="微软雅黑" w:eastAsia="微软雅黑" w:cs="微软雅黑"/>
        </w:rPr>
      </w:r>
    </w:p>
    <w:p>
      <w:pPr>
        <w:pStyle w:val="Heading3"/>
      </w:pPr>
      <w:r>
        <w:rPr>
          <w:rFonts w:ascii="微软雅黑" w:hAnsi="微软雅黑" w:eastAsia="微软雅黑" w:cs="微软雅黑"/>
        </w:rPr>
        <w:t>16. 坑口煤价跌价潮全面蔓延，港口指数熄火库存暴增</w:t>
      </w:r>
    </w:p>
    <w:p>
      <w:pPr>
        <w:keepNext/>
      </w:pPr>
      <w:r>
        <w:rPr>
          <w:rFonts w:ascii="微软雅黑" w:hAnsi="微软雅黑" w:eastAsia="微软雅黑" w:cs="微软雅黑"/>
        </w:rPr>
        <w:t>领域：煤炭</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本周坑口煤价跌价潮全面蔓延，榆林煤矿单日最多暴跌87元，陕西各矿每天普降30-40元/吨，港口多个指数熄火，环渤海四港库存一周暴增189万吨至2522万吨高位。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庆节后煤价连涨近20天后，本周坑口跌价潮全面蔓延：榆林煤矿一天最多暴跌87元，陕西各矿周内每天普降30-40元/吨；10月23日阴湾煤矿籽煤、块煤一次性下调58-61元/吨，10月24日神木新窑煤矿水洗一三籽大跌40元、其余煤种降20-30元，内蒙多矿跟跌。大集团外购同步下调，巴图塔站台连续2次下调收购价，山东魏桥电厂自10月25日起旗下所有烟煤下调10元/吨。港口多个指数熄火，台风封航叠加临近尾声的大秦线检修进港增加，环渤海四港库存一周暴增189万吨至2522万吨高位。</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煤炭宝总结：个别煤矿放量成交不是反弹信号，而是年底临近矿上“以降价换销量”，大势已由“高位僵持”转向“高位回落”；本周进口煤成本和电厂投标价均已下降，港口煤价可能撑不了多久。</w:t>
      </w:r>
    </w:p>
    <w:p>
      <w:pPr>
        <w:ind w:firstLine="420"/>
      </w:pPr>
      <w:r>
        <w:rPr>
          <w:rFonts w:ascii="微软雅黑" w:hAnsi="微软雅黑" w:eastAsia="微软雅黑" w:cs="微软雅黑"/>
        </w:rPr>
        <w:t>来源：</w:t>
      </w:r>
      <w:hyperlink w:anchor="source-28241">
        <w:r>
          <w:rPr>
            <w:rFonts w:ascii="微软雅黑" w:hAnsi="微软雅黑" w:eastAsia="微软雅黑" w:cs="微软雅黑"/>
            <w:color w:val="087E89"/>
          </w:rPr>
          <w:t>18</w:t>
        </w:r>
      </w:hyperlink>
      <w:r>
        <w:rPr>
          <w:rFonts w:ascii="微软雅黑" w:hAnsi="微软雅黑" w:eastAsia="微软雅黑" w:cs="微软雅黑"/>
        </w:rPr>
      </w:r>
    </w:p>
    <w:p>
      <w:pPr>
        <w:pStyle w:val="Heading3"/>
      </w:pPr>
      <w:r>
        <w:rPr>
          <w:rFonts w:ascii="微软雅黑" w:hAnsi="微软雅黑" w:eastAsia="微软雅黑" w:cs="微软雅黑"/>
        </w:rPr>
        <w:t>17. 南方区域电力市场转入正式运行 全国统一电力市场建设取得突破</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10月24日，我国首个区域电力市场——南方区域电力市场从试运行转入正式运行，标志着全国统一电力市场体系建设取得重大突破。</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市场自2025年6月启动连续结算试运行，历经一年多极端工况实战检验。广东、广西、云南、贵州、海南五省区的发电企业、售电公司、电力用户和新型储能、虚拟电厂等经营主体同台竞争，煤电、水电、核电、风电、光伏、气电等全电源类型在同一套规则下竞价、统一形成价格。今年1月至9月累计交易电量近9000亿千瓦时，占全网售电量比例超七成；新增售电量中四成由新能源提供；最大单日出清电量超40亿千瓦时；区域新能源发电利用率保持95%以上。试运行期间与国家电网经营区联动互通，跨经营区交易电量达194亿千瓦时。</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市场交易规则体系全面成型，电力资源要素跨省区、跨时空流动规则更加清晰，市场改革从“搭建制度框架”迈入“强化要素配置功能”新阶段，为区域29万经营主体营造更充分公平的竞争环境。</w:t>
      </w:r>
    </w:p>
    <w:p>
      <w:pPr>
        <w:ind w:firstLine="420"/>
      </w:pPr>
      <w:r>
        <w:rPr>
          <w:rFonts w:ascii="微软雅黑" w:hAnsi="微软雅黑" w:eastAsia="微软雅黑" w:cs="微软雅黑"/>
        </w:rPr>
        <w:t>来源：</w:t>
      </w:r>
      <w:hyperlink w:anchor="source-27927">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7930">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7654">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7641">
        <w:r>
          <w:rPr>
            <w:rFonts w:ascii="微软雅黑" w:hAnsi="微软雅黑" w:eastAsia="微软雅黑" w:cs="微软雅黑"/>
            <w:color w:val="087E89"/>
          </w:rPr>
          <w:t>6</w:t>
        </w:r>
      </w:hyperlink>
      <w:r>
        <w:rPr>
          <w:rFonts w:ascii="微软雅黑" w:hAnsi="微软雅黑" w:eastAsia="微软雅黑" w:cs="微软雅黑"/>
        </w:rPr>
      </w:r>
    </w:p>
    <w:p>
      <w:pPr>
        <w:pStyle w:val="Heading3"/>
      </w:pPr>
      <w:r>
        <w:rPr>
          <w:rFonts w:ascii="微软雅黑" w:hAnsi="微软雅黑" w:eastAsia="微软雅黑" w:cs="微软雅黑"/>
        </w:rPr>
        <w:t>18. 国家能源局印发《关于推动煤电与新能源融合发展的实施意见》</w:t>
      </w:r>
    </w:p>
    <w:p>
      <w:pPr>
        <w:keepNext/>
      </w:pPr>
      <w:r>
        <w:rPr>
          <w:rFonts w:ascii="微软雅黑" w:hAnsi="微软雅黑" w:eastAsia="微软雅黑" w:cs="微软雅黑"/>
        </w:rPr>
        <w:t>领域：电力与储能</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近日，国家能源局印发《关于推动煤电与新能源融合发展的实施意见》，对煤电与新能源融合发展的原则和方向作出规定。</w:t>
      </w:r>
    </w:p>
    <w:p>
      <w:pPr>
        <w:keepNext/>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实施意见明确煤电与新能源融合应在不降低煤电对电力系统支撑调节能力的前提下实施，融合项目的新能源规模要与煤电机组改造升级提升的调节能力匹配。文件提出强化煤电降碳，切实提升煤电降碳质效；促进新能源消纳，减少弃风弃光，有效提升新能源消纳水平；鼓励多元创新，支持探索融合技术试点应用；坚持因地制宜，科学选取适配融合场景模式。</w:t>
      </w:r>
    </w:p>
    <w:p>
      <w:pPr>
        <w:ind w:firstLine="420"/>
      </w:pPr>
      <w:r>
        <w:rPr>
          <w:rFonts w:ascii="微软雅黑" w:hAnsi="微软雅黑" w:eastAsia="微软雅黑" w:cs="微软雅黑"/>
        </w:rPr>
        <w:t>来源：</w:t>
      </w:r>
      <w:hyperlink w:anchor="source-27886">
        <w:r>
          <w:rPr>
            <w:rFonts w:ascii="微软雅黑" w:hAnsi="微软雅黑" w:eastAsia="微软雅黑" w:cs="微软雅黑"/>
            <w:color w:val="087E89"/>
          </w:rPr>
          <w:t>25</w:t>
        </w:r>
      </w:hyperlink>
      <w:r>
        <w:rPr>
          <w:rFonts w:ascii="微软雅黑" w:hAnsi="微软雅黑" w:eastAsia="微软雅黑" w:cs="微软雅黑"/>
        </w:rPr>
      </w:r>
    </w:p>
    <w:p>
      <w:pPr>
        <w:pStyle w:val="Heading3"/>
      </w:pPr>
      <w:r>
        <w:rPr>
          <w:rFonts w:ascii="微软雅黑" w:hAnsi="微软雅黑" w:eastAsia="微软雅黑" w:cs="微软雅黑"/>
        </w:rPr>
        <w:t>19. 中国风电光伏产品出口至200多个国家和地区，“十四五”助力他国减碳约41亿吨</w:t>
      </w:r>
    </w:p>
    <w:p>
      <w:pPr>
        <w:keepNext/>
      </w:pPr>
      <w:r>
        <w:rPr>
          <w:rFonts w:ascii="微软雅黑" w:hAnsi="微软雅黑" w:eastAsia="微软雅黑" w:cs="微软雅黑"/>
        </w:rPr>
        <w:t>领域：新能源与能源转型</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报道梳理我国风电、光伏产业发展成效：截至今年9月底风光装机合计突破20亿千瓦，产品出口至200多个国家和地区，助力全球减碳。</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国家能源局数据显示，截至今年9月底，全国风电装机达7.0亿千瓦、光伏装机达13.1亿千瓦，可再生能源总装机跨过25亿千瓦，约占全国电力总装机的六成；风电装机规模连续16年稳居世界第一。今年上半年我国风电机组出口同比增长35.6%，光伏产品出口额171.83亿美元、同比增长24.3%；截至今年6月的12个月内，中国对非洲光伏组件出口达23吉瓦，同比增长53%。“十四五”期间中国出口的风电、光伏产品累计助力其他国家减少碳排放约41亿吨。</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我国锚定2030年风光装机28亿千瓦以上、2035年36亿千瓦的发展目标；国际可再生能源署指出，过去十年全球风电、光伏发电项目平均度电成本分别累计下降超过60%和80%，其中很大一部分归功于中国创新、中国制造、中国工程。</w:t>
      </w:r>
    </w:p>
    <w:p>
      <w:pPr>
        <w:ind w:firstLine="420"/>
      </w:pPr>
      <w:r>
        <w:rPr>
          <w:rFonts w:ascii="微软雅黑" w:hAnsi="微软雅黑" w:eastAsia="微软雅黑" w:cs="微软雅黑"/>
        </w:rPr>
        <w:t>来源：</w:t>
      </w:r>
      <w:hyperlink w:anchor="source-28144">
        <w:r>
          <w:rPr>
            <w:rFonts w:ascii="微软雅黑" w:hAnsi="微软雅黑" w:eastAsia="微软雅黑" w:cs="微软雅黑"/>
            <w:color w:val="087E89"/>
          </w:rPr>
          <w:t>13</w:t>
        </w:r>
      </w:hyperlink>
      <w:r>
        <w:rPr>
          <w:rFonts w:ascii="微软雅黑" w:hAnsi="微软雅黑" w:eastAsia="微软雅黑" w:cs="微软雅黑"/>
        </w:rPr>
      </w:r>
    </w:p>
    <w:p>
      <w:pPr>
        <w:pStyle w:val="Heading3"/>
      </w:pPr>
      <w:r>
        <w:rPr>
          <w:rFonts w:ascii="微软雅黑" w:hAnsi="微软雅黑" w:eastAsia="微软雅黑" w:cs="微软雅黑"/>
        </w:rPr>
        <w:t>20. 居民用电量近十年来首次累计负增长，主因极端天气</w:t>
      </w:r>
    </w:p>
    <w:p>
      <w:pPr>
        <w:keepNext/>
      </w:pPr>
      <w:r>
        <w:rPr>
          <w:rFonts w:ascii="微软雅黑" w:hAnsi="微软雅黑" w:eastAsia="微软雅黑" w:cs="微软雅黑"/>
        </w:rPr>
        <w:t>领域：企业与产业链</w:t>
      </w:r>
    </w:p>
    <w:p>
      <w:pPr>
        <w:ind w:firstLine="420"/>
      </w:pPr>
      <w:r>
        <w:rPr>
          <w:rFonts w:ascii="微软雅黑" w:hAnsi="微软雅黑" w:eastAsia="微软雅黑" w:cs="微软雅黑"/>
        </w:rPr>
      </w:r>
      <w:r>
        <w:rPr>
          <w:rFonts w:ascii="微软雅黑" w:hAnsi="微软雅黑" w:eastAsia="微软雅黑" w:cs="微软雅黑"/>
          <w:b/>
        </w:rPr>
        <w:t>事件：</w:t>
      </w:r>
      <w:r>
        <w:rPr>
          <w:rFonts w:ascii="微软雅黑" w:hAnsi="微软雅黑" w:eastAsia="微软雅黑" w:cs="微软雅黑"/>
        </w:rPr>
        <w:t>今年1至9月，城乡居民生活用电量同比下降0.3%，为近十年来该统计口径下累计增速首次由正转负。国家能源局归因于“沙德尔”台风等极端天气导致高负荷区域降温用电需求下降。</w:t>
      </w:r>
    </w:p>
    <w:p>
      <w:pPr>
        <w:ind w:firstLine="420"/>
      </w:pPr>
      <w:r>
        <w:rPr>
          <w:rFonts w:ascii="微软雅黑" w:hAnsi="微软雅黑" w:eastAsia="微软雅黑" w:cs="微软雅黑"/>
        </w:rPr>
      </w:r>
      <w:r>
        <w:rPr>
          <w:rFonts w:ascii="微软雅黑" w:hAnsi="微软雅黑" w:eastAsia="微软雅黑" w:cs="微软雅黑"/>
          <w:b/>
        </w:rPr>
        <w:t>关键事实：</w:t>
      </w:r>
      <w:r>
        <w:rPr>
          <w:rFonts w:ascii="微软雅黑" w:hAnsi="微软雅黑" w:eastAsia="微软雅黑" w:cs="微软雅黑"/>
        </w:rPr>
        <w:t>拐点出现在9月：当月城乡居民生活用电量1210亿千瓦时，同比下降6.0%，下拉前8个月微弱正增长，带动1至9月累计增速转负。国家能源局明确，主要原因是受“沙德尔”台风等极端天气影响，9月上中旬华中、华东、南方等高负荷区域降温用电需求下降。9月上海、浙江、江苏、湖南、江西、湖北、安徽、福建等居民用电两位数负增长的地方多为台风及强降雨主要影响区域。同期全社会用电量80734亿千瓦时，同比增长3.9%；高技术及装备制造业用电量同比增长8.7%，充换电服务业增长55.4%，互联网数据服务增长41.6%。</w:t>
      </w:r>
    </w:p>
    <w:p>
      <w:pPr>
        <w:keepNext/>
        <w:ind w:firstLine="420"/>
      </w:pPr>
      <w:r>
        <w:rPr>
          <w:rFonts w:ascii="微软雅黑" w:hAnsi="微软雅黑" w:eastAsia="微软雅黑" w:cs="微软雅黑"/>
        </w:rPr>
      </w:r>
      <w:r>
        <w:rPr>
          <w:rFonts w:ascii="微软雅黑" w:hAnsi="微软雅黑" w:eastAsia="微软雅黑" w:cs="微软雅黑"/>
          <w:b/>
        </w:rPr>
        <w:t>影响：</w:t>
      </w:r>
      <w:r>
        <w:rPr>
          <w:rFonts w:ascii="微软雅黑" w:hAnsi="微软雅黑" w:eastAsia="微软雅黑" w:cs="微软雅黑"/>
        </w:rPr>
        <w:t>本次下滑属于短期现象，是气候账而非经济账；随着电动汽车渗透率大幅提升，给汽车充电正成为居民用电新的增长动力，有望支撑居民用电中长期增长。</w:t>
      </w:r>
    </w:p>
    <w:p>
      <w:pPr>
        <w:ind w:firstLine="420"/>
      </w:pPr>
      <w:r>
        <w:rPr>
          <w:rFonts w:ascii="微软雅黑" w:hAnsi="微软雅黑" w:eastAsia="微软雅黑" w:cs="微软雅黑"/>
        </w:rPr>
        <w:t>来源：</w:t>
      </w:r>
      <w:hyperlink w:anchor="source-28005">
        <w:r>
          <w:rPr>
            <w:rFonts w:ascii="微软雅黑" w:hAnsi="微软雅黑" w:eastAsia="微软雅黑" w:cs="微软雅黑"/>
            <w:color w:val="087E89"/>
          </w:rPr>
          <w:t>14</w:t>
        </w:r>
      </w:hyperlink>
      <w:r>
        <w:rPr>
          <w:rFonts w:ascii="微软雅黑" w:hAnsi="微软雅黑" w:eastAsia="微软雅黑" w:cs="微软雅黑"/>
        </w:rPr>
        <w:t xml:space="preserve"> </w:t>
      </w:r>
      <w:hyperlink w:anchor="source-27771">
        <w:r>
          <w:rPr>
            <w:rFonts w:ascii="微软雅黑" w:hAnsi="微软雅黑" w:eastAsia="微软雅黑" w:cs="微软雅黑"/>
            <w:color w:val="087E89"/>
          </w:rPr>
          <w:t>15</w:t>
        </w:r>
      </w:hyperlink>
      <w:r>
        <w:rPr>
          <w:rFonts w:ascii="微软雅黑" w:hAnsi="微软雅黑" w:eastAsia="微软雅黑" w:cs="微软雅黑"/>
        </w:rPr>
      </w:r>
    </w:p>
    <w:p>
      <w:pPr>
        <w:pStyle w:val="Heading2"/>
      </w:pPr>
      <w:r>
        <w:rPr>
          <w:rFonts w:ascii="微软雅黑" w:hAnsi="微软雅黑" w:eastAsia="微软雅黑" w:cs="微软雅黑"/>
        </w:rPr>
        <w:t>风险与后续观察</w:t>
      </w:r>
    </w:p>
    <w:p>
      <w:pPr>
        <w:pStyle w:val="ListBullet"/>
      </w:pPr>
      <w:r>
        <w:rPr>
          <w:rFonts w:ascii="微软雅黑" w:hAnsi="微软雅黑" w:eastAsia="微软雅黑" w:cs="微软雅黑"/>
        </w:rPr>
        <w:t xml:space="preserve">乌克兰武装部队对俄境内及被占领地区能源基础设施袭击的影响尚无法核实。 </w:t>
      </w:r>
      <w:hyperlink w:anchor="source-28216">
        <w:r>
          <w:rPr>
            <w:rFonts w:ascii="微软雅黑" w:hAnsi="微软雅黑" w:eastAsia="微软雅黑" w:cs="微软雅黑"/>
            <w:color w:val="087E89"/>
          </w:rPr>
          <w:t>1</w:t>
        </w:r>
      </w:hyperlink>
      <w:r>
        <w:rPr>
          <w:rFonts w:ascii="微软雅黑" w:hAnsi="微软雅黑" w:eastAsia="微软雅黑" w:cs="微软雅黑"/>
        </w:rPr>
      </w:r>
    </w:p>
    <w:p>
      <w:pPr>
        <w:pStyle w:val="ListBullet"/>
      </w:pPr>
      <w:r>
        <w:rPr>
          <w:rFonts w:ascii="微软雅黑" w:hAnsi="微软雅黑" w:eastAsia="微软雅黑" w:cs="微软雅黑"/>
        </w:rPr>
        <w:t xml:space="preserve">后续出访及长期供应合同谈判结果尚待落实。 </w:t>
      </w:r>
      <w:hyperlink w:anchor="source-27970">
        <w:r>
          <w:rPr>
            <w:rFonts w:ascii="微软雅黑" w:hAnsi="微软雅黑" w:eastAsia="微软雅黑" w:cs="微软雅黑"/>
            <w:color w:val="087E89"/>
          </w:rPr>
          <w:t>2</w:t>
        </w:r>
      </w:hyperlink>
      <w:r>
        <w:rPr>
          <w:rFonts w:ascii="微软雅黑" w:hAnsi="微软雅黑" w:eastAsia="微软雅黑" w:cs="微软雅黑"/>
        </w:rPr>
      </w:r>
    </w:p>
    <w:p>
      <w:pPr>
        <w:pStyle w:val="ListBullet"/>
      </w:pPr>
      <w:r>
        <w:rPr>
          <w:rFonts w:ascii="微软雅黑" w:hAnsi="微软雅黑" w:eastAsia="微软雅黑" w:cs="微软雅黑"/>
        </w:rPr>
        <w:t xml:space="preserve">中国南方电力调度控制中心总经理黄河表示，转正后将持续打破经营主体品类边界：电源侧丰富新型主体参与模式，需求侧面向用户逐步放开规模，调节资源侧容纳新型储能等更多品类参与现货及辅助服务交易。 </w:t>
      </w:r>
      <w:hyperlink w:anchor="source-27927">
        <w:r>
          <w:rPr>
            <w:rFonts w:ascii="微软雅黑" w:hAnsi="微软雅黑" w:eastAsia="微软雅黑" w:cs="微软雅黑"/>
            <w:color w:val="087E89"/>
          </w:rPr>
          <w:t>3</w:t>
        </w:r>
      </w:hyperlink>
      <w:r>
        <w:rPr>
          <w:rFonts w:ascii="微软雅黑" w:hAnsi="微软雅黑" w:eastAsia="微软雅黑" w:cs="微软雅黑"/>
        </w:rPr>
        <w:t xml:space="preserve"> </w:t>
      </w:r>
      <w:hyperlink w:anchor="source-27930">
        <w:r>
          <w:rPr>
            <w:rFonts w:ascii="微软雅黑" w:hAnsi="微软雅黑" w:eastAsia="微软雅黑" w:cs="微软雅黑"/>
            <w:color w:val="087E89"/>
          </w:rPr>
          <w:t>4</w:t>
        </w:r>
      </w:hyperlink>
      <w:r>
        <w:rPr>
          <w:rFonts w:ascii="微软雅黑" w:hAnsi="微软雅黑" w:eastAsia="微软雅黑" w:cs="微软雅黑"/>
        </w:rPr>
        <w:t xml:space="preserve"> </w:t>
      </w:r>
      <w:hyperlink w:anchor="source-27654">
        <w:r>
          <w:rPr>
            <w:rFonts w:ascii="微软雅黑" w:hAnsi="微软雅黑" w:eastAsia="微软雅黑" w:cs="微软雅黑"/>
            <w:color w:val="087E89"/>
          </w:rPr>
          <w:t>5</w:t>
        </w:r>
      </w:hyperlink>
      <w:r>
        <w:rPr>
          <w:rFonts w:ascii="微软雅黑" w:hAnsi="微软雅黑" w:eastAsia="微软雅黑" w:cs="微软雅黑"/>
        </w:rPr>
        <w:t xml:space="preserve"> </w:t>
      </w:r>
      <w:hyperlink w:anchor="source-27641">
        <w:r>
          <w:rPr>
            <w:rFonts w:ascii="微软雅黑" w:hAnsi="微软雅黑" w:eastAsia="微软雅黑" w:cs="微软雅黑"/>
            <w:color w:val="087E89"/>
          </w:rPr>
          <w:t>6</w:t>
        </w:r>
      </w:hyperlink>
      <w:r>
        <w:rPr>
          <w:rFonts w:ascii="微软雅黑" w:hAnsi="微软雅黑" w:eastAsia="微软雅黑" w:cs="微软雅黑"/>
        </w:rPr>
      </w:r>
    </w:p>
    <w:p>
      <w:pPr>
        <w:pStyle w:val="ListBullet"/>
      </w:pPr>
      <w:r>
        <w:rPr>
          <w:rFonts w:ascii="微软雅黑" w:hAnsi="微软雅黑" w:eastAsia="微软雅黑" w:cs="微软雅黑"/>
        </w:rPr>
        <w:t xml:space="preserve">交易预计于2027年第一季度完成，尚需监管机构和股东批准。 </w:t>
      </w:r>
      <w:hyperlink w:anchor="source-28139">
        <w:r>
          <w:rPr>
            <w:rFonts w:ascii="微软雅黑" w:hAnsi="微软雅黑" w:eastAsia="微软雅黑" w:cs="微软雅黑"/>
            <w:color w:val="087E89"/>
          </w:rPr>
          <w:t>8</w:t>
        </w:r>
      </w:hyperlink>
      <w:r>
        <w:rPr>
          <w:rFonts w:ascii="微软雅黑" w:hAnsi="微软雅黑" w:eastAsia="微软雅黑" w:cs="微软雅黑"/>
        </w:rPr>
      </w:r>
    </w:p>
    <w:p>
      <w:pPr>
        <w:pStyle w:val="ListBullet"/>
      </w:pPr>
      <w:r>
        <w:rPr>
          <w:rFonts w:ascii="微软雅黑" w:hAnsi="微软雅黑" w:eastAsia="微软雅黑" w:cs="微软雅黑"/>
        </w:rPr>
        <w:t xml:space="preserve">电网增强技术取决于公用事业公司是否愿意投资；数据中心削峰受州与地方排放限值约束，美国几乎没有能实现该结果的监管动作。 </w:t>
      </w:r>
      <w:hyperlink w:anchor="source-28079">
        <w:r>
          <w:rPr>
            <w:rFonts w:ascii="微软雅黑" w:hAnsi="微软雅黑" w:eastAsia="微软雅黑" w:cs="微软雅黑"/>
            <w:color w:val="087E89"/>
          </w:rPr>
          <w:t>9</w:t>
        </w:r>
      </w:hyperlink>
      <w:r>
        <w:rPr>
          <w:rFonts w:ascii="微软雅黑" w:hAnsi="微软雅黑" w:eastAsia="微软雅黑" w:cs="微软雅黑"/>
        </w:rPr>
      </w:r>
    </w:p>
    <w:p>
      <w:pPr>
        <w:pStyle w:val="ListBullet"/>
      </w:pPr>
      <w:r>
        <w:rPr>
          <w:rFonts w:ascii="微软雅黑" w:hAnsi="微软雅黑" w:eastAsia="微软雅黑" w:cs="微软雅黑"/>
        </w:rPr>
        <w:t xml:space="preserve">德国氢能立法成效取决于企业对长期政策稳定性及RFNBO监管价值是否有足够信心；钢铁和化工行业氢能广泛采用仍将艰巨。 </w:t>
      </w:r>
      <w:hyperlink w:anchor="source-27953">
        <w:r>
          <w:rPr>
            <w:rFonts w:ascii="微软雅黑" w:hAnsi="微软雅黑" w:eastAsia="微软雅黑" w:cs="微软雅黑"/>
            <w:color w:val="087E89"/>
          </w:rPr>
          <w:t>10</w:t>
        </w:r>
      </w:hyperlink>
      <w:r>
        <w:rPr>
          <w:rFonts w:ascii="微软雅黑" w:hAnsi="微软雅黑" w:eastAsia="微软雅黑" w:cs="微软雅黑"/>
        </w:rPr>
      </w:r>
    </w:p>
    <w:p>
      <w:pPr>
        <w:pStyle w:val="Heading2"/>
      </w:pPr>
      <w:r>
        <w:rPr>
          <w:rFonts w:ascii="微软雅黑" w:hAnsi="微软雅黑" w:eastAsia="微软雅黑" w:cs="微软雅黑"/>
        </w:rPr>
        <w:t>资料覆盖说明</w:t>
      </w:r>
    </w:p>
    <w:p>
      <w:pPr>
        <w:ind w:firstLine="420"/>
      </w:pPr>
      <w:r>
        <w:rPr>
          <w:rFonts w:ascii="微软雅黑" w:hAnsi="微软雅黑" w:eastAsia="微软雅黑" w:cs="微软雅黑"/>
        </w:rPr>
        <w:t>本期采集快照包含 395 篇文章，形成 384 篇有效能源材料；正文引用 27 篇来源，整理 20 个重点事件。</w:t>
      </w:r>
    </w:p>
    <w:p>
      <w:pPr>
        <w:ind w:firstLine="420"/>
      </w:pPr>
      <w:r>
        <w:rPr>
          <w:rFonts w:ascii="微软雅黑" w:hAnsi="微软雅黑" w:eastAsia="微软雅黑" w:cs="微软雅黑"/>
        </w:rPr>
        <w:t>按报道发布时间归档。历史数据、计划和预测不代表当日新发生或已经实现；来源样本不等于完整市场统计。</w:t>
      </w:r>
    </w:p>
    <w:p>
      <w:pPr>
        <w:ind w:firstLine="420"/>
      </w:pPr>
      <w:r>
        <w:rPr>
          <w:rFonts w:ascii="微软雅黑" w:hAnsi="微软雅黑" w:eastAsia="微软雅黑" w:cs="微软雅黑"/>
        </w:rPr>
        <w:t>本期材料较多，综合部分按重要性及主题覆盖择取。</w:t>
      </w:r>
    </w:p>
    <w:p>
      <w:pPr>
        <w:pStyle w:val="Heading2"/>
      </w:pPr>
      <w:r>
        <w:rPr>
          <w:rFonts w:ascii="微软雅黑" w:hAnsi="微软雅黑" w:eastAsia="微软雅黑" w:cs="微软雅黑"/>
        </w:rPr>
        <w:t>资料来源</w:t>
      </w:r>
    </w:p>
    <w:p>
      <w:pPr>
        <w:spacing w:after="0" w:line="20" w:lineRule="exact"/>
      </w:pPr>
      <w:bookmarkStart w:id="1" w:name="source-28216"/>
      <w:bookmarkEnd w:id="1" w:name="source-28216"/>
    </w:p>
    <w:p>
      <w:pPr>
        <w:pStyle w:val="ListBullet"/>
      </w:pPr>
      <w:r>
        <w:rPr>
          <w:rFonts w:ascii="微软雅黑" w:hAnsi="微软雅黑" w:eastAsia="微软雅黑" w:cs="微软雅黑"/>
        </w:rPr>
        <w:t>[1] 联合国｜</w:t>
      </w:r>
      <w:hyperlink r:id="rId11">
        <w:r>
          <w:rPr>
            <w:rFonts w:ascii="微软雅黑" w:hAnsi="微软雅黑" w:eastAsia="微软雅黑" w:cs="微软雅黑"/>
            <w:color w:val="087E89"/>
          </w:rPr>
          <w:t>乌克兰：调查人员认定俄罗斯因袭击平民犯下战争罪</w:t>
        </w:r>
      </w:hyperlink>
      <w:r>
        <w:rPr>
          <w:rFonts w:ascii="微软雅黑" w:hAnsi="微软雅黑" w:eastAsia="微软雅黑" w:cs="微软雅黑"/>
        </w:rPr>
      </w:r>
    </w:p>
    <w:p>
      <w:pPr>
        <w:spacing w:after="0" w:line="20" w:lineRule="exact"/>
      </w:pPr>
      <w:bookmarkStart w:id="2" w:name="source-27970"/>
      <w:bookmarkEnd w:id="2" w:name="source-27970"/>
    </w:p>
    <w:p>
      <w:pPr>
        <w:pStyle w:val="ListBullet"/>
      </w:pPr>
      <w:r>
        <w:rPr>
          <w:rFonts w:ascii="微软雅黑" w:hAnsi="微软雅黑" w:eastAsia="微软雅黑" w:cs="微软雅黑"/>
        </w:rPr>
        <w:t>[2] 印度尼西亚能源与矿产资源部官网｜</w:t>
      </w:r>
      <w:hyperlink r:id="rId12">
        <w:r>
          <w:rPr>
            <w:rFonts w:ascii="微软雅黑" w:hAnsi="微软雅黑" w:eastAsia="微软雅黑" w:cs="微软雅黑"/>
            <w:color w:val="087E89"/>
          </w:rPr>
          <w:t>印尼总统条例107/2026出台，政府改变原油、成品油和LPG进口方式</w:t>
        </w:r>
      </w:hyperlink>
      <w:r>
        <w:rPr>
          <w:rFonts w:ascii="微软雅黑" w:hAnsi="微软雅黑" w:eastAsia="微软雅黑" w:cs="微软雅黑"/>
        </w:rPr>
      </w:r>
    </w:p>
    <w:p>
      <w:pPr>
        <w:spacing w:after="0" w:line="20" w:lineRule="exact"/>
      </w:pPr>
      <w:bookmarkStart w:id="3" w:name="source-27927"/>
      <w:bookmarkEnd w:id="3" w:name="source-27927"/>
    </w:p>
    <w:p>
      <w:pPr>
        <w:pStyle w:val="ListBullet"/>
      </w:pPr>
      <w:r>
        <w:rPr>
          <w:rFonts w:ascii="微软雅黑" w:hAnsi="微软雅黑" w:eastAsia="微软雅黑" w:cs="微软雅黑"/>
        </w:rPr>
        <w:t>[3] 中关村储能产业技术联盟｜</w:t>
      </w:r>
      <w:hyperlink r:id="rId13">
        <w:r>
          <w:rPr>
            <w:rFonts w:ascii="微软雅黑" w:hAnsi="微软雅黑" w:eastAsia="微软雅黑" w:cs="微软雅黑"/>
            <w:color w:val="087E89"/>
          </w:rPr>
          <w:t>我国首个区域电力市场正式运行！</w:t>
        </w:r>
      </w:hyperlink>
      <w:r>
        <w:rPr>
          <w:rFonts w:ascii="微软雅黑" w:hAnsi="微软雅黑" w:eastAsia="微软雅黑" w:cs="微软雅黑"/>
        </w:rPr>
      </w:r>
    </w:p>
    <w:p>
      <w:pPr>
        <w:spacing w:after="0" w:line="20" w:lineRule="exact"/>
      </w:pPr>
      <w:bookmarkStart w:id="4" w:name="source-27930"/>
      <w:bookmarkEnd w:id="4" w:name="source-27930"/>
    </w:p>
    <w:p>
      <w:pPr>
        <w:pStyle w:val="ListBullet"/>
      </w:pPr>
      <w:r>
        <w:rPr>
          <w:rFonts w:ascii="微软雅黑" w:hAnsi="微软雅黑" w:eastAsia="微软雅黑" w:cs="微软雅黑"/>
        </w:rPr>
        <w:t>[4] Solarbe(光伏网)｜</w:t>
      </w:r>
      <w:hyperlink r:id="rId14">
        <w:r>
          <w:rPr>
            <w:rFonts w:ascii="微软雅黑" w:hAnsi="微软雅黑" w:eastAsia="微软雅黑" w:cs="微软雅黑"/>
            <w:color w:val="087E89"/>
          </w:rPr>
          <w:t>南方区域电力市场正式运行</w:t>
        </w:r>
      </w:hyperlink>
      <w:r>
        <w:rPr>
          <w:rFonts w:ascii="微软雅黑" w:hAnsi="微软雅黑" w:eastAsia="微软雅黑" w:cs="微软雅黑"/>
        </w:rPr>
      </w:r>
    </w:p>
    <w:p>
      <w:pPr>
        <w:spacing w:after="0" w:line="20" w:lineRule="exact"/>
      </w:pPr>
      <w:bookmarkStart w:id="5" w:name="source-27654"/>
      <w:bookmarkEnd w:id="5" w:name="source-27654"/>
    </w:p>
    <w:p>
      <w:pPr>
        <w:pStyle w:val="ListBullet"/>
      </w:pPr>
      <w:r>
        <w:rPr>
          <w:rFonts w:ascii="微软雅黑" w:hAnsi="微软雅黑" w:eastAsia="微软雅黑" w:cs="微软雅黑"/>
        </w:rPr>
        <w:t>[5] 新华社｜</w:t>
      </w:r>
      <w:hyperlink r:id="rId15">
        <w:r>
          <w:rPr>
            <w:rFonts w:ascii="微软雅黑" w:hAnsi="微软雅黑" w:eastAsia="微软雅黑" w:cs="微软雅黑"/>
            <w:color w:val="087E89"/>
          </w:rPr>
          <w:t>我国首个区域电力市场正式运行</w:t>
        </w:r>
      </w:hyperlink>
      <w:r>
        <w:rPr>
          <w:rFonts w:ascii="微软雅黑" w:hAnsi="微软雅黑" w:eastAsia="微软雅黑" w:cs="微软雅黑"/>
        </w:rPr>
      </w:r>
    </w:p>
    <w:p>
      <w:pPr>
        <w:spacing w:after="0" w:line="20" w:lineRule="exact"/>
      </w:pPr>
      <w:bookmarkStart w:id="6" w:name="source-27641"/>
      <w:bookmarkEnd w:id="6" w:name="source-27641"/>
    </w:p>
    <w:p>
      <w:pPr>
        <w:pStyle w:val="ListBullet"/>
      </w:pPr>
      <w:r>
        <w:rPr>
          <w:rFonts w:ascii="微软雅黑" w:hAnsi="微软雅黑" w:eastAsia="微软雅黑" w:cs="微软雅黑"/>
        </w:rPr>
        <w:t>[6] 界面新闻 · 能源早报｜我国首个区域电力市场正式运行；天齐锂业第三季度归母净利润同比增超13倍｜</w:t>
      </w:r>
      <w:hyperlink r:id="rId16">
        <w:r>
          <w:rPr>
            <w:rFonts w:ascii="微软雅黑" w:hAnsi="微软雅黑" w:eastAsia="微软雅黑" w:cs="微软雅黑"/>
            <w:color w:val="087E89"/>
          </w:rPr>
          <w:t>查看原文</w:t>
        </w:r>
      </w:hyperlink>
      <w:r>
        <w:rPr>
          <w:rFonts w:ascii="微软雅黑" w:hAnsi="微软雅黑" w:eastAsia="微软雅黑" w:cs="微软雅黑"/>
        </w:rPr>
      </w:r>
    </w:p>
    <w:p>
      <w:pPr>
        <w:spacing w:after="0" w:line="20" w:lineRule="exact"/>
      </w:pPr>
      <w:bookmarkStart w:id="7" w:name="source-27648"/>
      <w:bookmarkEnd w:id="7" w:name="source-27648"/>
    </w:p>
    <w:p>
      <w:pPr>
        <w:pStyle w:val="ListBullet"/>
      </w:pPr>
      <w:r>
        <w:rPr>
          <w:rFonts w:ascii="微软雅黑" w:hAnsi="微软雅黑" w:eastAsia="微软雅黑" w:cs="微软雅黑"/>
        </w:rPr>
        <w:t>[7] 国家管网集团｜</w:t>
      </w:r>
      <w:hyperlink r:id="rId17">
        <w:r>
          <w:rPr>
            <w:rFonts w:ascii="微软雅黑" w:hAnsi="微软雅黑" w:eastAsia="微软雅黑" w:cs="微软雅黑"/>
            <w:color w:val="087E89"/>
          </w:rPr>
          <w:t>油气勘探开发迎来政策叠加利好期</w:t>
        </w:r>
      </w:hyperlink>
      <w:r>
        <w:rPr>
          <w:rFonts w:ascii="微软雅黑" w:hAnsi="微软雅黑" w:eastAsia="微软雅黑" w:cs="微软雅黑"/>
        </w:rPr>
      </w:r>
    </w:p>
    <w:p>
      <w:pPr>
        <w:spacing w:after="0" w:line="20" w:lineRule="exact"/>
      </w:pPr>
      <w:bookmarkStart w:id="8" w:name="source-28139"/>
      <w:bookmarkEnd w:id="8" w:name="source-28139"/>
    </w:p>
    <w:p>
      <w:pPr>
        <w:pStyle w:val="ListBullet"/>
      </w:pPr>
      <w:r>
        <w:rPr>
          <w:rFonts w:ascii="微软雅黑" w:hAnsi="微软雅黑" w:eastAsia="微软雅黑" w:cs="微软雅黑"/>
        </w:rPr>
        <w:t>[8] World Oil｜</w:t>
      </w:r>
      <w:hyperlink r:id="rId18">
        <w:r>
          <w:rPr>
            <w:rFonts w:ascii="微软雅黑" w:hAnsi="微软雅黑" w:eastAsia="微软雅黑" w:cs="微软雅黑"/>
            <w:color w:val="087E89"/>
          </w:rPr>
          <w:t>EQT与Range合并，打造美国最大天然气生产商</w:t>
        </w:r>
      </w:hyperlink>
      <w:r>
        <w:rPr>
          <w:rFonts w:ascii="微软雅黑" w:hAnsi="微软雅黑" w:eastAsia="微软雅黑" w:cs="微软雅黑"/>
        </w:rPr>
      </w:r>
    </w:p>
    <w:p>
      <w:pPr>
        <w:spacing w:after="0" w:line="20" w:lineRule="exact"/>
      </w:pPr>
      <w:bookmarkStart w:id="9" w:name="source-28079"/>
      <w:bookmarkEnd w:id="9" w:name="source-28079"/>
    </w:p>
    <w:p>
      <w:pPr>
        <w:pStyle w:val="ListBullet"/>
      </w:pPr>
      <w:r>
        <w:rPr>
          <w:rFonts w:ascii="微软雅黑" w:hAnsi="微软雅黑" w:eastAsia="微软雅黑" w:cs="微软雅黑"/>
        </w:rPr>
        <w:t>[9] 智通财经｜</w:t>
      </w:r>
      <w:hyperlink r:id="rId19">
        <w:r>
          <w:rPr>
            <w:rFonts w:ascii="微软雅黑" w:hAnsi="微软雅黑" w:eastAsia="微软雅黑" w:cs="微软雅黑"/>
            <w:color w:val="087E89"/>
          </w:rPr>
          <w:t>大摩上调美国AI电力缺口：点名“缩短通电周期”电厂标的，英伟达(NVDA.US)成“缺电瓶颈”下半导体首选</w:t>
        </w:r>
      </w:hyperlink>
      <w:r>
        <w:rPr>
          <w:rFonts w:ascii="微软雅黑" w:hAnsi="微软雅黑" w:eastAsia="微软雅黑" w:cs="微软雅黑"/>
        </w:rPr>
      </w:r>
    </w:p>
    <w:p>
      <w:pPr>
        <w:spacing w:after="0" w:line="20" w:lineRule="exact"/>
      </w:pPr>
      <w:bookmarkStart w:id="10" w:name="source-27953"/>
      <w:bookmarkEnd w:id="10" w:name="source-27953"/>
    </w:p>
    <w:p>
      <w:pPr>
        <w:pStyle w:val="ListBullet"/>
      </w:pPr>
      <w:r>
        <w:rPr>
          <w:rFonts w:ascii="微软雅黑" w:hAnsi="微软雅黑" w:eastAsia="微软雅黑" w:cs="微软雅黑"/>
        </w:rPr>
        <w:t>[10] 牛津能源研究所｜</w:t>
      </w:r>
      <w:hyperlink r:id="rId20">
        <w:r>
          <w:rPr>
            <w:rFonts w:ascii="微软雅黑" w:hAnsi="微软雅黑" w:eastAsia="微软雅黑" w:cs="微软雅黑"/>
            <w:color w:val="087E89"/>
          </w:rPr>
          <w:t>重新审视德国氢能雄心：进展迟缓与新动能之间</w:t>
        </w:r>
      </w:hyperlink>
      <w:r>
        <w:rPr>
          <w:rFonts w:ascii="微软雅黑" w:hAnsi="微软雅黑" w:eastAsia="微软雅黑" w:cs="微软雅黑"/>
        </w:rPr>
      </w:r>
    </w:p>
    <w:p>
      <w:pPr>
        <w:spacing w:after="0" w:line="20" w:lineRule="exact"/>
      </w:pPr>
      <w:bookmarkStart w:id="11" w:name="source-27661"/>
      <w:bookmarkEnd w:id="11" w:name="source-27661"/>
    </w:p>
    <w:p>
      <w:pPr>
        <w:pStyle w:val="ListBullet"/>
      </w:pPr>
      <w:r>
        <w:rPr>
          <w:rFonts w:ascii="微软雅黑" w:hAnsi="微软雅黑" w:eastAsia="微软雅黑" w:cs="微软雅黑"/>
        </w:rPr>
        <w:t>[11] 国家能源局｜</w:t>
      </w:r>
      <w:hyperlink r:id="rId21">
        <w:r>
          <w:rPr>
            <w:rFonts w:ascii="微软雅黑" w:hAnsi="微软雅黑" w:eastAsia="微软雅黑" w:cs="微软雅黑"/>
            <w:color w:val="087E89"/>
          </w:rPr>
          <w:t>国家能源局召开新一轮核电行业安全质量提升行动动员启动会议</w:t>
        </w:r>
      </w:hyperlink>
      <w:r>
        <w:rPr>
          <w:rFonts w:ascii="微软雅黑" w:hAnsi="微软雅黑" w:eastAsia="微软雅黑" w:cs="微软雅黑"/>
        </w:rPr>
      </w:r>
    </w:p>
    <w:p>
      <w:pPr>
        <w:spacing w:after="0" w:line="20" w:lineRule="exact"/>
      </w:pPr>
      <w:bookmarkStart w:id="12" w:name="source-28180"/>
      <w:bookmarkEnd w:id="12" w:name="source-28180"/>
    </w:p>
    <w:p>
      <w:pPr>
        <w:pStyle w:val="ListBullet"/>
      </w:pPr>
      <w:r>
        <w:rPr>
          <w:rFonts w:ascii="微软雅黑" w:hAnsi="微软雅黑" w:eastAsia="微软雅黑" w:cs="微软雅黑"/>
        </w:rPr>
        <w:t>[12] Solarbe(光伏网)｜</w:t>
      </w:r>
      <w:hyperlink r:id="rId22">
        <w:r>
          <w:rPr>
            <w:rFonts w:ascii="微软雅黑" w:hAnsi="微软雅黑" w:eastAsia="微软雅黑" w:cs="微软雅黑"/>
            <w:color w:val="087E89"/>
          </w:rPr>
          <w:t>天津：“十五五”新增用电全部通过本地绿电和外受电解决</w:t>
        </w:r>
      </w:hyperlink>
      <w:r>
        <w:rPr>
          <w:rFonts w:ascii="微软雅黑" w:hAnsi="微软雅黑" w:eastAsia="微软雅黑" w:cs="微软雅黑"/>
        </w:rPr>
      </w:r>
    </w:p>
    <w:p>
      <w:pPr>
        <w:spacing w:after="0" w:line="20" w:lineRule="exact"/>
      </w:pPr>
      <w:bookmarkStart w:id="13" w:name="source-28144"/>
      <w:bookmarkEnd w:id="13" w:name="source-28144"/>
    </w:p>
    <w:p>
      <w:pPr>
        <w:pStyle w:val="ListBullet"/>
      </w:pPr>
      <w:r>
        <w:rPr>
          <w:rFonts w:ascii="微软雅黑" w:hAnsi="微软雅黑" w:eastAsia="微软雅黑" w:cs="微软雅黑"/>
        </w:rPr>
        <w:t>[13] 中国能源新闻网｜</w:t>
      </w:r>
      <w:hyperlink r:id="rId23">
        <w:r>
          <w:rPr>
            <w:rFonts w:ascii="微软雅黑" w:hAnsi="微软雅黑" w:eastAsia="微软雅黑" w:cs="微软雅黑"/>
            <w:color w:val="087E89"/>
          </w:rPr>
          <w:t>一块光伏板、一台风机，如何写下“中国答案”</w:t>
        </w:r>
      </w:hyperlink>
      <w:r>
        <w:rPr>
          <w:rFonts w:ascii="微软雅黑" w:hAnsi="微软雅黑" w:eastAsia="微软雅黑" w:cs="微软雅黑"/>
        </w:rPr>
      </w:r>
    </w:p>
    <w:p>
      <w:pPr>
        <w:spacing w:after="0" w:line="20" w:lineRule="exact"/>
      </w:pPr>
      <w:bookmarkStart w:id="14" w:name="source-28005"/>
      <w:bookmarkEnd w:id="14" w:name="source-28005"/>
    </w:p>
    <w:p>
      <w:pPr>
        <w:pStyle w:val="ListBullet"/>
      </w:pPr>
      <w:r>
        <w:rPr>
          <w:rFonts w:ascii="微软雅黑" w:hAnsi="微软雅黑" w:eastAsia="微软雅黑" w:cs="微软雅黑"/>
        </w:rPr>
        <w:t>[14] 中国能源网｜</w:t>
      </w:r>
      <w:hyperlink r:id="rId24">
        <w:r>
          <w:rPr>
            <w:rFonts w:ascii="微软雅黑" w:hAnsi="微软雅黑" w:eastAsia="微软雅黑" w:cs="微软雅黑"/>
            <w:color w:val="087E89"/>
          </w:rPr>
          <w:t>居民用电量10年来首次负增长，怎么看</w:t>
        </w:r>
      </w:hyperlink>
      <w:r>
        <w:rPr>
          <w:rFonts w:ascii="微软雅黑" w:hAnsi="微软雅黑" w:eastAsia="微软雅黑" w:cs="微软雅黑"/>
        </w:rPr>
      </w:r>
    </w:p>
    <w:p>
      <w:pPr>
        <w:spacing w:after="0" w:line="20" w:lineRule="exact"/>
      </w:pPr>
      <w:bookmarkStart w:id="15" w:name="source-27771"/>
      <w:bookmarkEnd w:id="15" w:name="source-27771"/>
    </w:p>
    <w:p>
      <w:pPr>
        <w:pStyle w:val="ListBullet"/>
      </w:pPr>
      <w:r>
        <w:rPr>
          <w:rFonts w:ascii="微软雅黑" w:hAnsi="微软雅黑" w:eastAsia="微软雅黑" w:cs="微软雅黑"/>
        </w:rPr>
        <w:t>[15] 中国能源新闻网｜</w:t>
      </w:r>
      <w:hyperlink r:id="rId25">
        <w:r>
          <w:rPr>
            <w:rFonts w:ascii="微软雅黑" w:hAnsi="微软雅黑" w:eastAsia="微软雅黑" w:cs="微软雅黑"/>
            <w:color w:val="087E89"/>
          </w:rPr>
          <w:t>居民用电量10年来首次负增长，怎么看</w:t>
        </w:r>
      </w:hyperlink>
      <w:r>
        <w:rPr>
          <w:rFonts w:ascii="微软雅黑" w:hAnsi="微软雅黑" w:eastAsia="微软雅黑" w:cs="微软雅黑"/>
        </w:rPr>
      </w:r>
    </w:p>
    <w:p>
      <w:pPr>
        <w:spacing w:after="0" w:line="20" w:lineRule="exact"/>
      </w:pPr>
      <w:bookmarkStart w:id="16" w:name="source-27754"/>
      <w:bookmarkEnd w:id="16" w:name="source-27754"/>
    </w:p>
    <w:p>
      <w:pPr>
        <w:pStyle w:val="ListBullet"/>
      </w:pPr>
      <w:r>
        <w:rPr>
          <w:rFonts w:ascii="微软雅黑" w:hAnsi="微软雅黑" w:eastAsia="微软雅黑" w:cs="微软雅黑"/>
        </w:rPr>
        <w:t>[16] 中国能源网｜</w:t>
      </w:r>
      <w:hyperlink r:id="rId26">
        <w:r>
          <w:rPr>
            <w:rFonts w:ascii="微软雅黑" w:hAnsi="微软雅黑" w:eastAsia="微软雅黑" w:cs="微软雅黑"/>
            <w:color w:val="087E89"/>
          </w:rPr>
          <w:t>国家发展改革委印发《能源保供中长期合同管理办法(试行)》</w:t>
        </w:r>
      </w:hyperlink>
      <w:r>
        <w:rPr>
          <w:rFonts w:ascii="微软雅黑" w:hAnsi="微软雅黑" w:eastAsia="微软雅黑" w:cs="微软雅黑"/>
        </w:rPr>
      </w:r>
    </w:p>
    <w:p>
      <w:pPr>
        <w:spacing w:after="0" w:line="20" w:lineRule="exact"/>
      </w:pPr>
      <w:bookmarkStart w:id="17" w:name="source-27721"/>
      <w:bookmarkEnd w:id="17" w:name="source-27721"/>
    </w:p>
    <w:p>
      <w:pPr>
        <w:pStyle w:val="ListBullet"/>
      </w:pPr>
      <w:r>
        <w:rPr>
          <w:rFonts w:ascii="微软雅黑" w:hAnsi="微软雅黑" w:eastAsia="微软雅黑" w:cs="微软雅黑"/>
        </w:rPr>
        <w:t>[17] Mysteel｜</w:t>
      </w:r>
      <w:hyperlink r:id="rId27">
        <w:r>
          <w:rPr>
            <w:rFonts w:ascii="微软雅黑" w:hAnsi="微软雅黑" w:eastAsia="微软雅黑" w:cs="微软雅黑"/>
            <w:color w:val="087E89"/>
          </w:rPr>
          <w:t>国家发展改革委印发《能源保供中长期合同管理办法（试行）》</w:t>
        </w:r>
      </w:hyperlink>
      <w:r>
        <w:rPr>
          <w:rFonts w:ascii="微软雅黑" w:hAnsi="微软雅黑" w:eastAsia="微软雅黑" w:cs="微软雅黑"/>
        </w:rPr>
      </w:r>
    </w:p>
    <w:p>
      <w:pPr>
        <w:spacing w:after="0" w:line="20" w:lineRule="exact"/>
      </w:pPr>
      <w:bookmarkStart w:id="18" w:name="source-28241"/>
      <w:bookmarkEnd w:id="18" w:name="source-28241"/>
    </w:p>
    <w:p>
      <w:pPr>
        <w:pStyle w:val="ListBullet"/>
      </w:pPr>
      <w:r>
        <w:rPr>
          <w:rFonts w:ascii="微软雅黑" w:hAnsi="微软雅黑" w:eastAsia="微软雅黑" w:cs="微软雅黑"/>
        </w:rPr>
        <w:t>[18] 中国能源网｜</w:t>
      </w:r>
      <w:hyperlink r:id="rId28">
        <w:r>
          <w:rPr>
            <w:rFonts w:ascii="微软雅黑" w:hAnsi="微软雅黑" w:eastAsia="微软雅黑" w:cs="微软雅黑"/>
            <w:color w:val="087E89"/>
          </w:rPr>
          <w:t>坑口煤炭“狂降潮”扩散，港口彻底熄火后还能撑多久?</w:t>
        </w:r>
      </w:hyperlink>
      <w:r>
        <w:rPr>
          <w:rFonts w:ascii="微软雅黑" w:hAnsi="微软雅黑" w:eastAsia="微软雅黑" w:cs="微软雅黑"/>
        </w:rPr>
      </w:r>
    </w:p>
    <w:p>
      <w:pPr>
        <w:spacing w:after="0" w:line="20" w:lineRule="exact"/>
      </w:pPr>
      <w:bookmarkStart w:id="19" w:name="source-28239"/>
      <w:bookmarkEnd w:id="19" w:name="source-28239"/>
    </w:p>
    <w:p>
      <w:pPr>
        <w:pStyle w:val="ListBullet"/>
      </w:pPr>
      <w:r>
        <w:rPr>
          <w:rFonts w:ascii="微软雅黑" w:hAnsi="微软雅黑" w:eastAsia="微软雅黑" w:cs="微软雅黑"/>
        </w:rPr>
        <w:t>[19] 中国能源网｜</w:t>
      </w:r>
      <w:hyperlink r:id="rId29">
        <w:r>
          <w:rPr>
            <w:rFonts w:ascii="微软雅黑" w:hAnsi="微软雅黑" w:eastAsia="微软雅黑" w:cs="微软雅黑"/>
            <w:color w:val="087E89"/>
          </w:rPr>
          <w:t>2026年全球煤炭退出清单(GCEL 2026)：计划新建煤炭项目三倍于取消的数量</w:t>
        </w:r>
      </w:hyperlink>
      <w:r>
        <w:rPr>
          <w:rFonts w:ascii="微软雅黑" w:hAnsi="微软雅黑" w:eastAsia="微软雅黑" w:cs="微软雅黑"/>
        </w:rPr>
      </w:r>
    </w:p>
    <w:p>
      <w:pPr>
        <w:spacing w:after="0" w:line="20" w:lineRule="exact"/>
      </w:pPr>
      <w:bookmarkStart w:id="20" w:name="source-28092"/>
      <w:bookmarkEnd w:id="20" w:name="source-28092"/>
    </w:p>
    <w:p>
      <w:pPr>
        <w:pStyle w:val="ListBullet"/>
      </w:pPr>
      <w:r>
        <w:rPr>
          <w:rFonts w:ascii="微软雅黑" w:hAnsi="微软雅黑" w:eastAsia="微软雅黑" w:cs="微软雅黑"/>
        </w:rPr>
        <w:t>[20] 印度尼西亚能源与矿产资源部官网｜</w:t>
      </w:r>
      <w:hyperlink r:id="rId30">
        <w:r>
          <w:rPr>
            <w:rFonts w:ascii="微软雅黑" w:hAnsi="微软雅黑" w:eastAsia="微软雅黑" w:cs="微软雅黑"/>
            <w:color w:val="087E89"/>
          </w:rPr>
          <w:t>据称涉及外国公司，印尼能源与矿产资源部深入调查经营采矿业务的油棕种植园</w:t>
        </w:r>
      </w:hyperlink>
      <w:r>
        <w:rPr>
          <w:rFonts w:ascii="微软雅黑" w:hAnsi="微软雅黑" w:eastAsia="微软雅黑" w:cs="微软雅黑"/>
        </w:rPr>
      </w:r>
    </w:p>
    <w:p>
      <w:pPr>
        <w:spacing w:after="0" w:line="20" w:lineRule="exact"/>
      </w:pPr>
      <w:bookmarkStart w:id="21" w:name="source-28098"/>
      <w:bookmarkEnd w:id="21" w:name="source-28098"/>
    </w:p>
    <w:p>
      <w:pPr>
        <w:pStyle w:val="ListBullet"/>
      </w:pPr>
      <w:r>
        <w:rPr>
          <w:rFonts w:ascii="微软雅黑" w:hAnsi="微软雅黑" w:eastAsia="微软雅黑" w:cs="微软雅黑"/>
        </w:rPr>
        <w:t>[21] Nuclear Engineering International｜</w:t>
      </w:r>
      <w:hyperlink r:id="rId31">
        <w:r>
          <w:rPr>
            <w:rFonts w:ascii="微软雅黑" w:hAnsi="微软雅黑" w:eastAsia="微软雅黑" w:cs="微软雅黑"/>
            <w:color w:val="087E89"/>
          </w:rPr>
          <w:t>Posiva处置库运营许可证获批</w:t>
        </w:r>
      </w:hyperlink>
      <w:r>
        <w:rPr>
          <w:rFonts w:ascii="微软雅黑" w:hAnsi="微软雅黑" w:eastAsia="微软雅黑" w:cs="微软雅黑"/>
        </w:rPr>
      </w:r>
    </w:p>
    <w:p>
      <w:pPr>
        <w:spacing w:after="0" w:line="20" w:lineRule="exact"/>
      </w:pPr>
      <w:bookmarkStart w:id="22" w:name="source-28020"/>
      <w:bookmarkEnd w:id="22" w:name="source-28020"/>
    </w:p>
    <w:p>
      <w:pPr>
        <w:pStyle w:val="ListBullet"/>
      </w:pPr>
      <w:r>
        <w:rPr>
          <w:rFonts w:ascii="微软雅黑" w:hAnsi="微软雅黑" w:eastAsia="微软雅黑" w:cs="微软雅黑"/>
        </w:rPr>
        <w:t>[22] 中国能源新闻网｜</w:t>
      </w:r>
      <w:hyperlink r:id="rId32">
        <w:r>
          <w:rPr>
            <w:rFonts w:ascii="微软雅黑" w:hAnsi="微软雅黑" w:eastAsia="微软雅黑" w:cs="微软雅黑"/>
            <w:color w:val="087E89"/>
          </w:rPr>
          <w:t>南方区域电力市场转正：十年探路，走通一条新路</w:t>
        </w:r>
      </w:hyperlink>
      <w:r>
        <w:rPr>
          <w:rFonts w:ascii="微软雅黑" w:hAnsi="微软雅黑" w:eastAsia="微软雅黑" w:cs="微软雅黑"/>
        </w:rPr>
      </w:r>
    </w:p>
    <w:p>
      <w:pPr>
        <w:spacing w:after="0" w:line="20" w:lineRule="exact"/>
      </w:pPr>
      <w:bookmarkStart w:id="23" w:name="source-28015"/>
      <w:bookmarkEnd w:id="23" w:name="source-28015"/>
    </w:p>
    <w:p>
      <w:pPr>
        <w:pStyle w:val="ListBullet"/>
      </w:pPr>
      <w:r>
        <w:rPr>
          <w:rFonts w:ascii="微软雅黑" w:hAnsi="微软雅黑" w:eastAsia="微软雅黑" w:cs="微软雅黑"/>
        </w:rPr>
        <w:t>[23] Eni官网｜</w:t>
      </w:r>
      <w:hyperlink r:id="rId33">
        <w:r>
          <w:rPr>
            <w:rFonts w:ascii="微软雅黑" w:hAnsi="微软雅黑" w:eastAsia="微软雅黑" w:cs="微软雅黑"/>
            <w:color w:val="087E89"/>
          </w:rPr>
          <w:t>Eni启动Cronos项目执行阶段</w:t>
        </w:r>
      </w:hyperlink>
      <w:r>
        <w:rPr>
          <w:rFonts w:ascii="微软雅黑" w:hAnsi="微软雅黑" w:eastAsia="微软雅黑" w:cs="微软雅黑"/>
        </w:rPr>
      </w:r>
    </w:p>
    <w:p>
      <w:pPr>
        <w:spacing w:after="0" w:line="20" w:lineRule="exact"/>
      </w:pPr>
      <w:bookmarkStart w:id="24" w:name="source-28140"/>
      <w:bookmarkEnd w:id="24" w:name="source-28140"/>
    </w:p>
    <w:p>
      <w:pPr>
        <w:pStyle w:val="ListBullet"/>
      </w:pPr>
      <w:r>
        <w:rPr>
          <w:rFonts w:ascii="微软雅黑" w:hAnsi="微软雅黑" w:eastAsia="微软雅黑" w:cs="微软雅黑"/>
        </w:rPr>
        <w:t>[24] World Oil｜</w:t>
      </w:r>
      <w:hyperlink r:id="rId34">
        <w:r>
          <w:rPr>
            <w:rFonts w:ascii="微软雅黑" w:hAnsi="微软雅黑" w:eastAsia="微软雅黑" w:cs="微软雅黑"/>
            <w:color w:val="087E89"/>
          </w:rPr>
          <w:t>埃尼推动Cronos项目进入执行阶段，目标2028年产出塞浦路斯首批天然气</w:t>
        </w:r>
      </w:hyperlink>
      <w:r>
        <w:rPr>
          <w:rFonts w:ascii="微软雅黑" w:hAnsi="微软雅黑" w:eastAsia="微软雅黑" w:cs="微软雅黑"/>
        </w:rPr>
      </w:r>
    </w:p>
    <w:p>
      <w:pPr>
        <w:spacing w:after="0" w:line="20" w:lineRule="exact"/>
      </w:pPr>
      <w:bookmarkStart w:id="25" w:name="source-27886"/>
      <w:bookmarkEnd w:id="25" w:name="source-27886"/>
    </w:p>
    <w:p>
      <w:pPr>
        <w:pStyle w:val="ListBullet"/>
      </w:pPr>
      <w:r>
        <w:rPr>
          <w:rFonts w:ascii="微软雅黑" w:hAnsi="微软雅黑" w:eastAsia="微软雅黑" w:cs="微软雅黑"/>
        </w:rPr>
        <w:t>[25] 中国中煤能源集团｜</w:t>
      </w:r>
      <w:hyperlink r:id="rId35">
        <w:r>
          <w:rPr>
            <w:rFonts w:ascii="微软雅黑" w:hAnsi="微软雅黑" w:eastAsia="微软雅黑" w:cs="微软雅黑"/>
            <w:color w:val="087E89"/>
          </w:rPr>
          <w:t>国家能源局印发《关于推动煤电与新能源融合发展的实施意见》</w:t>
        </w:r>
      </w:hyperlink>
      <w:r>
        <w:rPr>
          <w:rFonts w:ascii="微软雅黑" w:hAnsi="微软雅黑" w:eastAsia="微软雅黑" w:cs="微软雅黑"/>
        </w:rPr>
      </w:r>
    </w:p>
    <w:p>
      <w:pPr>
        <w:spacing w:after="0" w:line="20" w:lineRule="exact"/>
      </w:pPr>
      <w:bookmarkStart w:id="26" w:name="source-28002"/>
      <w:bookmarkEnd w:id="26" w:name="source-28002"/>
    </w:p>
    <w:p>
      <w:pPr>
        <w:pStyle w:val="ListBullet"/>
      </w:pPr>
      <w:r>
        <w:rPr>
          <w:rFonts w:ascii="微软雅黑" w:hAnsi="微软雅黑" w:eastAsia="微软雅黑" w:cs="微软雅黑"/>
        </w:rPr>
        <w:t>[26] Anadolu Agency｜</w:t>
      </w:r>
      <w:hyperlink r:id="rId36">
        <w:r>
          <w:rPr>
            <w:rFonts w:ascii="微软雅黑" w:hAnsi="微软雅黑" w:eastAsia="微软雅黑" w:cs="微软雅黑"/>
            <w:color w:val="087E89"/>
          </w:rPr>
          <w:t>新加坡与沙特阿美达成协议，将原油储存于岩洞中</w:t>
        </w:r>
      </w:hyperlink>
      <w:r>
        <w:rPr>
          <w:rFonts w:ascii="微软雅黑" w:hAnsi="微软雅黑" w:eastAsia="微软雅黑" w:cs="微软雅黑"/>
        </w:rPr>
      </w:r>
    </w:p>
    <w:p>
      <w:pPr>
        <w:spacing w:after="0" w:line="20" w:lineRule="exact"/>
      </w:pPr>
      <w:bookmarkStart w:id="27" w:name="source-27825"/>
      <w:bookmarkEnd w:id="27" w:name="source-27825"/>
    </w:p>
    <w:p>
      <w:pPr>
        <w:pStyle w:val="ListBullet"/>
      </w:pPr>
      <w:r>
        <w:rPr>
          <w:rFonts w:ascii="微软雅黑" w:hAnsi="微软雅黑" w:eastAsia="微软雅黑" w:cs="微软雅黑"/>
        </w:rPr>
        <w:t>[27] Interfax｜</w:t>
      </w:r>
      <w:hyperlink r:id="rId37">
        <w:r>
          <w:rPr>
            <w:rFonts w:ascii="微软雅黑" w:hAnsi="微软雅黑" w:eastAsia="微软雅黑" w:cs="微软雅黑"/>
            <w:color w:val="087E89"/>
          </w:rPr>
          <w:t>油价走低，布伦特原油在每桶114.5美元附近交易</w:t>
        </w:r>
      </w:hyperlink>
      <w:r>
        <w:rPr>
          <w:rFonts w:ascii="微软雅黑" w:hAnsi="微软雅黑" w:eastAsia="微软雅黑" w:cs="微软雅黑"/>
        </w:rPr>
      </w:r>
    </w:p>
    <w:sectPr w:rsidR="00FC693F" w:rsidRPr="0006063C" w:rsidSect="00034616">
      <w:footerReference w:type="default" r:id="rId10"/>
      <w:pgSz w:w="11906" w:h="16838"/>
      <w:pgMar w:top="1361" w:right="1417" w:bottom="1247" w:left="141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微软雅黑" w:hAnsi="微软雅黑" w:eastAsia="微软雅黑" w:cs="微软雅黑"/>
      </w:rPr>
      <w:t xml:space="preserve">ENYINFO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微软雅黑" w:hAnsi="微软雅黑" w:hint="default" w:eastAsia="微软雅黑" w:cs="微软雅黑"/>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微软雅黑" w:hAnsi="微软雅黑" w:hint="default" w:eastAsia="微软雅黑" w:cs="微软雅黑"/>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微软雅黑" w:hAnsi="微软雅黑" w:hint="default" w:eastAsia="微软雅黑" w:cs="微软雅黑"/>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微软雅黑" w:hAnsi="微软雅黑" w:hint="default" w:eastAsia="微软雅黑" w:cs="微软雅黑"/>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80"/>
    </w:pPr>
    <w:rPr>
      <w:rFonts w:ascii="微软雅黑" w:hAnsi="微软雅黑" w:eastAsia="微软雅黑" w:cs="微软雅黑"/>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HeaderChar">
    <w:name w:val="Header Char"/>
    <w:basedOn w:val="DefaultParagraphFont"/>
    <w:link w:val="Header"/>
    <w:uiPriority w:val="99"/>
    <w:rsid w:val="00E618BF"/>
    <w:rPr>
      <w:rFonts w:ascii="微软雅黑" w:hAnsi="微软雅黑" w:eastAsia="微软雅黑" w:cs="微软雅黑"/>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微软雅黑" w:hAnsi="微软雅黑" w:eastAsia="微软雅黑" w:cs="微软雅黑"/>
    </w:rPr>
  </w:style>
  <w:style w:type="character" w:customStyle="1" w:styleId="FooterChar">
    <w:name w:val="Footer Char"/>
    <w:basedOn w:val="DefaultParagraphFont"/>
    <w:link w:val="Footer"/>
    <w:uiPriority w:val="99"/>
    <w:rsid w:val="00E618B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154957"/>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15495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154957"/>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154957"/>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154957"/>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微软雅黑" w:hAnsi="微软雅黑" w:eastAsia="微软雅黑" w:cs="微软雅黑"/>
      <w:color w:val="000000"/>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val="0"/>
      <w:iCs/>
      <w:color w:val="536976"/>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微软雅黑" w:hAnsi="微软雅黑" w:eastAsia="微软雅黑" w:cs="微软雅黑"/>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微软雅黑" w:hAnsi="微软雅黑" w:eastAsia="微软雅黑" w:cs="微软雅黑"/>
    </w:rPr>
  </w:style>
  <w:style w:type="paragraph" w:styleId="Heading1">
    <w:name w:val="heading 1"/>
    <w:basedOn w:val="Normal"/>
    <w:next w:val="Normal"/>
    <w:link w:val="Heading1Char"/>
    <w:uiPriority w:val="9"/>
    <w:qFormat/>
    <w:rsid w:val="00FC693F"/>
    <w:pPr>
      <w:keepNext/>
      <w:keepLines/>
      <w:spacing w:before="480" w:after="0"/>
      <w:outlineLvl w:val="0"/>
    </w:pPr>
    <w:rPr>
      <w:rFonts w:ascii="微软雅黑" w:hAnsi="微软雅黑" w:eastAsia="微软雅黑" w:cs="微软雅黑"/>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微软雅黑" w:hAnsi="微软雅黑" w:eastAsia="微软雅黑" w:cs="微软雅黑"/>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微软雅黑" w:hAnsi="微软雅黑" w:eastAsia="微软雅黑" w:cs="微软雅黑"/>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微软雅黑" w:hAnsi="微软雅黑" w:eastAsia="微软雅黑" w:cs="微软雅黑"/>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微软雅黑" w:hAnsi="微软雅黑" w:eastAsia="微软雅黑" w:cs="微软雅黑"/>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微软雅黑" w:hAnsi="微软雅黑" w:eastAsia="微软雅黑" w:cs="微软雅黑"/>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微软雅黑" w:hAnsi="微软雅黑" w:eastAsia="微软雅黑" w:cs="微软雅黑"/>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微软雅黑" w:hAnsi="微软雅黑" w:eastAsia="微软雅黑" w:cs="微软雅黑"/>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微软雅黑" w:hAnsi="微软雅黑" w:eastAsia="微软雅黑" w:cs="微软雅黑"/>
      <w:i/>
      <w:iCs/>
      <w:color w:val="404040" w:themeColor="text1" w:themeTint="BF"/>
      <w:sz w:val="20"/>
      <w:szCs w:val="20"/>
    </w:rPr>
  </w:style>
  <w:style w:type="character" w:default="1" w:styleId="DefaultParagraphFont">
    <w:name w:val="Default Paragraph Font"/>
    <w:uiPriority w:val="1"/>
    <w:semiHidden/>
    <w:unhideWhenUsed/>
    <w:rPr>
      <w:rFonts w:ascii="微软雅黑" w:hAnsi="微软雅黑" w:eastAsia="微软雅黑" w:cs="微软雅黑"/>
    </w:rPr>
  </w:style>
  <w:style w:type="table" w:default="1" w:styleId="TableNormal">
    <w:name w:val="Normal Table"/>
    <w:uiPriority w:val="99"/>
    <w:semiHidden/>
    <w:unhideWhenUsed/>
    <w:rPr>
      <w:rFonts w:ascii="微软雅黑" w:hAnsi="微软雅黑" w:eastAsia="微软雅黑" w:cs="微软雅黑"/>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微软雅黑" w:hAnsi="微软雅黑" w:eastAsia="微软雅黑" w:cs="微软雅黑"/>
    </w:rPr>
  </w:style>
  <w:style w:type="paragraph" w:styleId="NoSpacing">
    <w:name w:val="No Spacing"/>
    <w:uiPriority w:val="1"/>
    <w:qFormat/>
    <w:rsid w:val="00FC693F"/>
    <w:pPr>
      <w:spacing w:after="0" w:line="240" w:lineRule="auto"/>
    </w:pPr>
    <w:rPr>
      <w:rFonts w:ascii="微软雅黑" w:hAnsi="微软雅黑" w:eastAsia="微软雅黑" w:cs="微软雅黑"/>
    </w:rPr>
  </w:style>
  <w:style w:type="character" w:customStyle="1" w:styleId="Heading1Char">
    <w:name w:val="Heading 1 Char"/>
    <w:basedOn w:val="DefaultParagraphFont"/>
    <w:link w:val="Heading1"/>
    <w:uiPriority w:val="9"/>
    <w:rsid w:val="00FC693F"/>
    <w:rPr>
      <w:rFonts w:ascii="微软雅黑" w:hAnsi="微软雅黑" w:eastAsia="微软雅黑" w:cs="微软雅黑"/>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微软雅黑" w:hAnsi="微软雅黑" w:eastAsia="微软雅黑" w:cs="微软雅黑"/>
      <w:b/>
      <w:bCs/>
      <w:color w:val="4F81BD" w:themeColor="accent1"/>
      <w:sz w:val="26"/>
      <w:szCs w:val="26"/>
    </w:rPr>
  </w:style>
  <w:style w:type="character" w:customStyle="1" w:styleId="Heading3Char">
    <w:name w:val="Heading 3 Char"/>
    <w:basedOn w:val="DefaultParagraphFont"/>
    <w:link w:val="Heading3"/>
    <w:uiPriority w:val="9"/>
    <w:rsid w:val="00FC693F"/>
    <w:rPr>
      <w:rFonts w:ascii="微软雅黑" w:hAnsi="微软雅黑" w:eastAsia="微软雅黑" w:cs="微软雅黑"/>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微软雅黑" w:hAnsi="微软雅黑" w:eastAsia="微软雅黑" w:cs="微软雅黑"/>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微软雅黑" w:hAnsi="微软雅黑" w:eastAsia="微软雅黑" w:cs="微软雅黑"/>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微软雅黑" w:hAnsi="微软雅黑" w:eastAsia="微软雅黑" w:cs="微软雅黑"/>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微软雅黑" w:hAnsi="微软雅黑" w:eastAsia="微软雅黑" w:cs="微软雅黑"/>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微软雅黑" w:hAnsi="微软雅黑" w:eastAsia="微软雅黑" w:cs="微软雅黑"/>
    </w:rPr>
  </w:style>
  <w:style w:type="paragraph" w:styleId="BodyText">
    <w:name w:val="Body Text"/>
    <w:basedOn w:val="Normal"/>
    <w:link w:val="BodyTextChar"/>
    <w:uiPriority w:val="99"/>
    <w:unhideWhenUsed/>
    <w:rsid w:val="00AA1D8D"/>
    <w:pPr>
      <w:spacing w:after="120"/>
    </w:pPr>
    <w:rPr>
      <w:rFonts w:ascii="微软雅黑" w:hAnsi="微软雅黑" w:eastAsia="微软雅黑" w:cs="微软雅黑"/>
    </w:rPr>
  </w:style>
  <w:style w:type="character" w:customStyle="1" w:styleId="BodyTextChar">
    <w:name w:val="Body Text Char"/>
    <w:basedOn w:val="DefaultParagraphFont"/>
    <w:link w:val="BodyText"/>
    <w:uiPriority w:val="99"/>
    <w:rsid w:val="00AA1D8D"/>
    <w:rPr>
      <w:rFonts w:ascii="微软雅黑" w:hAnsi="微软雅黑" w:eastAsia="微软雅黑" w:cs="微软雅黑"/>
    </w:rPr>
  </w:style>
  <w:style w:type="paragraph" w:styleId="BodyText2">
    <w:name w:val="Body Text 2"/>
    <w:basedOn w:val="Normal"/>
    <w:link w:val="BodyText2Char"/>
    <w:uiPriority w:val="99"/>
    <w:unhideWhenUsed/>
    <w:rsid w:val="00AA1D8D"/>
    <w:pPr>
      <w:spacing w:after="120" w:line="480" w:lineRule="auto"/>
    </w:pPr>
    <w:rPr>
      <w:rFonts w:ascii="微软雅黑" w:hAnsi="微软雅黑" w:eastAsia="微软雅黑" w:cs="微软雅黑"/>
    </w:rPr>
  </w:style>
  <w:style w:type="character" w:customStyle="1" w:styleId="BodyText2Char">
    <w:name w:val="Body Text 2 Char"/>
    <w:basedOn w:val="DefaultParagraphFont"/>
    <w:link w:val="BodyText2"/>
    <w:uiPriority w:val="99"/>
    <w:rsid w:val="00AA1D8D"/>
    <w:rPr>
      <w:rFonts w:ascii="微软雅黑" w:hAnsi="微软雅黑" w:eastAsia="微软雅黑" w:cs="微软雅黑"/>
    </w:rPr>
  </w:style>
  <w:style w:type="paragraph" w:styleId="BodyText3">
    <w:name w:val="Body Text 3"/>
    <w:basedOn w:val="Normal"/>
    <w:link w:val="BodyText3Char"/>
    <w:uiPriority w:val="99"/>
    <w:unhideWhenUsed/>
    <w:rsid w:val="00AA1D8D"/>
    <w:pPr>
      <w:spacing w:after="120"/>
    </w:pPr>
    <w:rPr>
      <w:rFonts w:ascii="微软雅黑" w:hAnsi="微软雅黑" w:eastAsia="微软雅黑" w:cs="微软雅黑"/>
      <w:sz w:val="16"/>
      <w:szCs w:val="16"/>
    </w:rPr>
  </w:style>
  <w:style w:type="character" w:customStyle="1" w:styleId="BodyText3Char">
    <w:name w:val="Body Text 3 Char"/>
    <w:basedOn w:val="DefaultParagraphFont"/>
    <w:link w:val="BodyText3"/>
    <w:uiPriority w:val="99"/>
    <w:rsid w:val="00AA1D8D"/>
    <w:rPr>
      <w:rFonts w:ascii="微软雅黑" w:hAnsi="微软雅黑" w:eastAsia="微软雅黑" w:cs="微软雅黑"/>
      <w:sz w:val="16"/>
      <w:szCs w:val="16"/>
    </w:rPr>
  </w:style>
  <w:style w:type="paragraph" w:styleId="List">
    <w:name w:val="List"/>
    <w:basedOn w:val="Normal"/>
    <w:uiPriority w:val="99"/>
    <w:unhideWhenUsed/>
    <w:rsid w:val="00AA1D8D"/>
    <w:pPr>
      <w:ind w:left="360" w:hanging="360"/>
      <w:contextualSpacing/>
    </w:pPr>
    <w:rPr>
      <w:rFonts w:ascii="微软雅黑" w:hAnsi="微软雅黑" w:eastAsia="微软雅黑" w:cs="微软雅黑"/>
    </w:rPr>
  </w:style>
  <w:style w:type="paragraph" w:styleId="List2">
    <w:name w:val="List 2"/>
    <w:basedOn w:val="Normal"/>
    <w:uiPriority w:val="99"/>
    <w:unhideWhenUsed/>
    <w:rsid w:val="00326F90"/>
    <w:pPr>
      <w:ind w:left="720" w:hanging="360"/>
      <w:contextualSpacing/>
    </w:pPr>
    <w:rPr>
      <w:rFonts w:ascii="微软雅黑" w:hAnsi="微软雅黑" w:eastAsia="微软雅黑" w:cs="微软雅黑"/>
    </w:rPr>
  </w:style>
  <w:style w:type="paragraph" w:styleId="List3">
    <w:name w:val="List 3"/>
    <w:basedOn w:val="Normal"/>
    <w:uiPriority w:val="99"/>
    <w:unhideWhenUsed/>
    <w:rsid w:val="00326F90"/>
    <w:pPr>
      <w:ind w:left="1080" w:hanging="360"/>
      <w:contextualSpacing/>
    </w:pPr>
    <w:rPr>
      <w:rFonts w:ascii="微软雅黑" w:hAnsi="微软雅黑" w:eastAsia="微软雅黑" w:cs="微软雅黑"/>
    </w:rPr>
  </w:style>
  <w:style w:type="paragraph" w:styleId="ListBullet">
    <w:name w:val="List Bullet"/>
    <w:basedOn w:val="Normal"/>
    <w:uiPriority w:val="99"/>
    <w:unhideWhenUsed/>
    <w:rsid w:val="00326F90"/>
    <w:pPr>
      <w:numPr>
        <w:numId w:val="1"/>
      </w:numPr>
      <w:contextualSpacing/>
    </w:pPr>
    <w:rPr>
      <w:rFonts w:ascii="微软雅黑" w:hAnsi="微软雅黑" w:eastAsia="微软雅黑" w:cs="微软雅黑"/>
    </w:rPr>
  </w:style>
  <w:style w:type="paragraph" w:styleId="ListBullet2">
    <w:name w:val="List Bullet 2"/>
    <w:basedOn w:val="Normal"/>
    <w:uiPriority w:val="99"/>
    <w:unhideWhenUsed/>
    <w:rsid w:val="00326F90"/>
    <w:pPr>
      <w:numPr>
        <w:numId w:val="2"/>
      </w:numPr>
      <w:contextualSpacing/>
    </w:pPr>
    <w:rPr>
      <w:rFonts w:ascii="微软雅黑" w:hAnsi="微软雅黑" w:eastAsia="微软雅黑" w:cs="微软雅黑"/>
    </w:rPr>
  </w:style>
  <w:style w:type="paragraph" w:styleId="ListBullet3">
    <w:name w:val="List Bullet 3"/>
    <w:basedOn w:val="Normal"/>
    <w:uiPriority w:val="99"/>
    <w:unhideWhenUsed/>
    <w:rsid w:val="00326F90"/>
    <w:pPr>
      <w:numPr>
        <w:numId w:val="3"/>
      </w:numPr>
      <w:contextualSpacing/>
    </w:pPr>
    <w:rPr>
      <w:rFonts w:ascii="微软雅黑" w:hAnsi="微软雅黑" w:eastAsia="微软雅黑" w:cs="微软雅黑"/>
    </w:rPr>
  </w:style>
  <w:style w:type="paragraph" w:styleId="ListNumber">
    <w:name w:val="List Number"/>
    <w:basedOn w:val="Normal"/>
    <w:uiPriority w:val="99"/>
    <w:unhideWhenUsed/>
    <w:rsid w:val="00326F90"/>
    <w:pPr>
      <w:numPr>
        <w:numId w:val="5"/>
      </w:numPr>
      <w:contextualSpacing/>
    </w:pPr>
    <w:rPr>
      <w:rFonts w:ascii="微软雅黑" w:hAnsi="微软雅黑" w:eastAsia="微软雅黑" w:cs="微软雅黑"/>
    </w:rPr>
  </w:style>
  <w:style w:type="paragraph" w:styleId="ListNumber2">
    <w:name w:val="List Number 2"/>
    <w:basedOn w:val="Normal"/>
    <w:uiPriority w:val="99"/>
    <w:unhideWhenUsed/>
    <w:rsid w:val="0029639D"/>
    <w:pPr>
      <w:numPr>
        <w:numId w:val="6"/>
      </w:numPr>
      <w:contextualSpacing/>
    </w:pPr>
    <w:rPr>
      <w:rFonts w:ascii="微软雅黑" w:hAnsi="微软雅黑" w:eastAsia="微软雅黑" w:cs="微软雅黑"/>
    </w:rPr>
  </w:style>
  <w:style w:type="paragraph" w:styleId="ListNumber3">
    <w:name w:val="List Number 3"/>
    <w:basedOn w:val="Normal"/>
    <w:uiPriority w:val="99"/>
    <w:unhideWhenUsed/>
    <w:rsid w:val="0029639D"/>
    <w:pPr>
      <w:numPr>
        <w:numId w:val="7"/>
      </w:numPr>
      <w:contextualSpacing/>
    </w:pPr>
    <w:rPr>
      <w:rFonts w:ascii="微软雅黑" w:hAnsi="微软雅黑" w:eastAsia="微软雅黑" w:cs="微软雅黑"/>
    </w:rPr>
  </w:style>
  <w:style w:type="paragraph" w:styleId="ListContinue">
    <w:name w:val="List Continue"/>
    <w:basedOn w:val="Normal"/>
    <w:uiPriority w:val="99"/>
    <w:unhideWhenUsed/>
    <w:rsid w:val="0029639D"/>
    <w:pPr>
      <w:spacing w:after="120"/>
      <w:ind w:left="360"/>
      <w:contextualSpacing/>
    </w:pPr>
    <w:rPr>
      <w:rFonts w:ascii="微软雅黑" w:hAnsi="微软雅黑" w:eastAsia="微软雅黑" w:cs="微软雅黑"/>
    </w:rPr>
  </w:style>
  <w:style w:type="paragraph" w:styleId="ListContinue2">
    <w:name w:val="List Continue 2"/>
    <w:basedOn w:val="Normal"/>
    <w:uiPriority w:val="99"/>
    <w:unhideWhenUsed/>
    <w:rsid w:val="0029639D"/>
    <w:pPr>
      <w:spacing w:after="120"/>
      <w:ind w:left="720"/>
      <w:contextualSpacing/>
    </w:pPr>
    <w:rPr>
      <w:rFonts w:ascii="微软雅黑" w:hAnsi="微软雅黑" w:eastAsia="微软雅黑" w:cs="微软雅黑"/>
    </w:rPr>
  </w:style>
  <w:style w:type="paragraph" w:styleId="ListContinue3">
    <w:name w:val="List Continue 3"/>
    <w:basedOn w:val="Normal"/>
    <w:uiPriority w:val="99"/>
    <w:unhideWhenUsed/>
    <w:rsid w:val="0029639D"/>
    <w:pPr>
      <w:spacing w:after="120"/>
      <w:ind w:left="1080"/>
      <w:contextualSpacing/>
    </w:pPr>
    <w:rPr>
      <w:rFonts w:ascii="微软雅黑" w:hAnsi="微软雅黑" w:eastAsia="微软雅黑" w:cs="微软雅黑"/>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微软雅黑" w:hAnsi="微软雅黑" w:eastAsia="微软雅黑" w:cs="微软雅黑"/>
      <w:sz w:val="20"/>
      <w:szCs w:val="20"/>
    </w:rPr>
  </w:style>
  <w:style w:type="character" w:customStyle="1" w:styleId="MacroTextChar">
    <w:name w:val="Macro Text Char"/>
    <w:basedOn w:val="DefaultParagraphFont"/>
    <w:link w:val="MacroText"/>
    <w:uiPriority w:val="99"/>
    <w:rsid w:val="0029639D"/>
    <w:rPr>
      <w:rFonts w:ascii="微软雅黑" w:hAnsi="微软雅黑" w:eastAsia="微软雅黑" w:cs="微软雅黑"/>
      <w:sz w:val="20"/>
      <w:szCs w:val="20"/>
    </w:rPr>
  </w:style>
  <w:style w:type="paragraph" w:styleId="Quote">
    <w:name w:val="Quote"/>
    <w:basedOn w:val="Normal"/>
    <w:next w:val="Normal"/>
    <w:link w:val="QuoteChar"/>
    <w:uiPriority w:val="29"/>
    <w:qFormat/>
    <w:rsid w:val="00FC693F"/>
    <w:rPr>
      <w:rFonts w:ascii="微软雅黑" w:hAnsi="微软雅黑" w:eastAsia="微软雅黑" w:cs="微软雅黑"/>
      <w:i/>
      <w:iCs/>
      <w:color w:val="000000" w:themeColor="text1"/>
    </w:rPr>
  </w:style>
  <w:style w:type="character" w:customStyle="1" w:styleId="QuoteChar">
    <w:name w:val="Quote Char"/>
    <w:basedOn w:val="DefaultParagraphFont"/>
    <w:link w:val="Quote"/>
    <w:uiPriority w:val="29"/>
    <w:rsid w:val="00FC693F"/>
    <w:rPr>
      <w:rFonts w:ascii="微软雅黑" w:hAnsi="微软雅黑" w:eastAsia="微软雅黑" w:cs="微软雅黑"/>
      <w:i/>
      <w:iCs/>
      <w:color w:val="000000" w:themeColor="text1"/>
    </w:rPr>
  </w:style>
  <w:style w:type="character" w:customStyle="1" w:styleId="Heading4Char">
    <w:name w:val="Heading 4 Char"/>
    <w:basedOn w:val="DefaultParagraphFont"/>
    <w:link w:val="Heading4"/>
    <w:uiPriority w:val="9"/>
    <w:semiHidden/>
    <w:rsid w:val="00FC693F"/>
    <w:rPr>
      <w:rFonts w:ascii="微软雅黑" w:hAnsi="微软雅黑" w:eastAsia="微软雅黑" w:cs="微软雅黑"/>
      <w:b/>
      <w:bCs/>
      <w:i/>
      <w:iCs/>
      <w:color w:val="4F81BD" w:themeColor="accent1"/>
    </w:rPr>
  </w:style>
  <w:style w:type="character" w:customStyle="1" w:styleId="Heading5Char">
    <w:name w:val="Heading 5 Char"/>
    <w:basedOn w:val="DefaultParagraphFont"/>
    <w:link w:val="Heading5"/>
    <w:uiPriority w:val="9"/>
    <w:semiHidden/>
    <w:rsid w:val="00FC693F"/>
    <w:rPr>
      <w:rFonts w:ascii="微软雅黑" w:hAnsi="微软雅黑" w:eastAsia="微软雅黑" w:cs="微软雅黑"/>
      <w:color w:val="243F60" w:themeColor="accent1" w:themeShade="7F"/>
    </w:rPr>
  </w:style>
  <w:style w:type="character" w:customStyle="1" w:styleId="Heading6Char">
    <w:name w:val="Heading 6 Char"/>
    <w:basedOn w:val="DefaultParagraphFont"/>
    <w:link w:val="Heading6"/>
    <w:uiPriority w:val="9"/>
    <w:semiHidden/>
    <w:rsid w:val="00FC693F"/>
    <w:rPr>
      <w:rFonts w:ascii="微软雅黑" w:hAnsi="微软雅黑" w:eastAsia="微软雅黑" w:cs="微软雅黑"/>
      <w:i/>
      <w:iCs/>
      <w:color w:val="243F60" w:themeColor="accent1" w:themeShade="7F"/>
    </w:rPr>
  </w:style>
  <w:style w:type="character" w:customStyle="1" w:styleId="Heading7Char">
    <w:name w:val="Heading 7 Char"/>
    <w:basedOn w:val="DefaultParagraphFont"/>
    <w:link w:val="Heading7"/>
    <w:uiPriority w:val="9"/>
    <w:semiHidden/>
    <w:rsid w:val="00FC693F"/>
    <w:rPr>
      <w:rFonts w:ascii="微软雅黑" w:hAnsi="微软雅黑" w:eastAsia="微软雅黑" w:cs="微软雅黑"/>
      <w:i/>
      <w:iCs/>
      <w:color w:val="404040" w:themeColor="text1" w:themeTint="BF"/>
    </w:rPr>
  </w:style>
  <w:style w:type="character" w:customStyle="1" w:styleId="Heading8Char">
    <w:name w:val="Heading 8 Char"/>
    <w:basedOn w:val="DefaultParagraphFont"/>
    <w:link w:val="Heading8"/>
    <w:uiPriority w:val="9"/>
    <w:semiHidden/>
    <w:rsid w:val="00FC693F"/>
    <w:rPr>
      <w:rFonts w:ascii="微软雅黑" w:hAnsi="微软雅黑" w:eastAsia="微软雅黑" w:cs="微软雅黑"/>
      <w:color w:val="4F81BD" w:themeColor="accent1"/>
      <w:sz w:val="20"/>
      <w:szCs w:val="20"/>
    </w:rPr>
  </w:style>
  <w:style w:type="character" w:customStyle="1" w:styleId="Heading9Char">
    <w:name w:val="Heading 9 Char"/>
    <w:basedOn w:val="DefaultParagraphFont"/>
    <w:link w:val="Heading9"/>
    <w:uiPriority w:val="9"/>
    <w:semiHidden/>
    <w:rsid w:val="00FC693F"/>
    <w:rPr>
      <w:rFonts w:ascii="微软雅黑" w:hAnsi="微软雅黑" w:eastAsia="微软雅黑" w:cs="微软雅黑"/>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微软雅黑" w:hAnsi="微软雅黑" w:eastAsia="微软雅黑" w:cs="微软雅黑"/>
      <w:b/>
      <w:bCs/>
      <w:color w:val="4F81BD" w:themeColor="accent1"/>
      <w:sz w:val="18"/>
      <w:szCs w:val="18"/>
    </w:rPr>
  </w:style>
  <w:style w:type="character" w:styleId="Strong">
    <w:name w:val="Strong"/>
    <w:basedOn w:val="DefaultParagraphFont"/>
    <w:uiPriority w:val="22"/>
    <w:qFormat/>
    <w:rsid w:val="00FC693F"/>
    <w:rPr>
      <w:rFonts w:ascii="微软雅黑" w:hAnsi="微软雅黑" w:eastAsia="微软雅黑" w:cs="微软雅黑"/>
      <w:b/>
      <w:bCs/>
    </w:rPr>
  </w:style>
  <w:style w:type="character" w:styleId="Emphasis">
    <w:name w:val="Emphasis"/>
    <w:basedOn w:val="DefaultParagraphFont"/>
    <w:uiPriority w:val="20"/>
    <w:qFormat/>
    <w:rsid w:val="00FC693F"/>
    <w:rPr>
      <w:rFonts w:ascii="微软雅黑" w:hAnsi="微软雅黑" w:eastAsia="微软雅黑" w:cs="微软雅黑"/>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微软雅黑" w:hAnsi="微软雅黑" w:eastAsia="微软雅黑" w:cs="微软雅黑"/>
      <w:b/>
      <w:bCs/>
      <w:i/>
      <w:iCs/>
      <w:color w:val="4F81BD" w:themeColor="accent1"/>
    </w:rPr>
  </w:style>
  <w:style w:type="character" w:customStyle="1" w:styleId="IntenseQuoteChar">
    <w:name w:val="Intense Quote Char"/>
    <w:basedOn w:val="DefaultParagraphFont"/>
    <w:link w:val="IntenseQuote"/>
    <w:uiPriority w:val="30"/>
    <w:rsid w:val="00FC693F"/>
    <w:rPr>
      <w:rFonts w:ascii="微软雅黑" w:hAnsi="微软雅黑" w:eastAsia="微软雅黑" w:cs="微软雅黑"/>
      <w:b/>
      <w:bCs/>
      <w:i/>
      <w:iCs/>
      <w:color w:val="4F81BD" w:themeColor="accent1"/>
    </w:rPr>
  </w:style>
  <w:style w:type="character" w:styleId="SubtleEmphasis">
    <w:name w:val="Subtle Emphasis"/>
    <w:basedOn w:val="DefaultParagraphFont"/>
    <w:uiPriority w:val="19"/>
    <w:qFormat/>
    <w:rsid w:val="00FC693F"/>
    <w:rPr>
      <w:rFonts w:ascii="微软雅黑" w:hAnsi="微软雅黑" w:eastAsia="微软雅黑" w:cs="微软雅黑"/>
      <w:i/>
      <w:iCs/>
      <w:color w:val="808080" w:themeColor="text1" w:themeTint="7F"/>
    </w:rPr>
  </w:style>
  <w:style w:type="character" w:styleId="IntenseEmphasis">
    <w:name w:val="Intense Emphasis"/>
    <w:basedOn w:val="DefaultParagraphFont"/>
    <w:uiPriority w:val="21"/>
    <w:qFormat/>
    <w:rsid w:val="00FC693F"/>
    <w:rPr>
      <w:rFonts w:ascii="微软雅黑" w:hAnsi="微软雅黑" w:eastAsia="微软雅黑" w:cs="微软雅黑"/>
      <w:b/>
      <w:bCs/>
      <w:i/>
      <w:iCs/>
      <w:color w:val="4F81BD" w:themeColor="accent1"/>
    </w:rPr>
  </w:style>
  <w:style w:type="character" w:styleId="SubtleReference">
    <w:name w:val="Subtle Reference"/>
    <w:basedOn w:val="DefaultParagraphFont"/>
    <w:uiPriority w:val="31"/>
    <w:qFormat/>
    <w:rsid w:val="00FC693F"/>
    <w:rPr>
      <w:rFonts w:ascii="微软雅黑" w:hAnsi="微软雅黑" w:eastAsia="微软雅黑" w:cs="微软雅黑"/>
      <w:smallCaps/>
      <w:color w:val="C0504D" w:themeColor="accent2"/>
      <w:u w:val="single"/>
    </w:rPr>
  </w:style>
  <w:style w:type="character" w:styleId="IntenseReference">
    <w:name w:val="Intense Reference"/>
    <w:basedOn w:val="DefaultParagraphFont"/>
    <w:uiPriority w:val="32"/>
    <w:qFormat/>
    <w:rsid w:val="00FC693F"/>
    <w:rPr>
      <w:rFonts w:ascii="微软雅黑" w:hAnsi="微软雅黑" w:eastAsia="微软雅黑" w:cs="微软雅黑"/>
      <w:b/>
      <w:bCs/>
      <w:smallCaps/>
      <w:color w:val="C0504D" w:themeColor="accent2"/>
      <w:spacing w:val="5"/>
      <w:u w:val="single"/>
    </w:rPr>
  </w:style>
  <w:style w:type="character" w:styleId="BookTitle">
    <w:name w:val="Book Title"/>
    <w:basedOn w:val="DefaultParagraphFont"/>
    <w:uiPriority w:val="33"/>
    <w:qFormat/>
    <w:rsid w:val="00FC693F"/>
    <w:rPr>
      <w:rFonts w:ascii="微软雅黑" w:hAnsi="微软雅黑" w:eastAsia="微软雅黑" w:cs="微软雅黑"/>
      <w:b/>
      <w:bCs/>
      <w:smallCaps/>
      <w:spacing w:val="5"/>
    </w:rPr>
  </w:style>
  <w:style w:type="paragraph" w:styleId="TOCHeading">
    <w:name w:val="TOC Heading"/>
    <w:basedOn w:val="Heading1"/>
    <w:next w:val="Normal"/>
    <w:uiPriority w:val="39"/>
    <w:semiHidden/>
    <w:unhideWhenUsed/>
    <w:qFormat/>
    <w:rsid w:val="00FC693F"/>
    <w:pPr>
      <w:outlineLvl w:val="9"/>
    </w:pPr>
    <w:rPr>
      <w:rFonts w:ascii="微软雅黑" w:hAnsi="微软雅黑" w:eastAsia="微软雅黑" w:cs="微软雅黑"/>
    </w:rPr>
  </w:style>
  <w:style w:type="table" w:styleId="TableGrid">
    <w:name w:val="Table Grid"/>
    <w:basedOn w:val="TableNormal"/>
    <w:uiPriority w:val="59"/>
    <w:rsid w:val="00FC693F"/>
    <w:pPr>
      <w:spacing w:after="0" w:line="240" w:lineRule="auto"/>
    </w:pPr>
    <w:rPr>
      <w:rFonts w:ascii="微软雅黑" w:hAnsi="微软雅黑" w:eastAsia="微软雅黑" w:cs="微软雅黑"/>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微软雅黑" w:hAnsi="微软雅黑" w:eastAsia="微软雅黑" w:cs="微软雅黑"/>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微软雅黑" w:hAnsi="微软雅黑" w:eastAsia="微软雅黑" w:cs="微软雅黑"/>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微软雅黑" w:hAnsi="微软雅黑" w:eastAsia="微软雅黑" w:cs="微软雅黑"/>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微软雅黑" w:hAnsi="微软雅黑" w:eastAsia="微软雅黑" w:cs="微软雅黑"/>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微软雅黑" w:hAnsi="微软雅黑" w:eastAsia="微软雅黑" w:cs="微软雅黑"/>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微软雅黑" w:hAnsi="微软雅黑" w:eastAsia="微软雅黑" w:cs="微软雅黑"/>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微软雅黑" w:hAnsi="微软雅黑" w:eastAsia="微软雅黑" w:cs="微软雅黑"/>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微软雅黑" w:hAnsi="微软雅黑" w:eastAsia="微软雅黑" w:cs="微软雅黑"/>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微软雅黑" w:hAnsi="微软雅黑" w:eastAsia="微软雅黑" w:cs="微软雅黑"/>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微软雅黑" w:hAnsi="微软雅黑" w:eastAsia="微软雅黑" w:cs="微软雅黑"/>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微软雅黑" w:hAnsi="微软雅黑" w:eastAsia="微软雅黑" w:cs="微软雅黑"/>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微软雅黑" w:hAnsi="微软雅黑" w:eastAsia="微软雅黑" w:cs="微软雅黑"/>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微软雅黑" w:hAnsi="微软雅黑" w:eastAsia="微软雅黑" w:cs="微软雅黑"/>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微软雅黑" w:hAnsi="微软雅黑" w:eastAsia="微软雅黑" w:cs="微软雅黑"/>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微软雅黑" w:hAnsi="微软雅黑" w:eastAsia="微软雅黑" w:cs="微软雅黑"/>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微软雅黑" w:hAnsi="微软雅黑" w:eastAsia="微软雅黑" w:cs="微软雅黑"/>
        <w:b/>
        <w:bCs/>
      </w:rPr>
    </w:tblStylePr>
    <w:tblStylePr w:type="lastCol">
      <w:rPr>
        <w:rFonts w:ascii="微软雅黑" w:hAnsi="微软雅黑" w:eastAsia="微软雅黑" w:cs="微软雅黑"/>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微软雅黑" w:hAnsi="微软雅黑" w:eastAsia="微软雅黑" w:cs="微软雅黑"/>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微软雅黑" w:hAnsi="微软雅黑" w:eastAsia="微软雅黑" w:cs="微软雅黑"/>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微软雅黑" w:hAnsi="微软雅黑" w:eastAsia="微软雅黑" w:cs="微软雅黑"/>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微软雅黑" w:hAnsi="微软雅黑" w:eastAsia="微软雅黑" w:cs="微软雅黑"/>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微软雅黑" w:hAnsi="微软雅黑" w:eastAsia="微软雅黑" w:cs="微软雅黑"/>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 Id="rId11" Type="http://schemas.openxmlformats.org/officeDocument/2006/relationships/hyperlink" Target="https://news.un.org/feed/view/en/story/2026/10/1168670" TargetMode="External"/><Relationship Id="rId12" Type="http://schemas.openxmlformats.org/officeDocument/2006/relationships/hyperlink" Target="https://www.esdm.go.id/id/media-center/arsip-berita/perpres-107-2026-terbit-pemerintah-ubah-cara-impor-crude-bbm-dan-lpg" TargetMode="External"/><Relationship Id="rId13" Type="http://schemas.openxmlformats.org/officeDocument/2006/relationships/hyperlink" Target="https://www.cnesa.org/information/detail/?column_id=2&amp;id=8724" TargetMode="External"/><Relationship Id="rId14" Type="http://schemas.openxmlformats.org/officeDocument/2006/relationships/hyperlink" Target="https://news.solarbe.com/202610/26/50030890.html" TargetMode="External"/><Relationship Id="rId15" Type="http://schemas.openxmlformats.org/officeDocument/2006/relationships/hyperlink" Target="https://www.news.cn/energy/20261026/3ff882c8464c4f34b5c067dd8c1b7ca7/c.html" TargetMode="External"/><Relationship Id="rId16" Type="http://schemas.openxmlformats.org/officeDocument/2006/relationships/hyperlink" Target="https://www.jiemian.com/article/15236986.html" TargetMode="External"/><Relationship Id="rId17" Type="http://schemas.openxmlformats.org/officeDocument/2006/relationships/hyperlink" Target="https://www.pipechina.com.cn/front/news/3006234.html" TargetMode="External"/><Relationship Id="rId18" Type="http://schemas.openxmlformats.org/officeDocument/2006/relationships/hyperlink" Target="https://www.worldoil.com/news/2026/10/26/eqt-range-combine-to-create-largest-u-s-natural-gas-producer/" TargetMode="External"/><Relationship Id="rId19" Type="http://schemas.openxmlformats.org/officeDocument/2006/relationships/hyperlink" Target="https://www.zhitongcaijing.com/content/detail/1512808.html" TargetMode="External"/><Relationship Id="rId20" Type="http://schemas.openxmlformats.org/officeDocument/2006/relationships/hyperlink" Target="https://www.oxfordenergy.org/publications/revisiting-germanys-hydrogen-ambitions-between-sluggish-progress-and-new-momentum/" TargetMode="External"/><Relationship Id="rId21" Type="http://schemas.openxmlformats.org/officeDocument/2006/relationships/hyperlink" Target="https://www.nea.gov.cn/20261026/7b107fb31aeb45f79312c71fa23b5c64/c.html" TargetMode="External"/><Relationship Id="rId22" Type="http://schemas.openxmlformats.org/officeDocument/2006/relationships/hyperlink" Target="https://news.solarbe.com/202610/26/50030893.html" TargetMode="External"/><Relationship Id="rId23" Type="http://schemas.openxmlformats.org/officeDocument/2006/relationships/hyperlink" Target="https://www.cpnn.com.cn/news/hy/202610/t20261026_1922474.html" TargetMode="External"/><Relationship Id="rId24" Type="http://schemas.openxmlformats.org/officeDocument/2006/relationships/hyperlink" Target="https://www.china5e.com/news/news-1210952-1.html" TargetMode="External"/><Relationship Id="rId25" Type="http://schemas.openxmlformats.org/officeDocument/2006/relationships/hyperlink" Target="https://www.cpnn.com.cn/news/baogao2023/202610/t20261026_1922325.html" TargetMode="External"/><Relationship Id="rId26" Type="http://schemas.openxmlformats.org/officeDocument/2006/relationships/hyperlink" Target="https://www.china5e.com/news/news-1210933-1.html" TargetMode="External"/><Relationship Id="rId27" Type="http://schemas.openxmlformats.org/officeDocument/2006/relationships/hyperlink" Target="https://news.mysteel.com/a/26102609/51854E62BCA05260.html" TargetMode="External"/><Relationship Id="rId28" Type="http://schemas.openxmlformats.org/officeDocument/2006/relationships/hyperlink" Target="https://www.china5e.com/news/news-1210962-1.html" TargetMode="External"/><Relationship Id="rId29" Type="http://schemas.openxmlformats.org/officeDocument/2006/relationships/hyperlink" Target="https://www.china5e.com/news/news-1210965-1.html" TargetMode="External"/><Relationship Id="rId30" Type="http://schemas.openxmlformats.org/officeDocument/2006/relationships/hyperlink" Target="https://www.esdm.go.id/id/media-center/arsip-berita/ditengarai-libatkan-perusahaan-asing-esdm-dalami-kebun-sawit-yang-jalankan-usaha-tambang" TargetMode="External"/><Relationship Id="rId31" Type="http://schemas.openxmlformats.org/officeDocument/2006/relationships/hyperlink" Target="https://www.neimagazine.com/news/finland-grants-posiva-repository-licence/" TargetMode="External"/><Relationship Id="rId32" Type="http://schemas.openxmlformats.org/officeDocument/2006/relationships/hyperlink" Target="https://www.cpnn.com.cn/news/hy/202610/t20261026_1922257.html" TargetMode="External"/><Relationship Id="rId33" Type="http://schemas.openxmlformats.org/officeDocument/2006/relationships/hyperlink" Target="https://www.eni.com/en-IT/media/press-release/2026/10/pr-eni-launches-execution-phase-cronos-project.html" TargetMode="External"/><Relationship Id="rId34" Type="http://schemas.openxmlformats.org/officeDocument/2006/relationships/hyperlink" Target="https://www.worldoil.com/news/2026/10/26/eni-moves-cronos-into-execution-targets-first-cyprus-gas-in-2028/" TargetMode="External"/><Relationship Id="rId35" Type="http://schemas.openxmlformats.org/officeDocument/2006/relationships/hyperlink" Target="https://www.chinacoal.com/col/col33/art/2026/art_da7c5910620ccbc419396e6e0a0a0671.html" TargetMode="External"/><Relationship Id="rId36" Type="http://schemas.openxmlformats.org/officeDocument/2006/relationships/hyperlink" Target="https://www.aa.com.tr/en/energy/oil/singapore-saudi-aramco-agree-to-store-crude-oil-in-rock-caverns/60526" TargetMode="External"/><Relationship Id="rId37" Type="http://schemas.openxmlformats.org/officeDocument/2006/relationships/hyperlink" Target="https://www.interfax.ru/world/11249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ajorFont>
      <a:minorFont>
        <a:latin typeface="微软雅黑"/>
        <a:ea typeface="微软雅黑"/>
        <a:cs typeface="微软雅黑"/>
        <a:font script="Jpan" typeface="微软雅黑"/>
        <a:font script="Hang" typeface="微软雅黑"/>
        <a:font script="Hans" typeface="微软雅黑"/>
        <a:font script="Hant" typeface="微软雅黑"/>
        <a:font script="Arab" typeface="微软雅黑"/>
        <a:font script="Hebr" typeface="微软雅黑"/>
        <a:font script="Thai" typeface="微软雅黑"/>
        <a:font script="Ethi" typeface="微软雅黑"/>
        <a:font script="Beng" typeface="微软雅黑"/>
        <a:font script="Gujr" typeface="微软雅黑"/>
        <a:font script="Khmr" typeface="微软雅黑"/>
        <a:font script="Knda" typeface="微软雅黑"/>
        <a:font script="Guru" typeface="微软雅黑"/>
        <a:font script="Cans" typeface="微软雅黑"/>
        <a:font script="Cher" typeface="微软雅黑"/>
        <a:font script="Yiii" typeface="微软雅黑"/>
        <a:font script="Tibt" typeface="微软雅黑"/>
        <a:font script="Thaa" typeface="微软雅黑"/>
        <a:font script="Deva" typeface="微软雅黑"/>
        <a:font script="Telu" typeface="微软雅黑"/>
        <a:font script="Taml" typeface="微软雅黑"/>
        <a:font script="Syrc" typeface="微软雅黑"/>
        <a:font script="Orya" typeface="微软雅黑"/>
        <a:font script="Mlym" typeface="微软雅黑"/>
        <a:font script="Laoo" typeface="微软雅黑"/>
        <a:font script="Sinh" typeface="微软雅黑"/>
        <a:font script="Mong" typeface="微软雅黑"/>
        <a:font script="Viet" typeface="微软雅黑"/>
        <a:font script="Uigh" typeface="微软雅黑"/>
        <a:font script="Geor" typeface="微软雅黑"/>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2026年10月26日 每日能源报告</dc:title>
  <dc:subject/>
  <dc:creator>北京百看科技有限公司</dc:creator>
  <cp:keywords/>
  <dc:description>generated by python-docx</dc:description>
  <cp:lastModifiedBy/>
  <cp:revision>1</cp:revision>
  <dcterms:created xsi:type="dcterms:W3CDTF">2013-12-23T23:15:00Z</dcterms:created>
  <dcterms:modified xsi:type="dcterms:W3CDTF">2013-12-23T23:15:00Z</dcterms:modified>
  <cp:category/>
</cp:coreProperties>
</file>