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信息覆盖时段：2026-10-02 00:00 至 2026-10-03 00:00（不含），Asia/Shanghai。</w:t>
      </w:r>
    </w:p>
    <w:p>
      <w:pPr/>
      <w:r>
        <w:rPr>
          <w:rFonts w:ascii="微软雅黑" w:hAnsi="微软雅黑" w:eastAsia="微软雅黑" w:cs="微软雅黑"/>
        </w:rPr>
        <w:t>统计区间：2026-10-02 至 2026-10-03（结束日不含，北京时间）</w:t>
      </w:r>
    </w:p>
    <w:p>
      <w:pPr>
        <w:ind w:firstLine="420"/>
      </w:pPr>
      <w:r>
        <w:rPr>
          <w:rFonts w:ascii="微软雅黑" w:hAnsi="微软雅黑" w:eastAsia="微软雅黑" w:cs="微软雅黑"/>
        </w:rPr>
        <w:t>资料更新截止：2026-10-03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七国集团同意释放多达1亿桶柴油及原油储备以平抑油价 </w:t>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普京拒绝与乌克兰就远程打击达成停火 </w:t>
      </w:r>
      <w:hyperlink w:anchor="source-1154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阿根廷总统米莱会见埃尼CEO讨论能源合作 </w:t>
      </w:r>
      <w:hyperlink w:anchor="source-1144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EPE首次建议在圣保罗州输电线路采用DLR技术 </w:t>
      </w:r>
      <w:hyperlink w:anchor="source-11551">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波兰企业家向SGE BWRX-300项目提供13.5亿兹罗提股权 </w:t>
      </w:r>
      <w:hyperlink w:anchor="source-11519">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七国集团柴油及原油储备释放总量</w:t>
            </w:r>
          </w:p>
        </w:tc>
        <w:tc>
          <w:tcPr>
            <w:tcW w:type="dxa" w:w="2268"/>
          </w:tcPr>
          <w:p>
            <w:pPr>
              <w:spacing w:after="40"/>
            </w:pPr>
            <w:r>
              <w:rPr>
                <w:rFonts w:ascii="微软雅黑" w:hAnsi="微软雅黑" w:eastAsia="微软雅黑" w:cs="微软雅黑"/>
              </w:rPr>
              <w:t>多达1亿桶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柴油相对原油溢价（消息公布后）</w:t>
            </w:r>
          </w:p>
        </w:tc>
        <w:tc>
          <w:tcPr>
            <w:tcW w:type="dxa" w:w="2268"/>
          </w:tcPr>
          <w:p>
            <w:pPr>
              <w:spacing w:after="40"/>
            </w:pPr>
            <w:r>
              <w:rPr>
                <w:rFonts w:ascii="微软雅黑" w:hAnsi="微软雅黑" w:eastAsia="微软雅黑" w:cs="微软雅黑"/>
              </w:rPr>
              <w:t>69美元/桶</w:t>
            </w:r>
          </w:p>
        </w:tc>
        <w:tc>
          <w:tcPr>
            <w:tcW w:type="dxa" w:w="2268"/>
          </w:tcPr>
          <w:p>
            <w:pPr>
              <w:spacing w:after="40"/>
            </w:pPr>
            <w:r>
              <w:rPr>
                <w:rFonts w:ascii="微软雅黑" w:hAnsi="微软雅黑" w:eastAsia="微软雅黑" w:cs="微软雅黑"/>
              </w:rPr>
              <w:t>公布当日</w:t>
            </w:r>
          </w:p>
        </w:tc>
        <w:tc>
          <w:tcPr>
            <w:tcW w:type="dxa" w:w="2268"/>
          </w:tcPr>
          <w:p>
            <w:pPr>
              <w:spacing w:after="40"/>
            </w:pPr>
            <w:r>
              <w:rPr>
                <w:rFonts w:ascii="微软雅黑" w:hAnsi="微软雅黑" w:eastAsia="微软雅黑" w:cs="微软雅黑"/>
              </w:rPr>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释放行动执行周期</w:t>
            </w:r>
          </w:p>
        </w:tc>
        <w:tc>
          <w:tcPr>
            <w:tcW w:type="dxa" w:w="2268"/>
          </w:tcPr>
          <w:p>
            <w:pPr>
              <w:spacing w:after="40"/>
            </w:pPr>
            <w:r>
              <w:rPr>
                <w:rFonts w:ascii="微软雅黑" w:hAnsi="微软雅黑" w:eastAsia="微软雅黑" w:cs="微软雅黑"/>
              </w:rPr>
              <w:t>未来四个月</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SGE从国际投资者获得BWRX-300项目股权承诺</w:t>
            </w:r>
          </w:p>
        </w:tc>
        <w:tc>
          <w:tcPr>
            <w:tcW w:type="dxa" w:w="2268"/>
          </w:tcPr>
          <w:p>
            <w:pPr>
              <w:spacing w:after="40"/>
            </w:pPr>
            <w:r>
              <w:rPr>
                <w:rFonts w:ascii="微软雅黑" w:hAnsi="微软雅黑" w:eastAsia="微软雅黑" w:cs="微软雅黑"/>
              </w:rPr>
              <w:t>13.5亿兹罗提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51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波兰原则性决定部署BWRX-300 SMR数量</w:t>
            </w:r>
          </w:p>
        </w:tc>
        <w:tc>
          <w:tcPr>
            <w:tcW w:type="dxa" w:w="2268"/>
          </w:tcPr>
          <w:p>
            <w:pPr>
              <w:spacing w:after="40"/>
            </w:pPr>
            <w:r>
              <w:rPr>
                <w:rFonts w:ascii="微软雅黑" w:hAnsi="微软雅黑" w:eastAsia="微软雅黑" w:cs="微软雅黑"/>
              </w:rPr>
              <w:t>26台</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51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英国考虑在三个厂址部署SMR数量</w:t>
            </w:r>
          </w:p>
        </w:tc>
        <w:tc>
          <w:tcPr>
            <w:tcW w:type="dxa" w:w="2268"/>
          </w:tcPr>
          <w:p>
            <w:pPr>
              <w:spacing w:after="40"/>
            </w:pPr>
            <w:r>
              <w:rPr>
                <w:rFonts w:ascii="微软雅黑" w:hAnsi="微软雅黑" w:eastAsia="微软雅黑" w:cs="微软雅黑"/>
              </w:rPr>
              <w:t>14台</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51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埃及沙adwan 900兆瓦陆上风电项目估算资本开支</w:t>
            </w:r>
          </w:p>
        </w:tc>
        <w:tc>
          <w:tcPr>
            <w:tcW w:type="dxa" w:w="2268"/>
          </w:tcPr>
          <w:p>
            <w:pPr>
              <w:spacing w:after="40"/>
            </w:pPr>
            <w:r>
              <w:rPr>
                <w:rFonts w:ascii="微软雅黑" w:hAnsi="微软雅黑" w:eastAsia="微软雅黑" w:cs="微软雅黑"/>
              </w:rPr>
              <w:t>7.16亿美元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4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27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The Arab Energy Fund向Scatec提供的三年期股权过桥贷款总额</w:t>
            </w:r>
          </w:p>
        </w:tc>
        <w:tc>
          <w:tcPr>
            <w:tcW w:type="dxa" w:w="2268"/>
          </w:tcPr>
          <w:p>
            <w:pPr>
              <w:spacing w:after="40"/>
            </w:pPr>
            <w:r>
              <w:rPr>
                <w:rFonts w:ascii="微软雅黑" w:hAnsi="微软雅黑" w:eastAsia="微软雅黑" w:cs="微软雅黑"/>
              </w:rPr>
              <w:t>1.5亿美元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4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27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中国国庆假期首日高速公路充电量</w:t>
            </w:r>
          </w:p>
        </w:tc>
        <w:tc>
          <w:tcPr>
            <w:tcW w:type="dxa" w:w="2268"/>
          </w:tcPr>
          <w:p>
            <w:pPr>
              <w:spacing w:after="40"/>
            </w:pPr>
            <w:r>
              <w:rPr>
                <w:rFonts w:ascii="微软雅黑" w:hAnsi="微软雅黑" w:eastAsia="微软雅黑" w:cs="微软雅黑"/>
              </w:rPr>
              <w:t>2804.69万千瓦时</w:t>
            </w:r>
          </w:p>
        </w:tc>
        <w:tc>
          <w:tcPr>
            <w:tcW w:type="dxa" w:w="2268"/>
          </w:tcPr>
          <w:p>
            <w:pPr>
              <w:spacing w:after="40"/>
            </w:pPr>
            <w:r>
              <w:rPr>
                <w:rFonts w:ascii="微软雅黑" w:hAnsi="微软雅黑" w:eastAsia="微软雅黑" w:cs="微软雅黑"/>
              </w:rPr>
              <w:t>国庆假期首日</w:t>
            </w:r>
          </w:p>
        </w:tc>
        <w:tc>
          <w:tcPr>
            <w:tcW w:type="dxa" w:w="2268"/>
          </w:tcPr>
          <w:p>
            <w:pPr>
              <w:spacing w:after="40"/>
            </w:pPr>
            <w:r>
              <w:rPr>
                <w:rFonts w:ascii="微软雅黑" w:hAnsi="微软雅黑" w:eastAsia="微软雅黑" w:cs="微软雅黑"/>
              </w:rPr>
            </w:r>
            <w:hyperlink w:anchor="source-11355">
              <w:r>
                <w:rPr>
                  <w:rFonts w:ascii="微软雅黑" w:hAnsi="微软雅黑" w:eastAsia="微软雅黑" w:cs="微软雅黑"/>
                  <w:color w:val="087E89"/>
                </w:rPr>
                <w:t>13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中国国庆假期首日高速公路充电量同比增幅</w:t>
            </w:r>
          </w:p>
        </w:tc>
        <w:tc>
          <w:tcPr>
            <w:tcW w:type="dxa" w:w="2268"/>
          </w:tcPr>
          <w:p>
            <w:pPr>
              <w:spacing w:after="40"/>
            </w:pPr>
            <w:r>
              <w:rPr>
                <w:rFonts w:ascii="微软雅黑" w:hAnsi="微软雅黑" w:eastAsia="微软雅黑" w:cs="微软雅黑"/>
              </w:rPr>
              <w:t>较去年“十一”假期首日增长60.40%</w:t>
            </w:r>
          </w:p>
        </w:tc>
        <w:tc>
          <w:tcPr>
            <w:tcW w:type="dxa" w:w="2268"/>
          </w:tcPr>
          <w:p>
            <w:pPr>
              <w:spacing w:after="40"/>
            </w:pPr>
            <w:r>
              <w:rPr>
                <w:rFonts w:ascii="微软雅黑" w:hAnsi="微软雅黑" w:eastAsia="微软雅黑" w:cs="微软雅黑"/>
              </w:rPr>
              <w:t>国庆假期首日</w:t>
            </w:r>
          </w:p>
        </w:tc>
        <w:tc>
          <w:tcPr>
            <w:tcW w:type="dxa" w:w="2268"/>
          </w:tcPr>
          <w:p>
            <w:pPr>
              <w:spacing w:after="40"/>
            </w:pPr>
            <w:r>
              <w:rPr>
                <w:rFonts w:ascii="微软雅黑" w:hAnsi="微软雅黑" w:eastAsia="微软雅黑" w:cs="微软雅黑"/>
              </w:rPr>
            </w:r>
            <w:hyperlink w:anchor="source-11355">
              <w:r>
                <w:rPr>
                  <w:rFonts w:ascii="微软雅黑" w:hAnsi="微软雅黑" w:eastAsia="微软雅黑" w:cs="微软雅黑"/>
                  <w:color w:val="087E89"/>
                </w:rPr>
                <w:t>13</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普京拒绝与乌克兰就远程打击达成停火</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普京于周四拒绝了与乌克兰就停止远程打击达成停火协议的提议，俄罗斯继续加大对乌克兰的远程打击，乌方指控俄方蓄意袭击平民目标。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乌克兰以打击俄罗斯炼油厂、油库及出口设施作为报复，目标在于切断莫斯科的能源收入。俄方打击目标已扩大至乌克兰钢铁企业、铁路供应链和大型仓储设施，相关打击已严重限制乌克兰经黑海的粮食出口——这是基辅的重要收入来源。基辅处于近乎持续的警戒状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俄乌双方能源及粮食出口设施持续受损，乌克兰黑海粮食出口受到严重限制。</w:t>
      </w:r>
    </w:p>
    <w:p>
      <w:pPr>
        <w:ind w:firstLine="420"/>
      </w:pPr>
      <w:r>
        <w:rPr>
          <w:rFonts w:ascii="微软雅黑" w:hAnsi="微软雅黑" w:eastAsia="微软雅黑" w:cs="微软雅黑"/>
        </w:rPr>
        <w:t>来源：</w:t>
      </w:r>
      <w:hyperlink w:anchor="source-11543">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ANP批准赤道边缘盆地11个新勘探区块划定</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ANP董事会批准在巴西赤道边缘划定11个新的勘探区，并配置501个新的勘探区块，新区域被分类为“新勘探前沿”。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本次批准属技术性质，501个区块不会被自动纳入ANP的永久供应体系；是否纳入需经特定分析及适用监管程序，包括ANP和其他相关机构的评估和意见。社会环境分析已考虑保护区，未发现使所提议划定不可行的重叠或临近情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来源未给出明确影响数据。</w:t>
      </w:r>
    </w:p>
    <w:p>
      <w:pPr>
        <w:ind w:firstLine="420"/>
      </w:pPr>
      <w:r>
        <w:rPr>
          <w:rFonts w:ascii="微软雅黑" w:hAnsi="微软雅黑" w:eastAsia="微软雅黑" w:cs="微软雅黑"/>
        </w:rPr>
        <w:t>来源：</w:t>
      </w:r>
      <w:hyperlink w:anchor="source-11498">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3. 意大利联合多国请求欧盟出台能源企业超额利润征税框架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意大利与西班牙、葡萄牙、奥地利、德国、波兰联合请求欧盟出台对能源企业超额利润征税的监管框架，欧盟表示决定权在各成员国。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意大利政府已多次暂停燃油税，累计耗资21亿欧元；宣布豁免1400万辆非豪华车辆明年的汽车保有税。意大利通胀升至三年来新高，年同比上涨4.2%，能源成本上涨22.3%，经济部长Giorgetti称能源冲击是“头号问题”。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来源未给出明确影响数据。</w:t>
      </w:r>
    </w:p>
    <w:p>
      <w:pPr>
        <w:ind w:firstLine="420"/>
      </w:pPr>
      <w:r>
        <w:rPr>
          <w:rFonts w:ascii="微软雅黑" w:hAnsi="微软雅黑" w:eastAsia="微软雅黑" w:cs="微软雅黑"/>
        </w:rPr>
        <w:t>来源：</w:t>
      </w:r>
      <w:hyperlink w:anchor="source-11460">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4. 七国集团同意释放多达1亿桶柴油及原油储备以平抑油价</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现任七国集团轮值主席、法国总统马克龙宣布，G7将释放多达1亿桶柴油及原油储备，以推动燃料价格下跌，由国际能源署协调，未来四个月内完成。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国总统马克龙在记者会上宣布该决定。释放将由国际能源署协调，在未来四个月内进行。此前美国曾威胁若欧洲不释放更多供应可能实施柴油出口禁令。德国反对释放储备的提议，但德国和法国拥有欧洲最大的石油及成品油储备。G7成员国承诺互相之间不实施能源产品出口限制，并将在IEA框架内讨论进一步追加柴油释放。消息公布后，欧洲柴油价格和布伦特原油期货大幅下跌，柴油相对原油的溢价一度跌至每桶69美元，低于周四的76.77美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释放储备的消息公布后，欧洲柴油价格和布伦特原油期货大幅下跌，柴油相对原油的溢价由76.77美元/桶降至69美元/桶。</w:t>
      </w:r>
    </w:p>
    <w:p>
      <w:pPr>
        <w:ind w:firstLine="420"/>
      </w:pPr>
      <w:r>
        <w:rPr>
          <w:rFonts w:ascii="微软雅黑" w:hAnsi="微软雅黑" w:eastAsia="微软雅黑" w:cs="微软雅黑"/>
        </w:rPr>
        <w:t>来源：</w:t>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5. 中东冲突威胁升级油价扩大涨幅，WTI突破93美元</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油价连续第三日上涨，中东冲突可能升级威胁该地区能源供应的恢复。WTI涨至93美元/桶以上，布伦特原油周四收于约102美元/桶。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WTI前一交易日上涨近3%，涨至93美元/桶以上。布伦特原油周四收于约102美元/桶。布伦特原油年初至今上涨约70%。五角大楼可能向波斯湾增派一艘航母及约1万名水兵和海军陆战队，为总统升级对伊朗的军事行动提供选项。美伊战争已持续进入第八个月。油价波动同时受中东供应恢复迹象与美伊冲突升级担忧两方面博弈影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布伦特原油年初至今上涨约70%，受美伊冲突及中东能源供应恢复不确定性驱动。</w:t>
      </w:r>
    </w:p>
    <w:p>
      <w:pPr>
        <w:ind w:firstLine="420"/>
      </w:pPr>
      <w:r>
        <w:rPr>
          <w:rFonts w:ascii="微软雅黑" w:hAnsi="微软雅黑" w:eastAsia="微软雅黑" w:cs="微软雅黑"/>
        </w:rPr>
        <w:t>来源：</w:t>
      </w:r>
      <w:hyperlink w:anchor="source-11253">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1134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6. 欧盟能源联盟工作组召开会议协调柴油供应与价格应对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欧盟能源联盟工作组“安全分组”召开会议，讨论欧洲柴油市场最新形势及其对价格的影响。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工作组由欧盟委员会与各成员国高级别代表组成，交换信息并研究适当的应对措施。工作组强调在当前充满挑战的市场形势下密切合作与协调的重要性。欧盟委员会及工作组将继续密切监测欧盟市场形势，并在必要时协调行动。</w:t>
      </w:r>
    </w:p>
    <w:p>
      <w:pPr>
        <w:ind w:firstLine="420"/>
      </w:pPr>
      <w:r>
        <w:rPr>
          <w:rFonts w:ascii="微软雅黑" w:hAnsi="微软雅黑" w:eastAsia="微软雅黑" w:cs="微软雅黑"/>
        </w:rPr>
        <w:t>来源：</w:t>
      </w:r>
      <w:hyperlink w:anchor="source-11430">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11481">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7. 阿根廷总统米莱会见埃尼CEO讨论能源合作</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阿根廷共和国总统哈维尔·米莱会见埃尼公司首席执行官克劳迪奥·德斯卡尔齐，双方讨论了能源领域合作前景与对阿投资机遇，重点聚焦天然气资源开发及强化阿在国际能源市场中的角色。阿根廷LNG项目由Eni与YPF、XRG共同开发，利用Vaca Muerta盆地资源，采用浮式液化（FLNG）方案，被定位为全球最重要的在建能源项目之一。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阿根廷总统哈维尔·米莱会见埃尼公司首席执行官克劳迪奥·德斯卡尔齐，双方讨论了能源领域合作前景与对阿投资机遇，重点聚焦天然气资源开发及强化阿在国际能源市场中的角色。阿根廷LNG项目由Eni与YPF、XRG共同开发，利用Vaca Muerta盆地资源，采用浮式液化（FLNG）方案。阿根廷LNG被定位为全球最重要的在建能源项目之一，涉及大额投资，旨在支撑阿能源出口增长并对欧洲能源安全作出贡献。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阿根廷LNG项目涉及大额投资，旨在支撑阿能源出口增长并对欧洲能源安全作出贡献。</w:t>
      </w:r>
    </w:p>
    <w:p>
      <w:pPr>
        <w:ind w:firstLine="420"/>
      </w:pPr>
      <w:r>
        <w:rPr>
          <w:rFonts w:ascii="微软雅黑" w:hAnsi="微软雅黑" w:eastAsia="微软雅黑" w:cs="微软雅黑"/>
        </w:rPr>
        <w:t>来源：</w:t>
      </w:r>
      <w:hyperlink w:anchor="source-1144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8. 德国启动俄气国有化子公司SEFE私有化程序</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德国联邦政府批准启动SEFE(原Gazprom Germania)的私有化程序，开始接受收购意向。根据欧盟规则，德国须在2028年前出售SEFE至少75%国有股权。SEFE资产包括天然气储气库、管道以及位于英国的原Gazprom Marketing &amp; Trading贸易业务。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德国联邦政府已批准启动SEFE(原Gazprom Germania)的私有化程序，并开始接受潜在收购方意向。根据欧盟相关规则，德国须在2028年前完成出售SEFE至少75%国有股权。SEFE资产组合涵盖天然气储气库、输气管道，以及位于英国的原Gazprom Marketing &amp; Trading贸易业务。该私有化进程源于此前对俄气子公司实施国有化的背景。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SEFE资产涵盖储气库、管道及在英贸易业务，股权出售将影响欧洲天然气基础设施与贸易格局，但具体市场影响有待后续披露。</w:t>
      </w:r>
    </w:p>
    <w:p>
      <w:pPr>
        <w:ind w:firstLine="420"/>
      </w:pPr>
      <w:r>
        <w:rPr>
          <w:rFonts w:ascii="微软雅黑" w:hAnsi="微软雅黑" w:eastAsia="微软雅黑" w:cs="微软雅黑"/>
        </w:rPr>
        <w:t>来源：</w:t>
      </w:r>
      <w:hyperlink w:anchor="source-11506">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9. 波兰企业家向SGE BWRX-300项目提供13.5亿兹罗提股权</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波兰企业家向SGE的BWRX-300 SMR项目承诺提供13.5亿兹罗提股权，包括InPost CEO Rafał Brzoska、ElevenLabs联合创始人及Wirtualna Polska Holding联合所有者等知名投资人。SGE已与GE Vernova、Hitachi和Samsung C&amp;T签署在欧洲部署BWRX-300的合作协议。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SGE已与GE Vernova、Hitachi和Samsung C&amp;T签署在欧洲部署BWRX-300 SMR的合作协议。波兰已就26台BWRX-300 SMR作出原则性决定，英国正考虑在三个厂址部署14台SMR。SGE计划采用差价合约（CfD）模式为其核电项目设定保障电价，并已从国际投资者获得13.5亿兹罗提股权承诺。投资者包括InPost CEO Rafał Brzoska、ElevenLabs联合创始人Mati Staniszewski和Piotr Dąbkowski、Wirtualna Polska Holding联合所有者Michał Brański等。BWRX-300是300 MWe水冷自然循环SMR，基于美国NRC认证的ESBWR设计。</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大额股权承诺叠加差价合约电价机制，将影响波兰及英国BWRX-300项目的融资可行性与商业化推进速度。</w:t>
      </w:r>
    </w:p>
    <w:p>
      <w:pPr>
        <w:ind w:firstLine="420"/>
      </w:pPr>
      <w:r>
        <w:rPr>
          <w:rFonts w:ascii="微软雅黑" w:hAnsi="微软雅黑" w:eastAsia="微软雅黑" w:cs="微软雅黑"/>
        </w:rPr>
        <w:t>来源：</w:t>
      </w:r>
      <w:hyperlink w:anchor="source-11519">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10. 印度核电公司与古吉拉特邦签署核电选址合作备忘录</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印度核电公司（NPCIL）与古吉拉特邦电力公司（GSECL）签署谅解备忘录，将在古吉拉特邦境内合作寻找并评估适合建设新核电厂的场址。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印度核电公司（NPCIL）与古吉拉特邦电力公司（GSECL）签署谅解备忘录，合作内容包括讨论、信息共享、潜在场址识别以及技术适宜性评估。NPCIL表示该倡议将支持印度“Viksit Bharat”发展愿景及2070年实现净零排放的目标。印度目前拥有24台在运核电机组，总装机约8 GWe，政府目标到2047年将核能装机容量提升至100 GWe。</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该备忘录支持印度到2047年将核能装机提升至100 GWe的扩能目标，为内陆邦的核电选址开辟通道。</w:t>
      </w:r>
    </w:p>
    <w:p>
      <w:pPr>
        <w:ind w:firstLine="420"/>
      </w:pPr>
      <w:r>
        <w:rPr>
          <w:rFonts w:ascii="微软雅黑" w:hAnsi="微软雅黑" w:eastAsia="微软雅黑" w:cs="微软雅黑"/>
        </w:rPr>
        <w:t>来源：</w:t>
      </w:r>
      <w:hyperlink w:anchor="source-11517">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11. 丹麦议会通过电网接入紧急计划，确立并网优先排序新规</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丹麦议会批准电网接入紧急计划，取代原有“先到先得”原则，允许Energinet等电网公司在容量紧张时对并网项目进行优先排序。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规将并网项目分为四类：第一类为关键社会功能、新居民及一般用电；第二类为交通、供热、工业电气化以及可再生能源、碳捕集与封存、氢能项目；第三类为储能；第四类（最低优先）为部分大型能源用户，预计数据中心将归此类，除非其关联关键社会功能。同一类别中，对电网压力较小的项目可被进一步优先。在预期容量不足且影响更高优先级或对电网造成不当负担时，电网公司可拒绝第三、第四类接入申请，丹麦电力供应局为申诉机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新排序规则将优先保障关键社会用电与电气化、可再生能源、CCS与氢能项目，数据中心等大型能源用户或被置于最低优先。</w:t>
      </w:r>
    </w:p>
    <w:p>
      <w:pPr>
        <w:ind w:firstLine="420"/>
      </w:pPr>
      <w:r>
        <w:rPr>
          <w:rFonts w:ascii="微软雅黑" w:hAnsi="微软雅黑" w:eastAsia="微软雅黑" w:cs="微软雅黑"/>
        </w:rPr>
        <w:t>来源：</w:t>
      </w:r>
      <w:hyperlink w:anchor="source-11434">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12. 德国批准MiSpeL，允许储能与双向充电桩参与市场整合</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德国联邦网络管理局批准储能系统和充电桩市场整合规则MiSpeL，允许储能在保留可再生能源补贴资格的同时从电网取电并回送。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双向充电桩一般按储能系统处理，享受相同的市场灵活安排。包干方案仍需经欧盟委员会依据国家援助规则批准后方可适用。BSW-Solar和储能企业Voltfang对MiSpeL表示欢迎，认为可为商业和工业储能、共址项目以及电动车灵活性带来新机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商业和工业储能、共址项目及电动车双向充电桩可获得新的市场参与路径。</w:t>
      </w:r>
    </w:p>
    <w:p>
      <w:pPr>
        <w:ind w:firstLine="420"/>
      </w:pPr>
      <w:r>
        <w:rPr>
          <w:rFonts w:ascii="微软雅黑" w:hAnsi="微软雅黑" w:eastAsia="微软雅黑" w:cs="微软雅黑"/>
        </w:rPr>
        <w:t>来源：</w:t>
      </w:r>
      <w:hyperlink w:anchor="source-11404">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13. Scatec与EDF启动埃及900兆瓦沙adwan陆上风电施工</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挪威Scatec与法国EDF Power Solutions宣布启动埃及900兆瓦沙adwan陆上风电项目建设，并将引入更多股东；EDF Power Solutions目标持有该项目29%股权。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项目估算资本开支7.16亿美元，分期建设，首阶段计划2027年底实现商业运营，建成后将是非洲最大陆上风电场之一，投运后预计年发电约4太瓦时，每年可减少约160万吨二氧化碳排放。Scatec与The Arab Energy Fund签署1.5亿美元三年期股权过桥贷款，其中5000万美元用于沙adwan风电，1亿美元用于1950兆瓦Energy Valley光储项目（含3935兆瓦时储能）；同时Scatec已与发展性金融机构签署长期无追索项目融资委任书，预计年末前完成融资关闭。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该项目落地标志着埃及大型陆上风电开发取得实质推进，并带动欧洲—北非跨境可再生能源投资与融资协作。</w:t>
      </w:r>
    </w:p>
    <w:p>
      <w:pPr>
        <w:ind w:firstLine="420"/>
      </w:pPr>
      <w:r>
        <w:rPr>
          <w:rFonts w:ascii="微软雅黑" w:hAnsi="微软雅黑" w:eastAsia="微软雅黑" w:cs="微软雅黑"/>
        </w:rPr>
        <w:t>来源：</w:t>
      </w:r>
      <w:hyperlink w:anchor="source-114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276">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14. 西澳两年最大风电场完成融资关闭</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澳大利亚Atmos Renewables宣布完成两个CIS支持项目的融资关闭，分别为昆士兰州400 MW/1600 MWh的Teebar电池储能项目和西澳州470 MW的Parron Maam Marang风电场，后者将通过长期购电协议向Synergy供电。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两个项目均位于澳大利亚，Atmos将持有并运营Teebar BESS和Parron Maam Marang，公司全国组合已包括超过1.5 GW的在运及在建风、光、储容量。Igneo长期承诺的投资者包括MLC和CBUS。同篇报道指出，西澳州近期另有Kondonin等其他风电项目相继达到最终投资决策，全州占全澳风电最终投资和开工量逾半数；新南威尔士州仅有一座风电场在建，且Origin Energy因成本上升退出新英格兰地区风电项目。</w:t>
      </w:r>
    </w:p>
    <w:p>
      <w:pPr>
        <w:ind w:firstLine="420"/>
      </w:pPr>
      <w:r>
        <w:rPr>
          <w:rFonts w:ascii="微软雅黑" w:hAnsi="微软雅黑" w:eastAsia="微软雅黑" w:cs="微软雅黑"/>
        </w:rPr>
        <w:t>来源：</w:t>
      </w:r>
      <w:hyperlink w:anchor="source-11489">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11310">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15. EPE首次建议在圣保罗州输电线路采用DLR技术</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巴西EPE发布《DIT系统圣保罗州强化方案第2部分》报告修订版，在部门规划中首次推荐采用动态线路额定值（DLR）技术。该技术通过实时监测风速、环境温度和太阳辐射等参数，对线路输电容量进行动态调节。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DLR通过实时监测风速、环境温度和太阳辐射等参数动态调节线路输电容量，为部门规划中首次推荐采用。报告属于DIT系统圣保罗州强化方案第2部分的修订版。</w:t>
      </w:r>
    </w:p>
    <w:p>
      <w:pPr>
        <w:ind w:firstLine="420"/>
      </w:pPr>
      <w:r>
        <w:rPr>
          <w:rFonts w:ascii="微软雅黑" w:hAnsi="微软雅黑" w:eastAsia="微软雅黑" w:cs="微软雅黑"/>
        </w:rPr>
        <w:t>来源：</w:t>
      </w:r>
      <w:hyperlink w:anchor="source-11551">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16. EPE发布南里奥格兰德供电研究，提出韧性增强方案</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巴西EPE发布《南里奥格兰德地区供电研究》，针对极端气候事件提出提升当地基础设施韧性的解决方案。报告建议在São Gabriel、Universitária、Dom Pedrito、São Lourenço、Piratini和Tabatinga新增主干网供电点，并在Alegrete 2变电站新增138 kV扩建场地。</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研究建议在São Gabriel、Universitária、Dom Pedrito、São Lourenço、Piratini和Tabatinga新增主干网供电点，并在Alegrete 2变电站新增138 kV扩建场地，以应对极端气候事件下的供电韧性挑战。</w:t>
      </w:r>
    </w:p>
    <w:p>
      <w:pPr>
        <w:ind w:firstLine="420"/>
      </w:pPr>
      <w:r>
        <w:rPr>
          <w:rFonts w:ascii="微软雅黑" w:hAnsi="微软雅黑" w:eastAsia="微软雅黑" w:cs="微软雅黑"/>
        </w:rPr>
        <w:t>来源：</w:t>
      </w:r>
      <w:hyperlink w:anchor="source-11490">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17. 欣克利角B成为第二座移交退役处置的AGR电站</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欣克利角B成为第二座移交退役处置的先进气冷堆（AGR）电站，NRS将负责机组的拆解、厂房拆除、厂址清理与恢复工作。其毗邻的欣克利角A目前也在同步退役中。</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NRS将负责欣克利角B机组的拆解、厂房拆除、厂址清理与恢复，其毗邻的欣克利角A也在同步退役。该电站成为第二座进入退役处置程序的AGR电站。</w:t>
      </w:r>
    </w:p>
    <w:p>
      <w:pPr>
        <w:ind w:firstLine="420"/>
      </w:pPr>
      <w:r>
        <w:rPr>
          <w:rFonts w:ascii="微软雅黑" w:hAnsi="微软雅黑" w:eastAsia="微软雅黑" w:cs="微软雅黑"/>
        </w:rPr>
        <w:t>来源：</w:t>
      </w:r>
      <w:hyperlink w:anchor="source-11444">
        <w:r>
          <w:rPr>
            <w:rFonts w:ascii="微软雅黑" w:hAnsi="微软雅黑" w:eastAsia="微软雅黑" w:cs="微软雅黑"/>
            <w:color w:val="087E89"/>
          </w:rPr>
          <w:t>28</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18. 全国首个“沙戈荒”新能源大基地配套调峰电源全容量投产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国家能源集团宁夏电力中卫电厂6号机组通过168小时试运行，4台660兆瓦机组全容量投产，作为宁夏腾格里“沙戈荒”新能源大基地暨“宁湘直流”配套电源基地的调峰电源。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卫电厂位于宁夏腾格里“沙戈荒”新能源大基地暨“宁湘直流”配套电源基地，4台机组设计年发电量118亿千瓦时，可保障220亿千瓦时清洁能源稳定外送，替代标煤约710万吨，减排二氧化碳1846万吨。基地配套风电400万千瓦、光伏900万千瓦、调峰煤电464万千瓦。AGC调节速率达2.27%额定功率/分钟，高于新一代煤电机组2.2%额定功率/分钟的要求。项目采用“四机同建”模式，自今年1月首台机组投产起仅用9个月实现全容量投产。全厂城市中水100%回用，生产不取黄河水，污染物排放整体优于国家标准。</w:t>
      </w:r>
    </w:p>
    <w:p>
      <w:pPr>
        <w:ind w:firstLine="420"/>
      </w:pPr>
      <w:r>
        <w:rPr>
          <w:rFonts w:ascii="微软雅黑" w:hAnsi="微软雅黑" w:eastAsia="微软雅黑" w:cs="微软雅黑"/>
        </w:rPr>
        <w:t>来源：</w:t>
      </w:r>
      <w:hyperlink w:anchor="source-11400">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19. 七部门联合印发新型电池产业发展“十五五”规划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工业和信息化部、国家发展改革委等七部门联合印发《新型电池产业发展“十五五”规划》，推动新型电池在消费电子、交通、储能、机器人、前沿特种等多领域创新应用。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锂电池仍是当前新型电池的主力，在产量、装机量和市场份额上占据主导地位，新型电池产业依托新能源汽车规模化需求实现技术、产能与供应链积累，并向储能等领域延伸，带动钠电池、固态电池等多元路线迭代突破。规划也提示：过度依赖车用市场叠加锂资源对外依存度较高，存在产能过剩、原材料价格挤压盈利以及出口遭遇贸易壁垒等风险。规划强调不同场景需求差异显著：新能源汽车看重能量密度，电力储能追求超长循环寿命，消费终端青睐轻薄异形，工程机械要求耐高低温，深海探测需要安全稳定。</w:t>
      </w:r>
    </w:p>
    <w:p>
      <w:pPr>
        <w:ind w:firstLine="420"/>
      </w:pPr>
      <w:r>
        <w:rPr>
          <w:rFonts w:ascii="微软雅黑" w:hAnsi="微软雅黑" w:eastAsia="微软雅黑" w:cs="微软雅黑"/>
        </w:rPr>
        <w:t>来源：</w:t>
      </w:r>
      <w:hyperlink w:anchor="source-11316">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1274">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20. 国庆假期首日高速公路充电量同比增长60.4%创新高</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国庆假期首日，全国高速公路充电量达2804.69万千瓦时，较去年“十一”假期首日增长60.40%，创历史节假日单日新高。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据基于纳入国家充电设施监测服务平台的6.27万个高速公路充电设施（枪）。国家能源局节前已部署各地落实设备检修维护、隐患清零，提前增设移动充电设备，并加强充电车辆调度引导。假期高速公路服务区充电设施运行总体平稳，为新能源汽车长途出行提供补能支撑。国家能源局表示，下一步将继续加强高速公路充电设施监测调度，保障假期新能源汽车出行充电需求。</w:t>
      </w:r>
    </w:p>
    <w:p>
      <w:pPr>
        <w:ind w:firstLine="420"/>
      </w:pPr>
      <w:r>
        <w:rPr>
          <w:rFonts w:ascii="微软雅黑" w:hAnsi="微软雅黑" w:eastAsia="微软雅黑" w:cs="微软雅黑"/>
        </w:rPr>
        <w:t>来源：</w:t>
      </w:r>
      <w:hyperlink w:anchor="source-11355">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德国反对释放储备的立场如何协调；IEA框架内是否进一步追加柴油释放；释放行动在未来四个月内的具体节奏及对全球柴油价格的实际影响。 </w:t>
      </w:r>
      <w:hyperlink w:anchor="source-1152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1505">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53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双方是否恢复谈判、停火协议能否达成及远程打击的持续规模。 </w:t>
      </w:r>
      <w:hyperlink w:anchor="source-1154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阿根廷LNG项目投资金额披露、FLNG方案最终投资决策及投产时间表。 </w:t>
      </w:r>
      <w:hyperlink w:anchor="source-1144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波兰26台BWRX-300原则性决定的落地、英国14台SMR三个厂址评估、CfD模式的具体条款。 </w:t>
      </w:r>
      <w:hyperlink w:anchor="source-11519">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后续股权结构是否进一步扩容、长期无追索融资能否按计划于年底前完成关闭、首阶段2027年底商运目标是否如期实现。 </w:t>
      </w:r>
      <w:hyperlink w:anchor="source-1144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276">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Energinet及地方电网公司依据新规拒绝第三、四类项目的具体执行边界仍待观察。 </w:t>
      </w:r>
      <w:hyperlink w:anchor="source-11434">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203 篇文章，形成 196 篇有效能源材料；正文引用 28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7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1521"/>
      <w:bookmarkEnd w:id="1" w:name="source-11521"/>
    </w:p>
    <w:p>
      <w:pPr>
        <w:pStyle w:val="ListBullet"/>
      </w:pPr>
      <w:r>
        <w:rPr>
          <w:rFonts w:ascii="微软雅黑" w:hAnsi="微软雅黑" w:eastAsia="微软雅黑" w:cs="微软雅黑"/>
        </w:rPr>
        <w:t>[1] The Edge Malaysia等｜</w:t>
      </w:r>
      <w:hyperlink r:id="rId11">
        <w:r>
          <w:rPr>
            <w:rFonts w:ascii="微软雅黑" w:hAnsi="微软雅黑" w:eastAsia="微软雅黑" w:cs="微软雅黑"/>
            <w:color w:val="087E89"/>
          </w:rPr>
          <w:t>七国集团在美国施压后就释放柴油和石油储备达成一致</w:t>
        </w:r>
      </w:hyperlink>
      <w:r>
        <w:rPr>
          <w:rFonts w:ascii="微软雅黑" w:hAnsi="微软雅黑" w:eastAsia="微软雅黑" w:cs="微软雅黑"/>
        </w:rPr>
      </w:r>
    </w:p>
    <w:p>
      <w:pPr>
        <w:spacing w:after="0" w:line="20" w:lineRule="exact"/>
      </w:pPr>
      <w:bookmarkStart w:id="2" w:name="source-11508"/>
      <w:bookmarkEnd w:id="2" w:name="source-11508"/>
    </w:p>
    <w:p>
      <w:pPr>
        <w:pStyle w:val="ListBullet"/>
      </w:pPr>
      <w:r>
        <w:rPr>
          <w:rFonts w:ascii="微软雅黑" w:hAnsi="微软雅黑" w:eastAsia="微软雅黑" w:cs="微软雅黑"/>
        </w:rPr>
        <w:t>[2] 新浪财经｜</w:t>
      </w:r>
      <w:hyperlink r:id="rId12">
        <w:r>
          <w:rPr>
            <w:rFonts w:ascii="微软雅黑" w:hAnsi="微软雅黑" w:eastAsia="微软雅黑" w:cs="微软雅黑"/>
            <w:color w:val="087E89"/>
          </w:rPr>
          <w:t>七国集团将释放多达1亿桶柴油和石油</w:t>
        </w:r>
      </w:hyperlink>
      <w:r>
        <w:rPr>
          <w:rFonts w:ascii="微软雅黑" w:hAnsi="微软雅黑" w:eastAsia="微软雅黑" w:cs="微软雅黑"/>
        </w:rPr>
      </w:r>
    </w:p>
    <w:p>
      <w:pPr>
        <w:spacing w:after="0" w:line="20" w:lineRule="exact"/>
      </w:pPr>
      <w:bookmarkStart w:id="3" w:name="source-11505"/>
      <w:bookmarkEnd w:id="3" w:name="source-11505"/>
    </w:p>
    <w:p>
      <w:pPr>
        <w:pStyle w:val="ListBullet"/>
      </w:pPr>
      <w:r>
        <w:rPr>
          <w:rFonts w:ascii="微软雅黑" w:hAnsi="微软雅黑" w:eastAsia="微软雅黑" w:cs="微软雅黑"/>
        </w:rPr>
        <w:t>[3] 人民财讯等｜</w:t>
      </w:r>
      <w:hyperlink r:id="rId13">
        <w:r>
          <w:rPr>
            <w:rFonts w:ascii="微软雅黑" w:hAnsi="微软雅黑" w:eastAsia="微软雅黑" w:cs="微软雅黑"/>
            <w:color w:val="087E89"/>
          </w:rPr>
          <w:t>马克龙称七国集团将释放最多1亿桶柴油和原油储备</w:t>
        </w:r>
      </w:hyperlink>
      <w:r>
        <w:rPr>
          <w:rFonts w:ascii="微软雅黑" w:hAnsi="微软雅黑" w:eastAsia="微软雅黑" w:cs="微软雅黑"/>
        </w:rPr>
      </w:r>
    </w:p>
    <w:p>
      <w:pPr>
        <w:spacing w:after="0" w:line="20" w:lineRule="exact"/>
      </w:pPr>
      <w:bookmarkStart w:id="4" w:name="source-11534"/>
      <w:bookmarkEnd w:id="4" w:name="source-11534"/>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七国集团将释放多达1亿桶柴油和石油储备以遏制价格上涨</w:t>
        </w:r>
      </w:hyperlink>
      <w:r>
        <w:rPr>
          <w:rFonts w:ascii="微软雅黑" w:hAnsi="微软雅黑" w:eastAsia="微软雅黑" w:cs="微软雅黑"/>
        </w:rPr>
      </w:r>
    </w:p>
    <w:p>
      <w:pPr>
        <w:spacing w:after="0" w:line="20" w:lineRule="exact"/>
      </w:pPr>
      <w:bookmarkStart w:id="5" w:name="source-11543"/>
      <w:bookmarkEnd w:id="5" w:name="source-11543"/>
    </w:p>
    <w:p>
      <w:pPr>
        <w:pStyle w:val="ListBullet"/>
      </w:pPr>
      <w:r>
        <w:rPr>
          <w:rFonts w:ascii="微软雅黑" w:hAnsi="微软雅黑" w:eastAsia="微软雅黑" w:cs="微软雅黑"/>
        </w:rPr>
        <w:t>[5] Vanguard News｜</w:t>
      </w:r>
      <w:hyperlink r:id="rId15">
        <w:r>
          <w:rPr>
            <w:rFonts w:ascii="微软雅黑" w:hAnsi="微软雅黑" w:eastAsia="微软雅黑" w:cs="微软雅黑"/>
            <w:color w:val="087E89"/>
          </w:rPr>
          <w:t>普京拒绝与乌克兰就远程打击达成停火</w:t>
        </w:r>
      </w:hyperlink>
      <w:r>
        <w:rPr>
          <w:rFonts w:ascii="微软雅黑" w:hAnsi="微软雅黑" w:eastAsia="微软雅黑" w:cs="微软雅黑"/>
        </w:rPr>
      </w:r>
    </w:p>
    <w:p>
      <w:pPr>
        <w:spacing w:after="0" w:line="20" w:lineRule="exact"/>
      </w:pPr>
      <w:bookmarkStart w:id="6" w:name="source-11443"/>
      <w:bookmarkEnd w:id="6" w:name="source-11443"/>
    </w:p>
    <w:p>
      <w:pPr>
        <w:pStyle w:val="ListBullet"/>
      </w:pPr>
      <w:r>
        <w:rPr>
          <w:rFonts w:ascii="微软雅黑" w:hAnsi="微软雅黑" w:eastAsia="微软雅黑" w:cs="微软雅黑"/>
        </w:rPr>
        <w:t>[6] Eni官网｜</w:t>
      </w:r>
      <w:hyperlink r:id="rId16">
        <w:r>
          <w:rPr>
            <w:rFonts w:ascii="微软雅黑" w:hAnsi="微软雅黑" w:eastAsia="微软雅黑" w:cs="微软雅黑"/>
            <w:color w:val="087E89"/>
          </w:rPr>
          <w:t>阿根廷共和国总统哈维尔·米莱会见埃尼公司首席执行官克劳迪奥·德斯卡尔齐</w:t>
        </w:r>
      </w:hyperlink>
      <w:r>
        <w:rPr>
          <w:rFonts w:ascii="微软雅黑" w:hAnsi="微软雅黑" w:eastAsia="微软雅黑" w:cs="微软雅黑"/>
        </w:rPr>
      </w:r>
    </w:p>
    <w:p>
      <w:pPr>
        <w:spacing w:after="0" w:line="20" w:lineRule="exact"/>
      </w:pPr>
      <w:bookmarkStart w:id="7" w:name="source-11551"/>
      <w:bookmarkEnd w:id="7" w:name="source-11551"/>
    </w:p>
    <w:p>
      <w:pPr>
        <w:pStyle w:val="ListBullet"/>
      </w:pPr>
      <w:r>
        <w:rPr>
          <w:rFonts w:ascii="微软雅黑" w:hAnsi="微软雅黑" w:eastAsia="微软雅黑" w:cs="微软雅黑"/>
        </w:rPr>
        <w:t>[7] 巴西能源研究公司｜</w:t>
      </w:r>
      <w:hyperlink r:id="rId17">
        <w:r>
          <w:rPr>
            <w:rFonts w:ascii="微软雅黑" w:hAnsi="微软雅黑" w:eastAsia="微软雅黑" w:cs="微软雅黑"/>
            <w:color w:val="087E89"/>
          </w:rPr>
          <w:t>EPE规划创新，首次建议在圣保罗输电线路采用DLR技术</w:t>
        </w:r>
      </w:hyperlink>
      <w:r>
        <w:rPr>
          <w:rFonts w:ascii="微软雅黑" w:hAnsi="微软雅黑" w:eastAsia="微软雅黑" w:cs="微软雅黑"/>
        </w:rPr>
      </w:r>
    </w:p>
    <w:p>
      <w:pPr>
        <w:spacing w:after="0" w:line="20" w:lineRule="exact"/>
      </w:pPr>
      <w:bookmarkStart w:id="8" w:name="source-11519"/>
      <w:bookmarkEnd w:id="8" w:name="source-11519"/>
    </w:p>
    <w:p>
      <w:pPr>
        <w:pStyle w:val="ListBullet"/>
      </w:pPr>
      <w:r>
        <w:rPr>
          <w:rFonts w:ascii="微软雅黑" w:hAnsi="微软雅黑" w:eastAsia="微软雅黑" w:cs="微软雅黑"/>
        </w:rPr>
        <w:t>[8] 世界核新闻｜</w:t>
      </w:r>
      <w:hyperlink r:id="rId18">
        <w:r>
          <w:rPr>
            <w:rFonts w:ascii="微软雅黑" w:hAnsi="微软雅黑" w:eastAsia="微软雅黑" w:cs="微软雅黑"/>
            <w:color w:val="087E89"/>
          </w:rPr>
          <w:t>波兰企业家投资SGE的BWRX-300项目</w:t>
        </w:r>
      </w:hyperlink>
      <w:r>
        <w:rPr>
          <w:rFonts w:ascii="微软雅黑" w:hAnsi="微软雅黑" w:eastAsia="微软雅黑" w:cs="微软雅黑"/>
        </w:rPr>
      </w:r>
    </w:p>
    <w:p>
      <w:pPr>
        <w:spacing w:after="0" w:line="20" w:lineRule="exact"/>
      </w:pPr>
      <w:bookmarkStart w:id="9" w:name="source-11442"/>
      <w:bookmarkEnd w:id="9" w:name="source-11442"/>
    </w:p>
    <w:p>
      <w:pPr>
        <w:pStyle w:val="ListBullet"/>
      </w:pPr>
      <w:r>
        <w:rPr>
          <w:rFonts w:ascii="微软雅黑" w:hAnsi="微软雅黑" w:eastAsia="微软雅黑" w:cs="微软雅黑"/>
        </w:rPr>
        <w:t>[9] 《能源全球》｜</w:t>
      </w:r>
      <w:hyperlink r:id="rId19">
        <w:r>
          <w:rPr>
            <w:rFonts w:ascii="微软雅黑" w:hAnsi="微软雅黑" w:eastAsia="微软雅黑" w:cs="微软雅黑"/>
            <w:color w:val="087E89"/>
          </w:rPr>
          <w:t>Scatec 在埃及启动 900 MW 沙德万风电项目建设</w:t>
        </w:r>
      </w:hyperlink>
      <w:r>
        <w:rPr>
          <w:rFonts w:ascii="微软雅黑" w:hAnsi="微软雅黑" w:eastAsia="微软雅黑" w:cs="微软雅黑"/>
        </w:rPr>
      </w:r>
    </w:p>
    <w:p>
      <w:pPr>
        <w:spacing w:after="0" w:line="20" w:lineRule="exact"/>
      </w:pPr>
      <w:bookmarkStart w:id="10" w:name="source-11276"/>
      <w:bookmarkEnd w:id="10" w:name="source-11276"/>
    </w:p>
    <w:p>
      <w:pPr>
        <w:pStyle w:val="ListBullet"/>
      </w:pPr>
      <w:r>
        <w:rPr>
          <w:rFonts w:ascii="微软雅黑" w:hAnsi="微软雅黑" w:eastAsia="微软雅黑" w:cs="微软雅黑"/>
        </w:rPr>
        <w:t>[10] Green Building Africa｜</w:t>
      </w:r>
      <w:hyperlink r:id="rId20">
        <w:r>
          <w:rPr>
            <w:rFonts w:ascii="微软雅黑" w:hAnsi="微软雅黑" w:eastAsia="微软雅黑" w:cs="微软雅黑"/>
            <w:color w:val="087E89"/>
          </w:rPr>
          <w:t>Scatec 启动埃及 900 兆瓦沙德万风电场建设施工</w:t>
        </w:r>
      </w:hyperlink>
      <w:r>
        <w:rPr>
          <w:rFonts w:ascii="微软雅黑" w:hAnsi="微软雅黑" w:eastAsia="微软雅黑" w:cs="微软雅黑"/>
        </w:rPr>
      </w:r>
    </w:p>
    <w:p>
      <w:pPr>
        <w:spacing w:after="0" w:line="20" w:lineRule="exact"/>
      </w:pPr>
      <w:bookmarkStart w:id="11" w:name="source-11434"/>
      <w:bookmarkEnd w:id="11" w:name="source-11434"/>
    </w:p>
    <w:p>
      <w:pPr>
        <w:pStyle w:val="ListBullet"/>
      </w:pPr>
      <w:r>
        <w:rPr>
          <w:rFonts w:ascii="微软雅黑" w:hAnsi="微软雅黑" w:eastAsia="微软雅黑" w:cs="微软雅黑"/>
        </w:rPr>
        <w:t>[11] 光伏杂志国际版｜</w:t>
      </w:r>
      <w:hyperlink r:id="rId21">
        <w:r>
          <w:rPr>
            <w:rFonts w:ascii="微软雅黑" w:hAnsi="微软雅黑" w:eastAsia="微软雅黑" w:cs="微软雅黑"/>
            <w:color w:val="087E89"/>
          </w:rPr>
          <w:t>丹麦批准新型电网接入优先级排序模型</w:t>
        </w:r>
      </w:hyperlink>
      <w:r>
        <w:rPr>
          <w:rFonts w:ascii="微软雅黑" w:hAnsi="微软雅黑" w:eastAsia="微软雅黑" w:cs="微软雅黑"/>
        </w:rPr>
      </w:r>
    </w:p>
    <w:p>
      <w:pPr>
        <w:spacing w:after="0" w:line="20" w:lineRule="exact"/>
      </w:pPr>
      <w:bookmarkStart w:id="12" w:name="source-11400"/>
      <w:bookmarkEnd w:id="12" w:name="source-11400"/>
    </w:p>
    <w:p>
      <w:pPr>
        <w:pStyle w:val="ListBullet"/>
      </w:pPr>
      <w:r>
        <w:rPr>
          <w:rFonts w:ascii="微软雅黑" w:hAnsi="微软雅黑" w:eastAsia="微软雅黑" w:cs="微软雅黑"/>
        </w:rPr>
        <w:t>[12] 科技日报｜</w:t>
      </w:r>
      <w:hyperlink r:id="rId22">
        <w:r>
          <w:rPr>
            <w:rFonts w:ascii="微软雅黑" w:hAnsi="微软雅黑" w:eastAsia="微软雅黑" w:cs="微软雅黑"/>
            <w:color w:val="087E89"/>
          </w:rPr>
          <w:t>全国首个“沙戈荒”新能源大基地配套调峰电源全容量投产</w:t>
        </w:r>
      </w:hyperlink>
      <w:r>
        <w:rPr>
          <w:rFonts w:ascii="微软雅黑" w:hAnsi="微软雅黑" w:eastAsia="微软雅黑" w:cs="微软雅黑"/>
        </w:rPr>
      </w:r>
    </w:p>
    <w:p>
      <w:pPr>
        <w:spacing w:after="0" w:line="20" w:lineRule="exact"/>
      </w:pPr>
      <w:bookmarkStart w:id="13" w:name="source-11355"/>
      <w:bookmarkEnd w:id="13" w:name="source-11355"/>
    </w:p>
    <w:p>
      <w:pPr>
        <w:pStyle w:val="ListBullet"/>
      </w:pPr>
      <w:r>
        <w:rPr>
          <w:rFonts w:ascii="微软雅黑" w:hAnsi="微软雅黑" w:eastAsia="微软雅黑" w:cs="微软雅黑"/>
        </w:rPr>
        <w:t>[13] 国家能源局｜</w:t>
      </w:r>
      <w:hyperlink r:id="rId23">
        <w:r>
          <w:rPr>
            <w:rFonts w:ascii="微软雅黑" w:hAnsi="微软雅黑" w:eastAsia="微软雅黑" w:cs="微软雅黑"/>
            <w:color w:val="087E89"/>
          </w:rPr>
          <w:t>国庆假期首日高速公路充电量同比增长60.4%</w:t>
        </w:r>
      </w:hyperlink>
      <w:r>
        <w:rPr>
          <w:rFonts w:ascii="微软雅黑" w:hAnsi="微软雅黑" w:eastAsia="微软雅黑" w:cs="微软雅黑"/>
        </w:rPr>
      </w:r>
    </w:p>
    <w:p>
      <w:pPr>
        <w:spacing w:after="0" w:line="20" w:lineRule="exact"/>
      </w:pPr>
      <w:bookmarkStart w:id="14" w:name="source-11253"/>
      <w:bookmarkEnd w:id="14" w:name="source-11253"/>
    </w:p>
    <w:p>
      <w:pPr>
        <w:pStyle w:val="ListBullet"/>
      </w:pPr>
      <w:r>
        <w:rPr>
          <w:rFonts w:ascii="微软雅黑" w:hAnsi="微软雅黑" w:eastAsia="微软雅黑" w:cs="微软雅黑"/>
        </w:rPr>
        <w:t>[14] The Edge Malaysia等｜</w:t>
      </w:r>
      <w:hyperlink r:id="rId24">
        <w:r>
          <w:rPr>
            <w:rFonts w:ascii="微软雅黑" w:hAnsi="微软雅黑" w:eastAsia="微软雅黑" w:cs="微软雅黑"/>
            <w:color w:val="087E89"/>
          </w:rPr>
          <w:t>中东冲突威胁升级，油价扩大涨幅</w:t>
        </w:r>
      </w:hyperlink>
      <w:r>
        <w:rPr>
          <w:rFonts w:ascii="微软雅黑" w:hAnsi="微软雅黑" w:eastAsia="微软雅黑" w:cs="微软雅黑"/>
        </w:rPr>
      </w:r>
    </w:p>
    <w:p>
      <w:pPr>
        <w:spacing w:after="0" w:line="20" w:lineRule="exact"/>
      </w:pPr>
      <w:bookmarkStart w:id="15" w:name="source-11347"/>
      <w:bookmarkEnd w:id="15" w:name="source-11347"/>
    </w:p>
    <w:p>
      <w:pPr>
        <w:pStyle w:val="ListBullet"/>
      </w:pPr>
      <w:r>
        <w:rPr>
          <w:rFonts w:ascii="微软雅黑" w:hAnsi="微软雅黑" w:eastAsia="微软雅黑" w:cs="微软雅黑"/>
        </w:rPr>
        <w:t>[15] Interfax｜</w:t>
      </w:r>
      <w:hyperlink r:id="rId25">
        <w:r>
          <w:rPr>
            <w:rFonts w:ascii="微软雅黑" w:hAnsi="微软雅黑" w:eastAsia="微软雅黑" w:cs="微软雅黑"/>
            <w:color w:val="087E89"/>
          </w:rPr>
          <w:t>布伦特原油价格下跌至每桶102.02美元</w:t>
        </w:r>
      </w:hyperlink>
      <w:r>
        <w:rPr>
          <w:rFonts w:ascii="微软雅黑" w:hAnsi="微软雅黑" w:eastAsia="微软雅黑" w:cs="微软雅黑"/>
        </w:rPr>
      </w:r>
    </w:p>
    <w:p>
      <w:pPr>
        <w:spacing w:after="0" w:line="20" w:lineRule="exact"/>
      </w:pPr>
      <w:bookmarkStart w:id="16" w:name="source-11498"/>
      <w:bookmarkEnd w:id="16" w:name="source-11498"/>
    </w:p>
    <w:p>
      <w:pPr>
        <w:pStyle w:val="ListBullet"/>
      </w:pPr>
      <w:r>
        <w:rPr>
          <w:rFonts w:ascii="微软雅黑" w:hAnsi="微软雅黑" w:eastAsia="微软雅黑" w:cs="微软雅黑"/>
        </w:rPr>
        <w:t>[16] 巴西石油天然气和生物燃料管理局｜</w:t>
      </w:r>
      <w:hyperlink r:id="rId26">
        <w:r>
          <w:rPr>
            <w:rFonts w:ascii="微软雅黑" w:hAnsi="微软雅黑" w:eastAsia="微软雅黑" w:cs="微软雅黑"/>
            <w:color w:val="087E89"/>
          </w:rPr>
          <w:t>ANP批准赤道边缘盆地11个新勘探区块的划定</w:t>
        </w:r>
      </w:hyperlink>
      <w:r>
        <w:rPr>
          <w:rFonts w:ascii="微软雅黑" w:hAnsi="微软雅黑" w:eastAsia="微软雅黑" w:cs="微软雅黑"/>
        </w:rPr>
      </w:r>
    </w:p>
    <w:p>
      <w:pPr>
        <w:spacing w:after="0" w:line="20" w:lineRule="exact"/>
      </w:pPr>
      <w:bookmarkStart w:id="17" w:name="source-11517"/>
      <w:bookmarkEnd w:id="17" w:name="source-11517"/>
    </w:p>
    <w:p>
      <w:pPr>
        <w:pStyle w:val="ListBullet"/>
      </w:pPr>
      <w:r>
        <w:rPr>
          <w:rFonts w:ascii="微软雅黑" w:hAnsi="微软雅黑" w:eastAsia="微软雅黑" w:cs="微软雅黑"/>
        </w:rPr>
        <w:t>[17] 世界核新闻｜</w:t>
      </w:r>
      <w:hyperlink r:id="rId27">
        <w:r>
          <w:rPr>
            <w:rFonts w:ascii="微软雅黑" w:hAnsi="微软雅黑" w:eastAsia="微软雅黑" w:cs="微软雅黑"/>
            <w:color w:val="087E89"/>
          </w:rPr>
          <w:t>印度核电公司签署谅解备忘录，建设古吉拉特邦核电项目</w:t>
        </w:r>
      </w:hyperlink>
      <w:r>
        <w:rPr>
          <w:rFonts w:ascii="微软雅黑" w:hAnsi="微软雅黑" w:eastAsia="微软雅黑" w:cs="微软雅黑"/>
        </w:rPr>
      </w:r>
    </w:p>
    <w:p>
      <w:pPr>
        <w:spacing w:after="0" w:line="20" w:lineRule="exact"/>
      </w:pPr>
      <w:bookmarkStart w:id="18" w:name="source-11490"/>
      <w:bookmarkEnd w:id="18" w:name="source-11490"/>
    </w:p>
    <w:p>
      <w:pPr>
        <w:pStyle w:val="ListBullet"/>
      </w:pPr>
      <w:r>
        <w:rPr>
          <w:rFonts w:ascii="微软雅黑" w:hAnsi="微软雅黑" w:eastAsia="微软雅黑" w:cs="微软雅黑"/>
        </w:rPr>
        <w:t>[18] 巴西能源研究公司｜</w:t>
      </w:r>
      <w:hyperlink r:id="rId28">
        <w:r>
          <w:rPr>
            <w:rFonts w:ascii="微软雅黑" w:hAnsi="微软雅黑" w:eastAsia="微软雅黑" w:cs="微软雅黑"/>
            <w:color w:val="087E89"/>
          </w:rPr>
          <w:t>EPE发布《南里奥格兰德地区供电研究》，提出在极端气候事件下提升当地基础设施韧性的解决方案</w:t>
        </w:r>
      </w:hyperlink>
      <w:r>
        <w:rPr>
          <w:rFonts w:ascii="微软雅黑" w:hAnsi="微软雅黑" w:eastAsia="微软雅黑" w:cs="微软雅黑"/>
        </w:rPr>
      </w:r>
    </w:p>
    <w:p>
      <w:pPr>
        <w:spacing w:after="0" w:line="20" w:lineRule="exact"/>
      </w:pPr>
      <w:bookmarkStart w:id="19" w:name="source-11404"/>
      <w:bookmarkEnd w:id="19" w:name="source-11404"/>
    </w:p>
    <w:p>
      <w:pPr>
        <w:pStyle w:val="ListBullet"/>
      </w:pPr>
      <w:r>
        <w:rPr>
          <w:rFonts w:ascii="微软雅黑" w:hAnsi="微软雅黑" w:eastAsia="微软雅黑" w:cs="微软雅黑"/>
        </w:rPr>
        <w:t>[19] 光伏杂志国际版｜</w:t>
      </w:r>
      <w:hyperlink r:id="rId29">
        <w:r>
          <w:rPr>
            <w:rFonts w:ascii="微软雅黑" w:hAnsi="微软雅黑" w:eastAsia="微软雅黑" w:cs="微软雅黑"/>
            <w:color w:val="087E89"/>
          </w:rPr>
          <w:t>德国批准关于储能与双向充电的法规</w:t>
        </w:r>
      </w:hyperlink>
      <w:r>
        <w:rPr>
          <w:rFonts w:ascii="微软雅黑" w:hAnsi="微软雅黑" w:eastAsia="微软雅黑" w:cs="微软雅黑"/>
        </w:rPr>
      </w:r>
    </w:p>
    <w:p>
      <w:pPr>
        <w:spacing w:after="0" w:line="20" w:lineRule="exact"/>
      </w:pPr>
      <w:bookmarkStart w:id="20" w:name="source-11316"/>
      <w:bookmarkEnd w:id="20" w:name="source-11316"/>
    </w:p>
    <w:p>
      <w:pPr>
        <w:pStyle w:val="ListBullet"/>
      </w:pPr>
      <w:r>
        <w:rPr>
          <w:rFonts w:ascii="微软雅黑" w:hAnsi="微软雅黑" w:eastAsia="微软雅黑" w:cs="微软雅黑"/>
        </w:rPr>
        <w:t>[20] 人民日报｜</w:t>
      </w:r>
      <w:hyperlink r:id="rId30">
        <w:r>
          <w:rPr>
            <w:rFonts w:ascii="微软雅黑" w:hAnsi="微软雅黑" w:eastAsia="微软雅黑" w:cs="微软雅黑"/>
            <w:color w:val="087E89"/>
          </w:rPr>
          <w:t>新型电池打开多元赛道新格局</w:t>
        </w:r>
      </w:hyperlink>
      <w:r>
        <w:rPr>
          <w:rFonts w:ascii="微软雅黑" w:hAnsi="微软雅黑" w:eastAsia="微软雅黑" w:cs="微软雅黑"/>
        </w:rPr>
      </w:r>
    </w:p>
    <w:p>
      <w:pPr>
        <w:spacing w:after="0" w:line="20" w:lineRule="exact"/>
      </w:pPr>
      <w:bookmarkStart w:id="21" w:name="source-11274"/>
      <w:bookmarkEnd w:id="21" w:name="source-11274"/>
    </w:p>
    <w:p>
      <w:pPr>
        <w:pStyle w:val="ListBullet"/>
      </w:pPr>
      <w:r>
        <w:rPr>
          <w:rFonts w:ascii="微软雅黑" w:hAnsi="微软雅黑" w:eastAsia="微软雅黑" w:cs="微软雅黑"/>
        </w:rPr>
        <w:t>[21] 经济日报｜</w:t>
      </w:r>
      <w:hyperlink r:id="rId31">
        <w:r>
          <w:rPr>
            <w:rFonts w:ascii="微软雅黑" w:hAnsi="微软雅黑" w:eastAsia="微软雅黑" w:cs="微软雅黑"/>
            <w:color w:val="087E89"/>
          </w:rPr>
          <w:t>新型电池打开多元赛道新格局</w:t>
        </w:r>
      </w:hyperlink>
      <w:r>
        <w:rPr>
          <w:rFonts w:ascii="微软雅黑" w:hAnsi="微软雅黑" w:eastAsia="微软雅黑" w:cs="微软雅黑"/>
        </w:rPr>
      </w:r>
    </w:p>
    <w:p>
      <w:pPr>
        <w:spacing w:after="0" w:line="20" w:lineRule="exact"/>
      </w:pPr>
      <w:bookmarkStart w:id="22" w:name="source-11489"/>
      <w:bookmarkEnd w:id="22" w:name="source-11489"/>
    </w:p>
    <w:p>
      <w:pPr>
        <w:pStyle w:val="ListBullet"/>
      </w:pPr>
      <w:r>
        <w:rPr>
          <w:rFonts w:ascii="微软雅黑" w:hAnsi="微软雅黑" w:eastAsia="微软雅黑" w:cs="微软雅黑"/>
        </w:rPr>
        <w:t>[22] 《能源全球》｜</w:t>
      </w:r>
      <w:hyperlink r:id="rId32">
        <w:r>
          <w:rPr>
            <w:rFonts w:ascii="微软雅黑" w:hAnsi="微软雅黑" w:eastAsia="微软雅黑" w:cs="微软雅黑"/>
            <w:color w:val="087E89"/>
          </w:rPr>
          <w:t>Atmos Renewables 周三宣布，该公司位于印度拉贾斯坦邦的一座装机容量为 1 GW、采用铜铟硒（CIS）薄膜组件的太阳能项目管线已达成融资关闭。</w:t>
        </w:r>
      </w:hyperlink>
      <w:r>
        <w:rPr>
          <w:rFonts w:ascii="微软雅黑" w:hAnsi="微软雅黑" w:eastAsia="微软雅黑" w:cs="微软雅黑"/>
        </w:rPr>
      </w:r>
    </w:p>
    <w:p>
      <w:pPr>
        <w:spacing w:after="0" w:line="20" w:lineRule="exact"/>
      </w:pPr>
      <w:bookmarkStart w:id="23" w:name="source-11310"/>
      <w:bookmarkEnd w:id="23" w:name="source-11310"/>
    </w:p>
    <w:p>
      <w:pPr>
        <w:pStyle w:val="ListBullet"/>
      </w:pPr>
      <w:r>
        <w:rPr>
          <w:rFonts w:ascii="微软雅黑" w:hAnsi="微软雅黑" w:eastAsia="微软雅黑" w:cs="微软雅黑"/>
        </w:rPr>
        <w:t>[23] 澳大利亚可再生能源新闻｜</w:t>
      </w:r>
      <w:hyperlink r:id="rId33">
        <w:r>
          <w:rPr>
            <w:rFonts w:ascii="微软雅黑" w:hAnsi="微软雅黑" w:eastAsia="微软雅黑" w:cs="微软雅黑"/>
            <w:color w:val="087E89"/>
          </w:rPr>
          <w:t>两年来最大风电场完成融资关闭，为过去12个月内第九个</w:t>
        </w:r>
      </w:hyperlink>
      <w:r>
        <w:rPr>
          <w:rFonts w:ascii="微软雅黑" w:hAnsi="微软雅黑" w:eastAsia="微软雅黑" w:cs="微软雅黑"/>
        </w:rPr>
      </w:r>
    </w:p>
    <w:p>
      <w:pPr>
        <w:spacing w:after="0" w:line="20" w:lineRule="exact"/>
      </w:pPr>
      <w:bookmarkStart w:id="24" w:name="source-11506"/>
      <w:bookmarkEnd w:id="24" w:name="source-11506"/>
    </w:p>
    <w:p>
      <w:pPr>
        <w:pStyle w:val="ListBullet"/>
      </w:pPr>
      <w:r>
        <w:rPr>
          <w:rFonts w:ascii="微软雅黑" w:hAnsi="微软雅黑" w:eastAsia="微软雅黑" w:cs="微软雅黑"/>
        </w:rPr>
        <w:t>[24] Interfax｜</w:t>
      </w:r>
      <w:hyperlink r:id="rId34">
        <w:r>
          <w:rPr>
            <w:rFonts w:ascii="微软雅黑" w:hAnsi="微软雅黑" w:eastAsia="微软雅黑" w:cs="微软雅黑"/>
            <w:color w:val="087E89"/>
          </w:rPr>
          <w:t>在德国开始对俄罗斯天然气工业股份公司被国有化子公司的私有化</w:t>
        </w:r>
      </w:hyperlink>
      <w:r>
        <w:rPr>
          <w:rFonts w:ascii="微软雅黑" w:hAnsi="微软雅黑" w:eastAsia="微软雅黑" w:cs="微软雅黑"/>
        </w:rPr>
      </w:r>
    </w:p>
    <w:p>
      <w:pPr>
        <w:spacing w:after="0" w:line="20" w:lineRule="exact"/>
      </w:pPr>
      <w:bookmarkStart w:id="25" w:name="source-11430"/>
      <w:bookmarkEnd w:id="25" w:name="source-11430"/>
    </w:p>
    <w:p>
      <w:pPr>
        <w:pStyle w:val="ListBullet"/>
      </w:pPr>
      <w:r>
        <w:rPr>
          <w:rFonts w:ascii="微软雅黑" w:hAnsi="微软雅黑" w:eastAsia="微软雅黑" w:cs="微软雅黑"/>
        </w:rPr>
        <w:t>[25] 欧盟委员会能源总司｜</w:t>
      </w:r>
      <w:hyperlink r:id="rId35">
        <w:r>
          <w:rPr>
            <w:rFonts w:ascii="微软雅黑" w:hAnsi="微软雅黑" w:eastAsia="微软雅黑" w:cs="微软雅黑"/>
            <w:color w:val="087E89"/>
          </w:rPr>
          <w:t>能源联盟工作组召开会议，协调欧洲柴油供应与价格</w:t>
        </w:r>
      </w:hyperlink>
      <w:r>
        <w:rPr>
          <w:rFonts w:ascii="微软雅黑" w:hAnsi="微软雅黑" w:eastAsia="微软雅黑" w:cs="微软雅黑"/>
        </w:rPr>
      </w:r>
    </w:p>
    <w:p>
      <w:pPr>
        <w:spacing w:after="0" w:line="20" w:lineRule="exact"/>
      </w:pPr>
      <w:bookmarkStart w:id="26" w:name="source-11481"/>
      <w:bookmarkEnd w:id="26" w:name="source-11481"/>
    </w:p>
    <w:p>
      <w:pPr>
        <w:pStyle w:val="ListBullet"/>
      </w:pPr>
      <w:r>
        <w:rPr>
          <w:rFonts w:ascii="微软雅黑" w:hAnsi="微软雅黑" w:eastAsia="微软雅黑" w:cs="微软雅黑"/>
        </w:rPr>
        <w:t>[26] Interfax｜</w:t>
      </w:r>
      <w:hyperlink r:id="rId36">
        <w:r>
          <w:rPr>
            <w:rFonts w:ascii="微软雅黑" w:hAnsi="微软雅黑" w:eastAsia="微软雅黑" w:cs="微软雅黑"/>
            <w:color w:val="087E89"/>
          </w:rPr>
          <w:t>法国已向欧盟提议从储备中释放5000万桶柴油和5000万桶原油</w:t>
        </w:r>
      </w:hyperlink>
      <w:r>
        <w:rPr>
          <w:rFonts w:ascii="微软雅黑" w:hAnsi="微软雅黑" w:eastAsia="微软雅黑" w:cs="微软雅黑"/>
        </w:rPr>
      </w:r>
    </w:p>
    <w:p>
      <w:pPr>
        <w:spacing w:after="0" w:line="20" w:lineRule="exact"/>
      </w:pPr>
      <w:bookmarkStart w:id="27" w:name="source-11460"/>
      <w:bookmarkEnd w:id="27" w:name="source-11460"/>
    </w:p>
    <w:p>
      <w:pPr>
        <w:pStyle w:val="ListBullet"/>
      </w:pPr>
      <w:r>
        <w:rPr>
          <w:rFonts w:ascii="微软雅黑" w:hAnsi="微软雅黑" w:eastAsia="微软雅黑" w:cs="微软雅黑"/>
        </w:rPr>
        <w:t>[27] 清洁能源通讯社 · 来自意大利的报道 | 10月 '26｜</w:t>
      </w:r>
      <w:hyperlink r:id="rId37">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28" w:name="source-11444"/>
      <w:bookmarkEnd w:id="28" w:name="source-11444"/>
    </w:p>
    <w:p>
      <w:pPr>
        <w:pStyle w:val="ListBullet"/>
      </w:pPr>
      <w:r>
        <w:rPr>
          <w:rFonts w:ascii="微软雅黑" w:hAnsi="微软雅黑" w:eastAsia="微软雅黑" w:cs="微软雅黑"/>
        </w:rPr>
        <w:t>[28] 世界核新闻｜</w:t>
      </w:r>
      <w:hyperlink r:id="rId38">
        <w:r>
          <w:rPr>
            <w:rFonts w:ascii="微软雅黑" w:hAnsi="微软雅黑" w:eastAsia="微软雅黑" w:cs="微软雅黑"/>
            <w:color w:val="087E89"/>
          </w:rPr>
          <w:t>欣克利角B成为第二座移交退役处置的先进气冷堆（AGR）电站</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theedgemalaysia.com/node/820382" TargetMode="External"/><Relationship Id="rId12" Type="http://schemas.openxmlformats.org/officeDocument/2006/relationships/hyperlink" Target="https://finance.sina.com.cn/stock/usstock/c/2026-10-02/doc-initvyev4497371.shtml" TargetMode="External"/><Relationship Id="rId13" Type="http://schemas.openxmlformats.org/officeDocument/2006/relationships/hyperlink" Target="https://www.stcn.com/article/detail/4205938.html" TargetMode="External"/><Relationship Id="rId14" Type="http://schemas.openxmlformats.org/officeDocument/2006/relationships/hyperlink" Target="https://finance.sina.com.cn/world/2026-10-02/doc-initwent4411943.shtml" TargetMode="External"/><Relationship Id="rId15" Type="http://schemas.openxmlformats.org/officeDocument/2006/relationships/hyperlink" Target="https://www.vanguardngr.com/2026/10/putin-rejects-long-range-strikes-ceasefire-with-ukraine/" TargetMode="External"/><Relationship Id="rId16" Type="http://schemas.openxmlformats.org/officeDocument/2006/relationships/hyperlink" Target="https://www.eni.com/en-IT/media/press-release/2026/10/president-of-republic-of-argentina-milei-meets-eni-ceo-claudio-descalzi.html" TargetMode="External"/><Relationship Id="rId17" Type="http://schemas.openxmlformats.org/officeDocument/2006/relationships/hyperlink" Target="https://www.epe.gov.br/pt/imprensa/noticias/planejamento-da-epe-inova-com-recomendacao-inedita-de-tecnologia-dlr-para-transmissao-de-sao-paulo" TargetMode="External"/><Relationship Id="rId18" Type="http://schemas.openxmlformats.org/officeDocument/2006/relationships/hyperlink" Target="https://www.world-nuclear-news.org/articles/polish-entrepreneurs-invest-in-sges-bwrx-300-projects" TargetMode="External"/><Relationship Id="rId19" Type="http://schemas.openxmlformats.org/officeDocument/2006/relationships/hyperlink" Target="https://www.energyglobal.com/wind/02102026/scatec-starts-construction-of-900-mw-shadwan-wind-project-in-egypt/" TargetMode="External"/><Relationship Id="rId20" Type="http://schemas.openxmlformats.org/officeDocument/2006/relationships/hyperlink" Target="https://www.greenbuildingafrica.co.za/scatec-begins-construction-of-900-mw-shadwan-wind-farm-in-egypt/" TargetMode="External"/><Relationship Id="rId21" Type="http://schemas.openxmlformats.org/officeDocument/2006/relationships/hyperlink" Target="https://www.pv-magazine.com/2026/10/02/denmark-agrees-new-grid-connection-procedure/" TargetMode="External"/><Relationship Id="rId22" Type="http://schemas.openxmlformats.org/officeDocument/2006/relationships/hyperlink" Target="https://www.stdaily.com/web/gdxw/2026-10/02/content_591358.html" TargetMode="External"/><Relationship Id="rId23" Type="http://schemas.openxmlformats.org/officeDocument/2006/relationships/hyperlink" Target="https://www.nea.gov.cn/20261002/6cc9b8aed9db4bef91a5e89401def900/c.html" TargetMode="External"/><Relationship Id="rId24" Type="http://schemas.openxmlformats.org/officeDocument/2006/relationships/hyperlink" Target="https://theedgemalaysia.com/node/820270" TargetMode="External"/><Relationship Id="rId25" Type="http://schemas.openxmlformats.org/officeDocument/2006/relationships/hyperlink" Target="https://www.interfax.ru/world/1119852" TargetMode="External"/><Relationship Id="rId26" Type="http://schemas.openxmlformats.org/officeDocument/2006/relationships/hyperlink" Target="https://www.gov.br/anp/pt-br/canais_atendimento/imprensa/noticias-comunicados/anp-aprova-delimitacao-de-11-novos-setores-exploratorios-nas-bacias-da-margem-equatorial" TargetMode="External"/><Relationship Id="rId27" Type="http://schemas.openxmlformats.org/officeDocument/2006/relationships/hyperlink" Target="https://www.world-nuclear-news.org/articles/npcil-signs-mou-for-gujarat-nuclear-power-projects" TargetMode="External"/><Relationship Id="rId28" Type="http://schemas.openxmlformats.org/officeDocument/2006/relationships/hyperlink" Target="https://www.epe.gov.br/pt/imprensa/noticias/epe-publica-estudo-de-atendimento-a-regiao-sul-do-rio-grande-do-sul-com-solucoes-para-aumento-da-resiliencia-da-infraestrutura-local-diante-de-eventos-climaticos-extremos" TargetMode="External"/><Relationship Id="rId29" Type="http://schemas.openxmlformats.org/officeDocument/2006/relationships/hyperlink" Target="https://www.pv-magazine.com/2026/10/02/germany-approves-rules-for-storage-bidirectional-charging/" TargetMode="External"/><Relationship Id="rId30" Type="http://schemas.openxmlformats.org/officeDocument/2006/relationships/hyperlink" Target="http://finance.people.com.cn/n1/2026/1002/c1004-40808759.html" TargetMode="External"/><Relationship Id="rId31" Type="http://schemas.openxmlformats.org/officeDocument/2006/relationships/hyperlink" Target="http://www.ce.cn/cysc/newmain/yc/jsxw/202610/t20261002_3246910.shtml" TargetMode="External"/><Relationship Id="rId32" Type="http://schemas.openxmlformats.org/officeDocument/2006/relationships/hyperlink" Target="https://www.energyglobal.com/energy-storage/02102026/atmos-renewables-takes-1-gw-of-cis-projects-through-financial-close/" TargetMode="External"/><Relationship Id="rId33" Type="http://schemas.openxmlformats.org/officeDocument/2006/relationships/hyperlink" Target="https://reneweconomy.com.au/biggest-wind-farm-in-two-years-reaches-financial-close-the-ninth-in-last-12-months/?utm_source=rss&amp;utm_medium=rss&amp;utm_campaign=biggest-wind-farm-in-two-years-reaches-financial-close-the-ninth-in-last-12-months" TargetMode="External"/><Relationship Id="rId34" Type="http://schemas.openxmlformats.org/officeDocument/2006/relationships/hyperlink" Target="https://www.interfax.ru/business/1119994" TargetMode="External"/><Relationship Id="rId35" Type="http://schemas.openxmlformats.org/officeDocument/2006/relationships/hyperlink" Target="https://energy.ec.europa.eu/news/energy-union-task-force-meets-ensure-coordination-diesel-supplies-and-prices-europe-2026-10-02_en" TargetMode="External"/><Relationship Id="rId36" Type="http://schemas.openxmlformats.org/officeDocument/2006/relationships/hyperlink" Target="https://www.interfax.ru/business/1119971" TargetMode="External"/><Relationship Id="rId37" Type="http://schemas.openxmlformats.org/officeDocument/2006/relationships/hyperlink" Target="https://www.cleanenergywire.org/news/dispatch-italy-october-26" TargetMode="External"/><Relationship Id="rId38" Type="http://schemas.openxmlformats.org/officeDocument/2006/relationships/hyperlink" Target="https://www.world-nuclear-news.org/articles/hinkley-pointb-second-agr-transferred-for-decommiss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