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0" w:line="20" w:lineRule="atLeast"/>
        <w:ind w:firstLine="0" w:left="0" w:right="0"/>
      </w:pPr>
      <w:r>
        <w:rPr>
          <w:rFonts w:ascii="微软雅黑" w:hAnsi="微软雅黑" w:eastAsia="微软雅黑" w:cs="微软雅黑"/>
          <w:sz w:val="2"/>
        </w:rPr>
        <w:drawing>
          <wp:inline xmlns:a="http://schemas.openxmlformats.org/drawingml/2006/main" xmlns:pic="http://schemas.openxmlformats.org/drawingml/2006/picture">
            <wp:extent cx="7488000" cy="1058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488000" cy="10584000"/>
                    </a:xfrm>
                    <a:prstGeom prst="rect"/>
                  </pic:spPr>
                </pic:pic>
              </a:graphicData>
            </a:graphic>
          </wp:inline>
        </w:drawing>
      </w:r>
    </w:p>
    <w:p>
      <w:pPr>
        <w:spacing w:before="0" w:after="0" w:line="20" w:lineRule="exact"/>
        <w:sectPr>
          <w:pgSz w:w="11906" w:h="16838"/>
          <w:pgMar w:top="0" w:right="0" w:bottom="0" w:left="0" w:header="720" w:footer="720" w:gutter="0"/>
          <w:cols w:space="720"/>
          <w:docGrid w:linePitch="360"/>
        </w:sectPr>
      </w:pPr>
    </w:p>
    <w:p>
      <w:pPr>
        <w:spacing w:after="180"/>
      </w:pPr>
      <w:r>
        <w:rPr>
          <w:rFonts w:ascii="微软雅黑" w:hAnsi="微软雅黑" w:eastAsia="微软雅黑" w:cs="微软雅黑"/>
          <w:b/>
          <w:sz w:val="30"/>
        </w:rPr>
        <w:t>报告目录</w:t>
      </w:r>
    </w:p>
    <w:p>
      <w:pPr>
        <w:pStyle w:val="ListBullet"/>
        <w:spacing w:after="60"/>
      </w:pPr>
      <w:r>
        <w:rPr>
          <w:rFonts w:ascii="微软雅黑" w:hAnsi="微软雅黑" w:eastAsia="微软雅黑" w:cs="微软雅黑"/>
        </w:rPr>
        <w:t>核心摘要</w:t>
      </w:r>
    </w:p>
    <w:p>
      <w:pPr>
        <w:pStyle w:val="ListBullet"/>
        <w:spacing w:after="60"/>
      </w:pPr>
      <w:r>
        <w:rPr>
          <w:rFonts w:ascii="微软雅黑" w:hAnsi="微软雅黑" w:eastAsia="微软雅黑" w:cs="微软雅黑"/>
        </w:rPr>
        <w:t>关键数据</w:t>
      </w:r>
    </w:p>
    <w:p>
      <w:pPr>
        <w:pStyle w:val="ListBullet"/>
        <w:spacing w:after="60"/>
      </w:pPr>
      <w:r>
        <w:rPr>
          <w:rFonts w:ascii="微软雅黑" w:hAnsi="微软雅黑" w:eastAsia="微软雅黑" w:cs="微软雅黑"/>
        </w:rPr>
        <w:t>国际重点事件</w:t>
      </w:r>
    </w:p>
    <w:p>
      <w:pPr>
        <w:pStyle w:val="ListBullet"/>
        <w:spacing w:after="60"/>
      </w:pPr>
      <w:r>
        <w:rPr>
          <w:rFonts w:ascii="微软雅黑" w:hAnsi="微软雅黑" w:eastAsia="微软雅黑" w:cs="微软雅黑"/>
        </w:rPr>
        <w:t>中国重点事件</w:t>
      </w:r>
    </w:p>
    <w:p>
      <w:pPr>
        <w:pStyle w:val="ListBullet"/>
        <w:spacing w:after="60"/>
      </w:pPr>
      <w:r>
        <w:rPr>
          <w:rFonts w:ascii="微软雅黑" w:hAnsi="微软雅黑" w:eastAsia="微软雅黑" w:cs="微软雅黑"/>
        </w:rPr>
        <w:t>风险与后续观察</w:t>
      </w:r>
    </w:p>
    <w:p>
      <w:pPr>
        <w:pStyle w:val="ListBullet"/>
        <w:spacing w:after="60"/>
      </w:pPr>
      <w:r>
        <w:rPr>
          <w:rFonts w:ascii="微软雅黑" w:hAnsi="微软雅黑" w:eastAsia="微软雅黑" w:cs="微软雅黑"/>
        </w:rPr>
        <w:t>资料覆盖说明</w:t>
      </w:r>
    </w:p>
    <w:p>
      <w:pPr>
        <w:pStyle w:val="ListBullet"/>
        <w:spacing w:after="60"/>
      </w:pPr>
      <w:r>
        <w:rPr>
          <w:rFonts w:ascii="微软雅黑" w:hAnsi="微软雅黑" w:eastAsia="微软雅黑" w:cs="微软雅黑"/>
        </w:rPr>
        <w:t>资料来源</w:t>
      </w:r>
    </w:p>
    <w:p>
      <w:pPr>
        <w:spacing w:after="280"/>
      </w:pPr>
    </w:p>
    <w:p>
      <w:pPr>
        <w:ind w:firstLine="420"/>
      </w:pPr>
      <w:r>
        <w:rPr>
          <w:rFonts w:ascii="微软雅黑" w:hAnsi="微软雅黑" w:eastAsia="微软雅黑" w:cs="微软雅黑"/>
        </w:rPr>
        <w:t>信息覆盖时段：2026-09-28 00:00 至 2026-09-29 00:00（不含），Asia/Shanghai。</w:t>
      </w:r>
    </w:p>
    <w:p>
      <w:pPr/>
      <w:r>
        <w:rPr>
          <w:rFonts w:ascii="微软雅黑" w:hAnsi="微软雅黑" w:eastAsia="微软雅黑" w:cs="微软雅黑"/>
        </w:rPr>
        <w:t>统计区间：2026-09-28 至 2026-09-29（结束日不含，北京时间）</w:t>
      </w:r>
    </w:p>
    <w:p>
      <w:pPr>
        <w:ind w:firstLine="420"/>
      </w:pPr>
      <w:r>
        <w:rPr>
          <w:rFonts w:ascii="微软雅黑" w:hAnsi="微软雅黑" w:eastAsia="微软雅黑" w:cs="微软雅黑"/>
        </w:rPr>
        <w:t>资料更新截止：2026-09-29 04:00（北京时间）</w:t>
      </w:r>
    </w:p>
    <w:p>
      <w:pPr>
        <w:pStyle w:val="Heading2"/>
      </w:pPr>
      <w:r>
        <w:rPr>
          <w:rFonts w:ascii="微软雅黑" w:hAnsi="微软雅黑" w:eastAsia="微软雅黑" w:cs="微软雅黑"/>
        </w:rPr>
        <w:t>核心摘要</w:t>
      </w:r>
    </w:p>
    <w:p>
      <w:pPr>
        <w:pStyle w:val="ListBullet"/>
      </w:pPr>
      <w:r>
        <w:rPr>
          <w:rFonts w:ascii="微软雅黑" w:hAnsi="微软雅黑" w:eastAsia="微软雅黑" w:cs="微软雅黑"/>
        </w:rPr>
        <w:t xml:space="preserve">沙特东西输油管道遇袭停运，沙特调整出口安排 </w:t>
      </w:r>
      <w:hyperlink w:anchor="source-8255">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8227">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霍尔木兹危机推升燃料价格，电气化经济性增强 </w:t>
      </w:r>
      <w:hyperlink w:anchor="source-7911">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ENTSO-E就“面向未来的电力账单”提案发布立场 </w:t>
      </w:r>
      <w:hyperlink w:anchor="source-8372">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印度电力缺口扩大，燃煤电厂满负荷运行消耗库存 </w:t>
      </w:r>
      <w:hyperlink w:anchor="source-8309">
        <w:r>
          <w:rPr>
            <w:rFonts w:ascii="微软雅黑" w:hAnsi="微软雅黑" w:eastAsia="微软雅黑" w:cs="微软雅黑"/>
            <w:color w:val="087E89"/>
          </w:rPr>
          <w:t>5</w:t>
        </w:r>
      </w:hyperlink>
      <w:r>
        <w:rPr>
          <w:rFonts w:ascii="微软雅黑" w:hAnsi="微软雅黑" w:eastAsia="微软雅黑" w:cs="微软雅黑"/>
        </w:rPr>
        <w:t xml:space="preserve"> </w:t>
      </w:r>
      <w:hyperlink w:anchor="source-8250">
        <w:r>
          <w:rPr>
            <w:rFonts w:ascii="微软雅黑" w:hAnsi="微软雅黑" w:eastAsia="微软雅黑" w:cs="微软雅黑"/>
            <w:color w:val="087E89"/>
          </w:rPr>
          <w:t>6</w:t>
        </w:r>
      </w:hyperlink>
      <w:r>
        <w:rPr>
          <w:rFonts w:ascii="微软雅黑" w:hAnsi="微软雅黑" w:eastAsia="微软雅黑" w:cs="微软雅黑"/>
        </w:rPr>
      </w:r>
    </w:p>
    <w:p>
      <w:pPr>
        <w:pStyle w:val="ListBullet"/>
      </w:pPr>
      <w:r>
        <w:rPr>
          <w:rFonts w:ascii="微软雅黑" w:hAnsi="微软雅黑" w:eastAsia="微软雅黑" w:cs="微软雅黑"/>
        </w:rPr>
        <w:t xml:space="preserve">欧盟草案拟将逆变器限制转向个别高风险供应商评估 </w:t>
      </w:r>
      <w:hyperlink w:anchor="source-8222">
        <w:r>
          <w:rPr>
            <w:rFonts w:ascii="微软雅黑" w:hAnsi="微软雅黑" w:eastAsia="微软雅黑" w:cs="微软雅黑"/>
            <w:color w:val="087E89"/>
          </w:rPr>
          <w:t>7</w:t>
        </w:r>
      </w:hyperlink>
      <w:r>
        <w:rPr>
          <w:rFonts w:ascii="微软雅黑" w:hAnsi="微软雅黑" w:eastAsia="微软雅黑" w:cs="微软雅黑"/>
        </w:rPr>
      </w:r>
    </w:p>
    <w:p>
      <w:pPr>
        <w:pStyle w:val="Heading2"/>
        <w:keepNext/>
      </w:pPr>
      <w:r>
        <w:rPr>
          <w:rFonts w:ascii="微软雅黑" w:hAnsi="微软雅黑" w:eastAsia="微软雅黑" w:cs="微软雅黑"/>
        </w:rPr>
        <w:t>关键数据</w:t>
      </w:r>
    </w:p>
    <w:tbl>
      <w:tblPr>
        <w:tblStyle w:val="TableGrid"/>
        <w:tblW w:type="auto" w:w="0"/>
        <w:tblLook w:firstColumn="1" w:firstRow="1" w:lastColumn="0" w:lastRow="0" w:noHBand="0" w:noVBand="1" w:val="04A0"/>
      </w:tblPr>
      <w:tblGrid>
        <w:gridCol w:w="2268"/>
        <w:gridCol w:w="2268"/>
        <w:gridCol w:w="2268"/>
        <w:gridCol w:w="2268"/>
      </w:tblGrid>
      <w:tr>
        <w:trPr>
          <w:cantSplit/>
          <w:tblHeader/>
        </w:trPr>
        <w:tc>
          <w:tcPr>
            <w:tcW w:type="dxa" w:w="2268"/>
          </w:tcPr>
          <w:p>
            <w:pPr>
              <w:spacing w:after="40"/>
            </w:pPr>
            <w:r>
              <w:rPr>
                <w:rFonts w:ascii="微软雅黑" w:hAnsi="微软雅黑" w:eastAsia="微软雅黑" w:cs="微软雅黑"/>
                <w:b/>
              </w:rPr>
              <w:t>指标</w:t>
            </w:r>
          </w:p>
        </w:tc>
        <w:tc>
          <w:tcPr>
            <w:tcW w:type="dxa" w:w="2268"/>
          </w:tcPr>
          <w:p>
            <w:pPr>
              <w:spacing w:after="40"/>
            </w:pPr>
            <w:r>
              <w:rPr>
                <w:rFonts w:ascii="微软雅黑" w:hAnsi="微软雅黑" w:eastAsia="微软雅黑" w:cs="微软雅黑"/>
                <w:b/>
              </w:rPr>
              <w:t>数值及单位</w:t>
            </w:r>
          </w:p>
        </w:tc>
        <w:tc>
          <w:tcPr>
            <w:tcW w:type="dxa" w:w="2268"/>
          </w:tcPr>
          <w:p>
            <w:pPr>
              <w:spacing w:after="40"/>
            </w:pPr>
            <w:r>
              <w:rPr>
                <w:rFonts w:ascii="微软雅黑" w:hAnsi="微软雅黑" w:eastAsia="微软雅黑" w:cs="微软雅黑"/>
                <w:b/>
              </w:rPr>
              <w:t>数据时间</w:t>
            </w:r>
          </w:p>
        </w:tc>
        <w:tc>
          <w:tcPr>
            <w:tcW w:type="dxa" w:w="2268"/>
          </w:tcPr>
          <w:p>
            <w:pPr>
              <w:spacing w:after="40"/>
            </w:pPr>
            <w:r>
              <w:rPr>
                <w:rFonts w:ascii="微软雅黑" w:hAnsi="微软雅黑" w:eastAsia="微软雅黑" w:cs="微软雅黑"/>
                <w:b/>
              </w:rPr>
              <w:t>来源</w:t>
            </w:r>
          </w:p>
        </w:tc>
      </w:tr>
      <w:tr>
        <w:trPr>
          <w:cantSplit/>
        </w:trPr>
        <w:tc>
          <w:tcPr>
            <w:tcW w:type="dxa" w:w="2268"/>
          </w:tcPr>
          <w:p>
            <w:pPr>
              <w:spacing w:after="40"/>
            </w:pPr>
            <w:r>
              <w:rPr>
                <w:rFonts w:ascii="微软雅黑" w:hAnsi="微软雅黑" w:eastAsia="微软雅黑" w:cs="微软雅黑"/>
              </w:rPr>
              <w:t>沙特东西主干输油管道日运力</w:t>
            </w:r>
          </w:p>
        </w:tc>
        <w:tc>
          <w:tcPr>
            <w:tcW w:type="dxa" w:w="2268"/>
          </w:tcPr>
          <w:p>
            <w:pPr>
              <w:spacing w:after="40"/>
            </w:pPr>
            <w:r>
              <w:rPr>
                <w:rFonts w:ascii="微软雅黑" w:hAnsi="微软雅黑" w:eastAsia="微软雅黑" w:cs="微软雅黑"/>
              </w:rPr>
              <w:t>260–400万桶</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8255">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8227">
              <w:r>
                <w:rPr>
                  <w:rFonts w:ascii="微软雅黑" w:hAnsi="微软雅黑" w:eastAsia="微软雅黑" w:cs="微软雅黑"/>
                  <w:color w:val="087E89"/>
                </w:rPr>
                <w:t>2</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占全球供给比例</w:t>
            </w:r>
          </w:p>
        </w:tc>
        <w:tc>
          <w:tcPr>
            <w:tcW w:type="dxa" w:w="2268"/>
          </w:tcPr>
          <w:p>
            <w:pPr>
              <w:spacing w:after="40"/>
            </w:pPr>
            <w:r>
              <w:rPr>
                <w:rFonts w:ascii="微软雅黑" w:hAnsi="微软雅黑" w:eastAsia="微软雅黑" w:cs="微软雅黑"/>
              </w:rPr>
              <w:t>约4%</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8255">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8227">
              <w:r>
                <w:rPr>
                  <w:rFonts w:ascii="微软雅黑" w:hAnsi="微软雅黑" w:eastAsia="微软雅黑" w:cs="微软雅黑"/>
                  <w:color w:val="087E89"/>
                </w:rPr>
                <w:t>2</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修复周期估计</w:t>
            </w:r>
          </w:p>
        </w:tc>
        <w:tc>
          <w:tcPr>
            <w:tcW w:type="dxa" w:w="2268"/>
          </w:tcPr>
          <w:p>
            <w:pPr>
              <w:spacing w:after="40"/>
            </w:pPr>
            <w:r>
              <w:rPr>
                <w:rFonts w:ascii="微软雅黑" w:hAnsi="微软雅黑" w:eastAsia="微软雅黑" w:cs="微软雅黑"/>
              </w:rPr>
              <w:t>三至五周</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8255">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8227">
              <w:r>
                <w:rPr>
                  <w:rFonts w:ascii="微软雅黑" w:hAnsi="微软雅黑" w:eastAsia="微软雅黑" w:cs="微软雅黑"/>
                  <w:color w:val="087E89"/>
                </w:rPr>
                <w:t>2</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加速电气化情景下2035年全球能源进口支出节省</w:t>
            </w:r>
          </w:p>
        </w:tc>
        <w:tc>
          <w:tcPr>
            <w:tcW w:type="dxa" w:w="2268"/>
          </w:tcPr>
          <w:p>
            <w:pPr>
              <w:spacing w:after="40"/>
            </w:pPr>
            <w:r>
              <w:rPr>
                <w:rFonts w:ascii="微软雅黑" w:hAnsi="微软雅黑" w:eastAsia="微软雅黑" w:cs="微软雅黑"/>
              </w:rPr>
              <w:t>相比2025年水平降低逾4000亿美元</w:t>
            </w:r>
          </w:p>
        </w:tc>
        <w:tc>
          <w:tcPr>
            <w:tcW w:type="dxa" w:w="2268"/>
          </w:tcPr>
          <w:p>
            <w:pPr>
              <w:spacing w:after="40"/>
            </w:pPr>
            <w:r>
              <w:rPr>
                <w:rFonts w:ascii="微软雅黑" w:hAnsi="微软雅黑" w:eastAsia="微软雅黑" w:cs="微软雅黑"/>
              </w:rPr>
              <w:t>2035年</w:t>
            </w:r>
          </w:p>
        </w:tc>
        <w:tc>
          <w:tcPr>
            <w:tcW w:type="dxa" w:w="2268"/>
          </w:tcPr>
          <w:p>
            <w:pPr>
              <w:spacing w:after="40"/>
            </w:pPr>
            <w:r>
              <w:rPr>
                <w:rFonts w:ascii="微软雅黑" w:hAnsi="微软雅黑" w:eastAsia="微软雅黑" w:cs="微软雅黑"/>
              </w:rPr>
            </w:r>
            <w:hyperlink w:anchor="source-7911">
              <w:r>
                <w:rPr>
                  <w:rFonts w:ascii="微软雅黑" w:hAnsi="微软雅黑" w:eastAsia="微软雅黑" w:cs="微软雅黑"/>
                  <w:color w:val="087E89"/>
                </w:rPr>
                <w:t>3</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加速电气化情景下2035年全球石油消费减少</w:t>
            </w:r>
          </w:p>
        </w:tc>
        <w:tc>
          <w:tcPr>
            <w:tcW w:type="dxa" w:w="2268"/>
          </w:tcPr>
          <w:p>
            <w:pPr>
              <w:spacing w:after="40"/>
            </w:pPr>
            <w:r>
              <w:rPr>
                <w:rFonts w:ascii="微软雅黑" w:hAnsi="微软雅黑" w:eastAsia="微软雅黑" w:cs="微软雅黑"/>
              </w:rPr>
              <w:t>比缓慢电气化情景每日减少1800万桶</w:t>
            </w:r>
          </w:p>
        </w:tc>
        <w:tc>
          <w:tcPr>
            <w:tcW w:type="dxa" w:w="2268"/>
          </w:tcPr>
          <w:p>
            <w:pPr>
              <w:spacing w:after="40"/>
            </w:pPr>
            <w:r>
              <w:rPr>
                <w:rFonts w:ascii="微软雅黑" w:hAnsi="微软雅黑" w:eastAsia="微软雅黑" w:cs="微软雅黑"/>
              </w:rPr>
              <w:t>2035年</w:t>
            </w:r>
          </w:p>
        </w:tc>
        <w:tc>
          <w:tcPr>
            <w:tcW w:type="dxa" w:w="2268"/>
          </w:tcPr>
          <w:p>
            <w:pPr>
              <w:spacing w:after="40"/>
            </w:pPr>
            <w:r>
              <w:rPr>
                <w:rFonts w:ascii="微软雅黑" w:hAnsi="微软雅黑" w:eastAsia="微软雅黑" w:cs="微软雅黑"/>
              </w:rPr>
            </w:r>
            <w:hyperlink w:anchor="source-7911">
              <w:r>
                <w:rPr>
                  <w:rFonts w:ascii="微软雅黑" w:hAnsi="微软雅黑" w:eastAsia="微软雅黑" w:cs="微软雅黑"/>
                  <w:color w:val="087E89"/>
                </w:rPr>
                <w:t>3</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印度本月日落后电力缺口峰值</w:t>
            </w:r>
          </w:p>
        </w:tc>
        <w:tc>
          <w:tcPr>
            <w:tcW w:type="dxa" w:w="2268"/>
          </w:tcPr>
          <w:p>
            <w:pPr>
              <w:spacing w:after="40"/>
            </w:pPr>
            <w:r>
              <w:rPr>
                <w:rFonts w:ascii="微软雅黑" w:hAnsi="微软雅黑" w:eastAsia="微软雅黑" w:cs="微软雅黑"/>
              </w:rPr>
              <w:t>7.7吉瓦</w:t>
            </w:r>
          </w:p>
        </w:tc>
        <w:tc>
          <w:tcPr>
            <w:tcW w:type="dxa" w:w="2268"/>
          </w:tcPr>
          <w:p>
            <w:pPr>
              <w:spacing w:after="40"/>
            </w:pPr>
            <w:r>
              <w:rPr>
                <w:rFonts w:ascii="微软雅黑" w:hAnsi="微软雅黑" w:eastAsia="微软雅黑" w:cs="微软雅黑"/>
              </w:rPr>
              <w:t>本月</w:t>
            </w:r>
          </w:p>
        </w:tc>
        <w:tc>
          <w:tcPr>
            <w:tcW w:type="dxa" w:w="2268"/>
          </w:tcPr>
          <w:p>
            <w:pPr>
              <w:spacing w:after="40"/>
            </w:pPr>
            <w:r>
              <w:rPr>
                <w:rFonts w:ascii="微软雅黑" w:hAnsi="微软雅黑" w:eastAsia="微软雅黑" w:cs="微软雅黑"/>
              </w:rPr>
            </w:r>
            <w:hyperlink w:anchor="source-8309">
              <w:r>
                <w:rPr>
                  <w:rFonts w:ascii="微软雅黑" w:hAnsi="微软雅黑" w:eastAsia="微软雅黑" w:cs="微软雅黑"/>
                  <w:color w:val="087E89"/>
                </w:rPr>
                <w:t>5</w:t>
              </w:r>
            </w:hyperlink>
            <w:r>
              <w:rPr>
                <w:rFonts w:ascii="微软雅黑" w:hAnsi="微软雅黑" w:eastAsia="微软雅黑" w:cs="微软雅黑"/>
              </w:rPr>
              <w:t xml:space="preserve"> </w:t>
            </w:r>
            <w:hyperlink w:anchor="source-8250">
              <w:r>
                <w:rPr>
                  <w:rFonts w:ascii="微软雅黑" w:hAnsi="微软雅黑" w:eastAsia="微软雅黑" w:cs="微软雅黑"/>
                  <w:color w:val="087E89"/>
                </w:rPr>
                <w:t>6</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塔塔电力蒙德拉电厂装机</w:t>
            </w:r>
          </w:p>
        </w:tc>
        <w:tc>
          <w:tcPr>
            <w:tcW w:type="dxa" w:w="2268"/>
          </w:tcPr>
          <w:p>
            <w:pPr>
              <w:spacing w:after="40"/>
            </w:pPr>
            <w:r>
              <w:rPr>
                <w:rFonts w:ascii="微软雅黑" w:hAnsi="微软雅黑" w:eastAsia="微软雅黑" w:cs="微软雅黑"/>
              </w:rPr>
              <w:t>4吉瓦</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8309">
              <w:r>
                <w:rPr>
                  <w:rFonts w:ascii="微软雅黑" w:hAnsi="微软雅黑" w:eastAsia="微软雅黑" w:cs="微软雅黑"/>
                  <w:color w:val="087E89"/>
                </w:rPr>
                <w:t>5</w:t>
              </w:r>
            </w:hyperlink>
            <w:r>
              <w:rPr>
                <w:rFonts w:ascii="微软雅黑" w:hAnsi="微软雅黑" w:eastAsia="微软雅黑" w:cs="微软雅黑"/>
              </w:rPr>
              <w:t xml:space="preserve"> </w:t>
            </w:r>
            <w:hyperlink w:anchor="source-8250">
              <w:r>
                <w:rPr>
                  <w:rFonts w:ascii="微软雅黑" w:hAnsi="微软雅黑" w:eastAsia="微软雅黑" w:cs="微软雅黑"/>
                  <w:color w:val="087E89"/>
                </w:rPr>
                <w:t>6</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对等降税商品规模</w:t>
            </w:r>
          </w:p>
        </w:tc>
        <w:tc>
          <w:tcPr>
            <w:tcW w:type="dxa" w:w="2268"/>
          </w:tcPr>
          <w:p>
            <w:pPr>
              <w:spacing w:after="40"/>
            </w:pPr>
            <w:r>
              <w:rPr>
                <w:rFonts w:ascii="微软雅黑" w:hAnsi="微软雅黑" w:eastAsia="微软雅黑" w:cs="微软雅黑"/>
              </w:rPr>
              <w:t>约300亿美元对300亿美元</w:t>
            </w:r>
          </w:p>
        </w:tc>
        <w:tc>
          <w:tcPr>
            <w:tcW w:type="dxa" w:w="2268"/>
          </w:tcPr>
          <w:p>
            <w:pPr>
              <w:spacing w:after="40"/>
            </w:pPr>
            <w:r>
              <w:rPr>
                <w:rFonts w:ascii="微软雅黑" w:hAnsi="微软雅黑" w:eastAsia="微软雅黑" w:cs="微软雅黑"/>
              </w:rPr>
              <w:t>2026-05</w:t>
            </w:r>
          </w:p>
        </w:tc>
        <w:tc>
          <w:tcPr>
            <w:tcW w:type="dxa" w:w="2268"/>
          </w:tcPr>
          <w:p>
            <w:pPr>
              <w:spacing w:after="40"/>
            </w:pPr>
            <w:r>
              <w:rPr>
                <w:rFonts w:ascii="微软雅黑" w:hAnsi="微软雅黑" w:eastAsia="微软雅黑" w:cs="微软雅黑"/>
              </w:rPr>
            </w:r>
            <w:hyperlink w:anchor="source-8080">
              <w:r>
                <w:rPr>
                  <w:rFonts w:ascii="微软雅黑" w:hAnsi="微软雅黑" w:eastAsia="微软雅黑" w:cs="微软雅黑"/>
                  <w:color w:val="087E89"/>
                </w:rPr>
                <w:t>9</w:t>
              </w:r>
            </w:hyperlink>
            <w:r>
              <w:rPr>
                <w:rFonts w:ascii="微软雅黑" w:hAnsi="微软雅黑" w:eastAsia="微软雅黑" w:cs="微软雅黑"/>
              </w:rPr>
              <w:t xml:space="preserve"> </w:t>
            </w:r>
            <w:hyperlink w:anchor="source-7990">
              <w:r>
                <w:rPr>
                  <w:rFonts w:ascii="微软雅黑" w:hAnsi="微软雅黑" w:eastAsia="微软雅黑" w:cs="微软雅黑"/>
                  <w:color w:val="087E89"/>
                </w:rPr>
                <w:t>10</w:t>
              </w:r>
            </w:hyperlink>
            <w:r>
              <w:rPr>
                <w:rFonts w:ascii="微软雅黑" w:hAnsi="微软雅黑" w:eastAsia="微软雅黑" w:cs="微软雅黑"/>
              </w:rPr>
              <w:t xml:space="preserve"> </w:t>
            </w:r>
            <w:hyperlink w:anchor="source-7948">
              <w:r>
                <w:rPr>
                  <w:rFonts w:ascii="微软雅黑" w:hAnsi="微软雅黑" w:eastAsia="微软雅黑" w:cs="微软雅黑"/>
                  <w:color w:val="087E89"/>
                </w:rPr>
                <w:t>11</w:t>
              </w:r>
            </w:hyperlink>
            <w:r>
              <w:rPr>
                <w:rFonts w:ascii="微软雅黑" w:hAnsi="微软雅黑" w:eastAsia="微软雅黑" w:cs="微软雅黑"/>
              </w:rPr>
              <w:t xml:space="preserve"> </w:t>
            </w:r>
            <w:hyperlink w:anchor="source-8106">
              <w:r>
                <w:rPr>
                  <w:rFonts w:ascii="微软雅黑" w:hAnsi="微软雅黑" w:eastAsia="微软雅黑" w:cs="微软雅黑"/>
                  <w:color w:val="087E89"/>
                </w:rPr>
                <w:t>12</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降至最惠国税率的产品比例</w:t>
            </w:r>
          </w:p>
        </w:tc>
        <w:tc>
          <w:tcPr>
            <w:tcW w:type="dxa" w:w="2268"/>
          </w:tcPr>
          <w:p>
            <w:pPr>
              <w:spacing w:after="40"/>
            </w:pPr>
            <w:r>
              <w:rPr>
                <w:rFonts w:ascii="微软雅黑" w:hAnsi="微软雅黑" w:eastAsia="微软雅黑" w:cs="微软雅黑"/>
              </w:rPr>
              <w:t>各自约90%</w:t>
            </w:r>
          </w:p>
        </w:tc>
        <w:tc>
          <w:tcPr>
            <w:tcW w:type="dxa" w:w="2268"/>
          </w:tcPr>
          <w:p>
            <w:pPr>
              <w:spacing w:after="40"/>
            </w:pPr>
            <w:r>
              <w:rPr>
                <w:rFonts w:ascii="微软雅黑" w:hAnsi="微软雅黑" w:eastAsia="微软雅黑" w:cs="微软雅黑"/>
              </w:rPr>
              <w:t>2026-05</w:t>
            </w:r>
          </w:p>
        </w:tc>
        <w:tc>
          <w:tcPr>
            <w:tcW w:type="dxa" w:w="2268"/>
          </w:tcPr>
          <w:p>
            <w:pPr>
              <w:spacing w:after="40"/>
            </w:pPr>
            <w:r>
              <w:rPr>
                <w:rFonts w:ascii="微软雅黑" w:hAnsi="微软雅黑" w:eastAsia="微软雅黑" w:cs="微软雅黑"/>
              </w:rPr>
            </w:r>
            <w:hyperlink w:anchor="source-8080">
              <w:r>
                <w:rPr>
                  <w:rFonts w:ascii="微软雅黑" w:hAnsi="微软雅黑" w:eastAsia="微软雅黑" w:cs="微软雅黑"/>
                  <w:color w:val="087E89"/>
                </w:rPr>
                <w:t>9</w:t>
              </w:r>
            </w:hyperlink>
            <w:r>
              <w:rPr>
                <w:rFonts w:ascii="微软雅黑" w:hAnsi="微软雅黑" w:eastAsia="微软雅黑" w:cs="微软雅黑"/>
              </w:rPr>
              <w:t xml:space="preserve"> </w:t>
            </w:r>
            <w:hyperlink w:anchor="source-7990">
              <w:r>
                <w:rPr>
                  <w:rFonts w:ascii="微软雅黑" w:hAnsi="微软雅黑" w:eastAsia="微软雅黑" w:cs="微软雅黑"/>
                  <w:color w:val="087E89"/>
                </w:rPr>
                <w:t>10</w:t>
              </w:r>
            </w:hyperlink>
            <w:r>
              <w:rPr>
                <w:rFonts w:ascii="微软雅黑" w:hAnsi="微软雅黑" w:eastAsia="微软雅黑" w:cs="微软雅黑"/>
              </w:rPr>
              <w:t xml:space="preserve"> </w:t>
            </w:r>
            <w:hyperlink w:anchor="source-7948">
              <w:r>
                <w:rPr>
                  <w:rFonts w:ascii="微软雅黑" w:hAnsi="微软雅黑" w:eastAsia="微软雅黑" w:cs="微软雅黑"/>
                  <w:color w:val="087E89"/>
                </w:rPr>
                <w:t>11</w:t>
              </w:r>
            </w:hyperlink>
            <w:r>
              <w:rPr>
                <w:rFonts w:ascii="微软雅黑" w:hAnsi="微软雅黑" w:eastAsia="微软雅黑" w:cs="微软雅黑"/>
              </w:rPr>
              <w:t xml:space="preserve"> </w:t>
            </w:r>
            <w:hyperlink w:anchor="source-8106">
              <w:r>
                <w:rPr>
                  <w:rFonts w:ascii="微软雅黑" w:hAnsi="微软雅黑" w:eastAsia="微软雅黑" w:cs="微软雅黑"/>
                  <w:color w:val="087E89"/>
                </w:rPr>
                <w:t>12</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到2028年累计节能量</w:t>
            </w:r>
          </w:p>
        </w:tc>
        <w:tc>
          <w:tcPr>
            <w:tcW w:type="dxa" w:w="2268"/>
          </w:tcPr>
          <w:p>
            <w:pPr>
              <w:spacing w:after="40"/>
            </w:pPr>
            <w:r>
              <w:rPr>
                <w:rFonts w:ascii="微软雅黑" w:hAnsi="微软雅黑" w:eastAsia="微软雅黑" w:cs="微软雅黑"/>
              </w:rPr>
              <w:t>约400万吨标准煤</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8034">
              <w:r>
                <w:rPr>
                  <w:rFonts w:ascii="微软雅黑" w:hAnsi="微软雅黑" w:eastAsia="微软雅黑" w:cs="微软雅黑"/>
                  <w:color w:val="087E89"/>
                </w:rPr>
                <w:t>13</w:t>
              </w:r>
            </w:hyperlink>
            <w:r>
              <w:rPr>
                <w:rFonts w:ascii="微软雅黑" w:hAnsi="微软雅黑" w:eastAsia="微软雅黑" w:cs="微软雅黑"/>
              </w:rPr>
            </w:r>
          </w:p>
        </w:tc>
      </w:tr>
    </w:tbl>
    <w:p>
      <w:pPr>
        <w:spacing w:after="120"/>
      </w:pPr>
    </w:p>
    <w:p>
      <w:pPr>
        <w:pStyle w:val="Heading2"/>
      </w:pPr>
      <w:r>
        <w:rPr>
          <w:rFonts w:ascii="微软雅黑" w:hAnsi="微软雅黑" w:eastAsia="微软雅黑" w:cs="微软雅黑"/>
        </w:rPr>
        <w:t>国际重点事件</w:t>
      </w:r>
    </w:p>
    <w:p>
      <w:pPr>
        <w:pStyle w:val="Heading3"/>
      </w:pPr>
      <w:r>
        <w:rPr>
          <w:rFonts w:ascii="微软雅黑" w:hAnsi="微软雅黑" w:eastAsia="微软雅黑" w:cs="微软雅黑"/>
        </w:rPr>
        <w:t>1. 霍尔木兹危机推升燃料价格，电气化经济性增强</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高油价抬升燃料使用环节的成本，使更多用能环节加快电气化的经济性提升；若燃料进口国显著加快电气化，2035年全球能源进口支出相比2025年水平可降低逾4000亿美元。</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文章指出，霍尔木兹海峡危机推升的燃料价格提升了更多用能环节电气化的经济性。在该加速情景下，2035年全球石油消费将比缓慢电气化情景每日减少1800万桶，主要来自电动汽车的快速普及。</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加速电气化情景下，2035年全球能源进口支出相比2025年水平降低逾4000亿美元；2035年全球石油消费每日减少1800万桶。</w:t>
      </w:r>
    </w:p>
    <w:p>
      <w:pPr>
        <w:ind w:firstLine="420"/>
      </w:pPr>
      <w:r>
        <w:rPr>
          <w:rFonts w:ascii="微软雅黑" w:hAnsi="微软雅黑" w:eastAsia="微软雅黑" w:cs="微软雅黑"/>
        </w:rPr>
        <w:t>来源：</w:t>
      </w:r>
      <w:hyperlink w:anchor="source-7911">
        <w:r>
          <w:rPr>
            <w:rFonts w:ascii="微软雅黑" w:hAnsi="微软雅黑" w:eastAsia="微软雅黑" w:cs="微软雅黑"/>
            <w:color w:val="087E89"/>
          </w:rPr>
          <w:t>3</w:t>
        </w:r>
      </w:hyperlink>
      <w:r>
        <w:rPr>
          <w:rFonts w:ascii="微软雅黑" w:hAnsi="微软雅黑" w:eastAsia="微软雅黑" w:cs="微软雅黑"/>
        </w:rPr>
      </w:r>
    </w:p>
    <w:p>
      <w:pPr>
        <w:pStyle w:val="Heading3"/>
      </w:pPr>
      <w:r>
        <w:rPr>
          <w:rFonts w:ascii="微软雅黑" w:hAnsi="微软雅黑" w:eastAsia="微软雅黑" w:cs="微软雅黑"/>
        </w:rPr>
        <w:t>2. 美方称周五晚2200万桶原油经霍尔木兹海峡出口</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美国国防官员证实上周五晚间有2200万桶原油经霍尔木兹海峡出口，特朗普称当日为“创纪录数量”；伊朗部队袭击了使用未经授权航线的船只，海峡通行安全仍是焦点。</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伊朗提出的七天方案被特朗普拒绝后，美伊紧张关系持续。伊朗坚持先决条件，美方要求核问题让步。伊朗外长称伊朗没有理由再与本届美国政府接触，但对达成协议前景表达悲观的同时也表明愿外交接触。战前霍尔木兹海峡运输量约占全球原油和液化天然气总量的五分之一。</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伊朗袭击未授权船只可能进一步抬高海运保险成本并延误非授权航线的通行。</w:t>
      </w:r>
    </w:p>
    <w:p>
      <w:pPr>
        <w:ind w:firstLine="420"/>
      </w:pPr>
      <w:r>
        <w:rPr>
          <w:rFonts w:ascii="微软雅黑" w:hAnsi="微软雅黑" w:eastAsia="微软雅黑" w:cs="微软雅黑"/>
        </w:rPr>
        <w:t>来源：</w:t>
      </w:r>
      <w:hyperlink w:anchor="source-7894">
        <w:r>
          <w:rPr>
            <w:rFonts w:ascii="微软雅黑" w:hAnsi="微软雅黑" w:eastAsia="微软雅黑" w:cs="微软雅黑"/>
            <w:color w:val="087E89"/>
          </w:rPr>
          <w:t>26</w:t>
        </w:r>
      </w:hyperlink>
      <w:r>
        <w:rPr>
          <w:rFonts w:ascii="微软雅黑" w:hAnsi="微软雅黑" w:eastAsia="微软雅黑" w:cs="微软雅黑"/>
        </w:rPr>
        <w:t xml:space="preserve"> </w:t>
      </w:r>
      <w:hyperlink w:anchor="source-7864">
        <w:r>
          <w:rPr>
            <w:rFonts w:ascii="微软雅黑" w:hAnsi="微软雅黑" w:eastAsia="微软雅黑" w:cs="微软雅黑"/>
            <w:color w:val="087E89"/>
          </w:rPr>
          <w:t>27</w:t>
        </w:r>
      </w:hyperlink>
      <w:r>
        <w:rPr>
          <w:rFonts w:ascii="微软雅黑" w:hAnsi="微软雅黑" w:eastAsia="微软雅黑" w:cs="微软雅黑"/>
        </w:rPr>
      </w:r>
    </w:p>
    <w:p>
      <w:pPr>
        <w:pStyle w:val="Heading3"/>
      </w:pPr>
      <w:r>
        <w:rPr>
          <w:rFonts w:ascii="微软雅黑" w:hAnsi="微软雅黑" w:eastAsia="微软雅黑" w:cs="微软雅黑"/>
        </w:rPr>
        <w:t>3. 沙特东西输油管道遇袭停运，沙特调整出口安排</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9月沙特东西主干输油管道遇袭停运，日运力260–400万桶，占全球供给约4%，修复周期长达三至五周。因管道受损，沙特将部分原油从延布港转至海湾码头出口。</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霍尔木兹海峡本月预计原油出口量约740万桶/日。在管道停运与海峡通航受限叠加背景下，沙特通过港口调配维持原油外运，但短期内运能受到约束。</w:t>
      </w:r>
    </w:p>
    <w:p>
      <w:pPr>
        <w:ind w:firstLine="420"/>
      </w:pPr>
      <w:r>
        <w:rPr>
          <w:rFonts w:ascii="微软雅黑" w:hAnsi="微软雅黑" w:eastAsia="微软雅黑" w:cs="微软雅黑"/>
        </w:rPr>
        <w:t>来源：</w:t>
      </w:r>
      <w:hyperlink w:anchor="source-8255">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8227">
        <w:r>
          <w:rPr>
            <w:rFonts w:ascii="微软雅黑" w:hAnsi="微软雅黑" w:eastAsia="微软雅黑" w:cs="微软雅黑"/>
            <w:color w:val="087E89"/>
          </w:rPr>
          <w:t>2</w:t>
        </w:r>
      </w:hyperlink>
      <w:r>
        <w:rPr>
          <w:rFonts w:ascii="微软雅黑" w:hAnsi="微软雅黑" w:eastAsia="微软雅黑" w:cs="微软雅黑"/>
        </w:rPr>
      </w:r>
    </w:p>
    <w:p>
      <w:pPr>
        <w:pStyle w:val="Heading3"/>
      </w:pPr>
      <w:r>
        <w:rPr>
          <w:rFonts w:ascii="微软雅黑" w:hAnsi="微软雅黑" w:eastAsia="微软雅黑" w:cs="微软雅黑"/>
        </w:rPr>
        <w:t>4. 美股开盘齐跌，油价与美债收益率同步走高</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周一美股开盘三大股指齐跌，道指跌0.71%，标普500跌0.44%，纳指跌0.48%。布伦特原油期货涨超2%至106.55美元/桶，WTI原油上涨约2%至94.46美元/桶。10年期美债收益率突破5.2%，30年期美债收益率站上5.5%。</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市场同步承压。摩根士丹利指出，3月以来2年、5年和10年期美债收益率累计上升约120—150个基点；美联储9月加息25个基点后，市场又计入接近100个基点的额外紧缩。Vanda Research数据显示机构投资者期权资金流入达184亿美元，约为往年9月均值的三倍，AI仍是机构首选布局方向。特朗普拒绝了伊朗提出的有条件停火提议。</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油价、美债收益率走高叠加股指下跌，反映地缘风险与紧缩预期共振，加大市场波动。</w:t>
      </w:r>
    </w:p>
    <w:p>
      <w:pPr>
        <w:ind w:firstLine="420"/>
      </w:pPr>
      <w:r>
        <w:rPr>
          <w:rFonts w:ascii="微软雅黑" w:hAnsi="微软雅黑" w:eastAsia="微软雅黑" w:cs="微软雅黑"/>
        </w:rPr>
        <w:t>来源：</w:t>
      </w:r>
      <w:hyperlink w:anchor="source-8397">
        <w:r>
          <w:rPr>
            <w:rFonts w:ascii="微软雅黑" w:hAnsi="微软雅黑" w:eastAsia="微软雅黑" w:cs="微软雅黑"/>
            <w:color w:val="087E89"/>
          </w:rPr>
          <w:t>30</w:t>
        </w:r>
      </w:hyperlink>
      <w:r>
        <w:rPr>
          <w:rFonts w:ascii="微软雅黑" w:hAnsi="微软雅黑" w:eastAsia="微软雅黑" w:cs="微软雅黑"/>
        </w:rPr>
      </w:r>
    </w:p>
    <w:p>
      <w:pPr>
        <w:pStyle w:val="Heading3"/>
      </w:pPr>
      <w:r>
        <w:rPr>
          <w:rFonts w:ascii="微软雅黑" w:hAnsi="微软雅黑" w:eastAsia="微软雅黑" w:cs="微软雅黑"/>
        </w:rPr>
        <w:t>5. 莱茵河水位降至1880年代以来最低，企业被迫适应新常态</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莱茵河部分水位降至自1880年代以来的最低记录，相关企业被迫适应新的气候常态；可靠使用莱茵河的预期已不再理所当然。</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报道指出莱茵河部分水位降至自1880年代以来的最低记录，企业被迫适应新的气候常态；可靠使用莱茵河的预期已不再理所当然。</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内河航运可靠性下降将影响依赖莱茵河的能源和工业物流体系。</w:t>
      </w:r>
    </w:p>
    <w:p>
      <w:pPr>
        <w:ind w:firstLine="420"/>
      </w:pPr>
      <w:r>
        <w:rPr>
          <w:rFonts w:ascii="微软雅黑" w:hAnsi="微软雅黑" w:eastAsia="微软雅黑" w:cs="微软雅黑"/>
        </w:rPr>
        <w:t>来源：</w:t>
      </w:r>
      <w:hyperlink w:anchor="source-8374">
        <w:r>
          <w:rPr>
            <w:rFonts w:ascii="微软雅黑" w:hAnsi="微软雅黑" w:eastAsia="微软雅黑" w:cs="微软雅黑"/>
            <w:color w:val="087E89"/>
          </w:rPr>
          <w:t>15</w:t>
        </w:r>
      </w:hyperlink>
      <w:r>
        <w:rPr>
          <w:rFonts w:ascii="微软雅黑" w:hAnsi="微软雅黑" w:eastAsia="微软雅黑" w:cs="微软雅黑"/>
        </w:rPr>
      </w:r>
    </w:p>
    <w:p>
      <w:pPr>
        <w:pStyle w:val="Heading3"/>
      </w:pPr>
      <w:r>
        <w:rPr>
          <w:rFonts w:ascii="微软雅黑" w:hAnsi="微软雅黑" w:eastAsia="微软雅黑" w:cs="微软雅黑"/>
        </w:rPr>
        <w:t>6. 印度电力缺口扩大，燃煤电厂满负荷运行消耗库存</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印度电力部延长对塔塔电力位于古吉拉特邦、装机4吉瓦的蒙德拉电厂满负荷运行指令至12月，联邦政府并下令装机超过50 MW的自备燃煤电厂满负荷运行，通过电力交易所出售富余电力。</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印度本月日落后电力缺口最高达7.7吉瓦，超过今夏热浪时期水平，主要由傍晚光伏出力衰减、夜间制冷与灌溉用电需求上升导致。燃煤电厂库存较一年前缩水逾半，降至近三年最低水平。煤炭主产邦恰蒂斯加尔邦、奥里萨邦与贾坎德邦暴雨导致矿区积水、运输受阻，进一步加剧电厂库存压力。</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电力缺口与库存下降推升印度对煤炭的即时需求，并通过电厂满负荷运行向电力市场释放更多供给。</w:t>
      </w:r>
    </w:p>
    <w:p>
      <w:pPr>
        <w:ind w:firstLine="420"/>
      </w:pPr>
      <w:r>
        <w:rPr>
          <w:rFonts w:ascii="微软雅黑" w:hAnsi="微软雅黑" w:eastAsia="微软雅黑" w:cs="微软雅黑"/>
        </w:rPr>
        <w:t>来源：</w:t>
      </w:r>
      <w:hyperlink w:anchor="source-8309">
        <w:r>
          <w:rPr>
            <w:rFonts w:ascii="微软雅黑" w:hAnsi="微软雅黑" w:eastAsia="微软雅黑" w:cs="微软雅黑"/>
            <w:color w:val="087E89"/>
          </w:rPr>
          <w:t>5</w:t>
        </w:r>
      </w:hyperlink>
      <w:r>
        <w:rPr>
          <w:rFonts w:ascii="微软雅黑" w:hAnsi="微软雅黑" w:eastAsia="微软雅黑" w:cs="微软雅黑"/>
        </w:rPr>
        <w:t xml:space="preserve"> </w:t>
      </w:r>
      <w:hyperlink w:anchor="source-8250">
        <w:r>
          <w:rPr>
            <w:rFonts w:ascii="微软雅黑" w:hAnsi="微软雅黑" w:eastAsia="微软雅黑" w:cs="微软雅黑"/>
            <w:color w:val="087E89"/>
          </w:rPr>
          <w:t>6</w:t>
        </w:r>
      </w:hyperlink>
      <w:r>
        <w:rPr>
          <w:rFonts w:ascii="微软雅黑" w:hAnsi="微软雅黑" w:eastAsia="微软雅黑" w:cs="微软雅黑"/>
        </w:rPr>
      </w:r>
    </w:p>
    <w:p>
      <w:pPr>
        <w:pStyle w:val="Heading3"/>
      </w:pPr>
      <w:r>
        <w:rPr>
          <w:rFonts w:ascii="微软雅黑" w:hAnsi="微软雅黑" w:eastAsia="微软雅黑" w:cs="微软雅黑"/>
        </w:rPr>
        <w:t>7. 美国NRC完成Crane核电厂重启的环境审查</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美国核管制委员会（NRC）与能源部“能源主导融资办公室”联合完成对Crane核电厂重启的环境评估，并发布“无显著影响”结论（FONSI）。</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Constellation负责该核电厂重启项目。去年能源部“能源主导融资办公室”已向Constellation提供10亿美元贷款，用于支持835 MWe反应堆重启。Constellation称重启进度快于原计划，旨在为宾夕法尼亚州中部恢复重要、可靠且零排放的电力供应。</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FONSI结论为后续许可和重启推进移除一项关键环境审查障碍，但尚需其他监管步骤方可正式重启。</w:t>
      </w:r>
    </w:p>
    <w:p>
      <w:pPr>
        <w:ind w:firstLine="420"/>
      </w:pPr>
      <w:r>
        <w:rPr>
          <w:rFonts w:ascii="微软雅黑" w:hAnsi="微软雅黑" w:eastAsia="微软雅黑" w:cs="微软雅黑"/>
        </w:rPr>
        <w:t>来源：</w:t>
      </w:r>
      <w:hyperlink w:anchor="source-8433">
        <w:r>
          <w:rPr>
            <w:rFonts w:ascii="微软雅黑" w:hAnsi="微软雅黑" w:eastAsia="微软雅黑" w:cs="微软雅黑"/>
            <w:color w:val="087E89"/>
          </w:rPr>
          <w:t>14</w:t>
        </w:r>
      </w:hyperlink>
      <w:r>
        <w:rPr>
          <w:rFonts w:ascii="微软雅黑" w:hAnsi="微软雅黑" w:eastAsia="微软雅黑" w:cs="微软雅黑"/>
        </w:rPr>
      </w:r>
    </w:p>
    <w:p>
      <w:pPr>
        <w:pStyle w:val="Heading3"/>
      </w:pPr>
      <w:r>
        <w:rPr>
          <w:rFonts w:ascii="微软雅黑" w:hAnsi="微软雅黑" w:eastAsia="微软雅黑" w:cs="微软雅黑"/>
        </w:rPr>
        <w:t>8. ENTSO-E就“面向未来的电力账单”提案发布立场</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欧洲输电系统运营商联盟ENTSO-E发布对欧盟委员会关于“在欧盟范围内使电力账单面向未来”的法规提案的立场，强调电气化提速需配套电网投资。</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ENTSO-E主席Zbyněk Boldiš表示该提案是通过让家庭和企业更易获得负担得起的清洁电力来加速电气化的重要一步；理事会主席Damian Cortinas强调欧洲必须投资并加强电网以连接新增的脱碳发电、增长的电力需求和创新的灵活性解决方案。ENTSO-E提出五项加强建议：确保TSO薪酬框架吸引电网投资资本、扩大激励目标范围、由国家监管机构与TSO合作评估绩效框架、坚持输配电价设计中的辅助性与灵活性原则，以及保持欧盟电网数据交换框架的自愿、安全、有重点与充足融资。</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ENTSO-E明确表态欧洲电气化未来不能仅靠更低的电费，还需建设使低电费成为可能的强大电网，可能影响欧盟未来电力市场设计与监管规则讨论。</w:t>
      </w:r>
    </w:p>
    <w:p>
      <w:pPr>
        <w:ind w:firstLine="420"/>
      </w:pPr>
      <w:r>
        <w:rPr>
          <w:rFonts w:ascii="微软雅黑" w:hAnsi="微软雅黑" w:eastAsia="微软雅黑" w:cs="微软雅黑"/>
        </w:rPr>
        <w:t>来源：</w:t>
      </w:r>
      <w:hyperlink w:anchor="source-8372">
        <w:r>
          <w:rPr>
            <w:rFonts w:ascii="微软雅黑" w:hAnsi="微软雅黑" w:eastAsia="微软雅黑" w:cs="微软雅黑"/>
            <w:color w:val="087E89"/>
          </w:rPr>
          <w:t>4</w:t>
        </w:r>
      </w:hyperlink>
      <w:r>
        <w:rPr>
          <w:rFonts w:ascii="微软雅黑" w:hAnsi="微软雅黑" w:eastAsia="微软雅黑" w:cs="微软雅黑"/>
        </w:rPr>
      </w:r>
    </w:p>
    <w:p>
      <w:pPr>
        <w:pStyle w:val="Heading3"/>
      </w:pPr>
      <w:r>
        <w:rPr>
          <w:rFonts w:ascii="微软雅黑" w:hAnsi="微软雅黑" w:eastAsia="微软雅黑" w:cs="微软雅黑"/>
        </w:rPr>
        <w:t>9. EnerVenue启用全球首条高产量水基金属电池生产线</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EnerVenue启用其位于美国的全球首条高产量水基金属电池生产线，一期年产能为250兆瓦时，规划于2027年扩至1吉瓦时、并在2028年达到多吉瓦时规模。</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首席执行官Henning Rath表示，水基镍电池专为30,000次循环设计，可在最严苛环境下运行且不存在热失控起火风险。每枚电池在出厂前需通过11个测试测量站、共41项质量检查；现场调试完成的150千瓦时机柜在发运前全部经过测试。电解质为水基且不可燃，电芯不使用锂和稀土，寿命终止时镍可回收再利用。</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水基金属电池产线投产为长时储能提供了非锂、不含稀土的可选技术路线，可能影响储能项目技术选型与上游材料需求结构。</w:t>
      </w:r>
    </w:p>
    <w:p>
      <w:pPr>
        <w:ind w:firstLine="420"/>
      </w:pPr>
      <w:r>
        <w:rPr>
          <w:rFonts w:ascii="微软雅黑" w:hAnsi="微软雅黑" w:eastAsia="微软雅黑" w:cs="微软雅黑"/>
        </w:rPr>
        <w:t>来源：</w:t>
      </w:r>
      <w:hyperlink w:anchor="source-8355">
        <w:r>
          <w:rPr>
            <w:rFonts w:ascii="微软雅黑" w:hAnsi="微软雅黑" w:eastAsia="微软雅黑" w:cs="微软雅黑"/>
            <w:color w:val="087E89"/>
          </w:rPr>
          <w:t>28</w:t>
        </w:r>
      </w:hyperlink>
      <w:r>
        <w:rPr>
          <w:rFonts w:ascii="微软雅黑" w:hAnsi="微软雅黑" w:eastAsia="微软雅黑" w:cs="微软雅黑"/>
        </w:rPr>
      </w:r>
    </w:p>
    <w:p>
      <w:pPr>
        <w:pStyle w:val="Heading3"/>
      </w:pPr>
      <w:r>
        <w:rPr>
          <w:rFonts w:ascii="微软雅黑" w:hAnsi="微软雅黑" w:eastAsia="微软雅黑" w:cs="微软雅黑"/>
        </w:rPr>
        <w:t>10. 美国光伏组件及多晶硅价格持续上涨</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美国进口光伏组件中间报价由上月7日的0.27美元/瓦升至0.38美元/瓦；美国双面单晶PERC组件价格年初至今上涨约20%，美国产多晶硅价格亦上行。</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美国进口光伏组件的中间报价由上月7日的0.27美元/瓦升至0.38美元/瓦，涨幅约40.7%。美国双面单晶PERC组件价格年初至今上涨约20%，美国产多晶硅价格亦上行。尹在成（Hana证券研究员）预期232条实施后美国组件与多晶硅涨幅将进一步加大，并称在美中竞争中，与半导体级多晶硅挂钩的光伏产业正被重新定位为美国国家安全战略资产。</w:t>
      </w:r>
    </w:p>
    <w:p>
      <w:pPr>
        <w:ind w:firstLine="420"/>
      </w:pPr>
      <w:r>
        <w:rPr>
          <w:rFonts w:ascii="微软雅黑" w:hAnsi="微软雅黑" w:eastAsia="微软雅黑" w:cs="微软雅黑"/>
        </w:rPr>
        <w:t>来源：</w:t>
      </w:r>
      <w:hyperlink w:anchor="source-8145">
        <w:r>
          <w:rPr>
            <w:rFonts w:ascii="微软雅黑" w:hAnsi="微软雅黑" w:eastAsia="微软雅黑" w:cs="微软雅黑"/>
            <w:color w:val="087E89"/>
          </w:rPr>
          <w:t>22</w:t>
        </w:r>
      </w:hyperlink>
      <w:r>
        <w:rPr>
          <w:rFonts w:ascii="微软雅黑" w:hAnsi="微软雅黑" w:eastAsia="微软雅黑" w:cs="微软雅黑"/>
        </w:rPr>
      </w:r>
    </w:p>
    <w:p>
      <w:pPr>
        <w:pStyle w:val="Heading3"/>
      </w:pPr>
      <w:r>
        <w:rPr>
          <w:rFonts w:ascii="微软雅黑" w:hAnsi="微软雅黑" w:eastAsia="微软雅黑" w:cs="微软雅黑"/>
        </w:rPr>
        <w:t>11. 欧盟草案拟将逆变器限制转向个别高风险供应商评估</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欧洲议会对CSA2草案拟议修订，要求逐家评估供应商，国别、所有权及控制权仍为考量因素，但与所谓“高风险第三国”的关联不再自动触发“高风险”认定。中国商务部对将中国列为所谓“高风险国家”表示强烈反对。</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修订案28要求逐家评估供应商，国别、所有权及控制权仍为考量因素，但与所谓“高风险第三国”的关联不再自动触发“高风险”认定。中国商务部（MOFCOM）称欧盟“无任何事实依据”即首次将中国列为所谓“高风险国家”，并以此名义禁止使用中国逆变器的项目获得资金支持。草案报告拟对CSA2第100至104条进行实质性修改，包括将框架转向对高风险供应商的个别评估并修订判定标准；最终文本将在欧洲议会与欧洲理事会通过后刊登于《欧盟官方公报》并生效。</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中国商务部表态显示对欧盟相关认定的反对，可能影响使用中国逆变器项目的资金获取。</w:t>
      </w:r>
    </w:p>
    <w:p>
      <w:pPr>
        <w:ind w:firstLine="420"/>
      </w:pPr>
      <w:r>
        <w:rPr>
          <w:rFonts w:ascii="微软雅黑" w:hAnsi="微软雅黑" w:eastAsia="微软雅黑" w:cs="微软雅黑"/>
        </w:rPr>
        <w:t>来源：</w:t>
      </w:r>
      <w:hyperlink w:anchor="source-8222">
        <w:r>
          <w:rPr>
            <w:rFonts w:ascii="微软雅黑" w:hAnsi="微软雅黑" w:eastAsia="微软雅黑" w:cs="微软雅黑"/>
            <w:color w:val="087E89"/>
          </w:rPr>
          <w:t>7</w:t>
        </w:r>
      </w:hyperlink>
      <w:r>
        <w:rPr>
          <w:rFonts w:ascii="微软雅黑" w:hAnsi="微软雅黑" w:eastAsia="微软雅黑" w:cs="微软雅黑"/>
        </w:rPr>
      </w:r>
    </w:p>
    <w:p>
      <w:pPr>
        <w:pStyle w:val="Heading3"/>
      </w:pPr>
      <w:r>
        <w:rPr>
          <w:rFonts w:ascii="微软雅黑" w:hAnsi="微软雅黑" w:eastAsia="微软雅黑" w:cs="微软雅黑"/>
        </w:rPr>
        <w:t>12. 阿根廷政府启动火电站私有化</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阿根廷政府发布第1107/2026号法令，推进能源阿根廷公司（ENARSA）旗下火电站私有化进程，授权出售国家在Manuel Belgrano和José de San Martín两座火电站所持股份，并将依据《阿根廷自由起点基础法》通过招标方式实施。</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阿根廷政府发布第1107/2026号法令，推进能源阿根廷公司（ENARSA）旗下火电站私有化进程。法令授权出售国家在Manuel Belgrano和José de San Martín两座火电站所持股份，私有化将通过招标方式实施，由国有企业转型机构（Agencia de Transformación de Empresas Públicas）联合执行。该私有化措施依据《阿根廷自由起点基础法》（Ley de Bases）相关规定执行。法令还授权政府在Guillermo Brown火电站信托终止行政程序完成后推进其私有化。</w:t>
      </w:r>
    </w:p>
    <w:p>
      <w:pPr>
        <w:ind w:firstLine="420"/>
      </w:pPr>
      <w:r>
        <w:rPr>
          <w:rFonts w:ascii="微软雅黑" w:hAnsi="微软雅黑" w:eastAsia="微软雅黑" w:cs="微软雅黑"/>
        </w:rPr>
        <w:t>来源：</w:t>
      </w:r>
      <w:hyperlink w:anchor="source-8414">
        <w:r>
          <w:rPr>
            <w:rFonts w:ascii="微软雅黑" w:hAnsi="微软雅黑" w:eastAsia="微软雅黑" w:cs="微软雅黑"/>
            <w:color w:val="087E89"/>
          </w:rPr>
          <w:t>29</w:t>
        </w:r>
      </w:hyperlink>
      <w:r>
        <w:rPr>
          <w:rFonts w:ascii="微软雅黑" w:hAnsi="微软雅黑" w:eastAsia="微软雅黑" w:cs="微软雅黑"/>
        </w:rPr>
      </w:r>
    </w:p>
    <w:p>
      <w:pPr>
        <w:pStyle w:val="Heading2"/>
      </w:pPr>
      <w:r>
        <w:rPr>
          <w:rFonts w:ascii="微软雅黑" w:hAnsi="微软雅黑" w:eastAsia="微软雅黑" w:cs="微软雅黑"/>
        </w:rPr>
        <w:t>中国重点事件</w:t>
      </w:r>
    </w:p>
    <w:p>
      <w:pPr>
        <w:pStyle w:val="Heading3"/>
      </w:pPr>
      <w:r>
        <w:rPr>
          <w:rFonts w:ascii="微软雅黑" w:hAnsi="微软雅黑" w:eastAsia="微软雅黑" w:cs="微软雅黑"/>
        </w:rPr>
        <w:t>13. 中美建立贸易理事会并达成300亿对300亿对等降税框架</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中美双方在第八轮经贸磋商中同意在中美经贸磋商机制下建立中美贸易理事会及中美投资理事会，并达成对等方式降低自对方进口约300亿美元产品关税的框架。</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美方降税清单覆盖玩具、家电、婴儿用品、厨卫用品、节日礼物等约300亿美元自华进口商品；中方降税清单覆盖农产品、个人护理用品、医疗器械、煤炭等约300亿美元自美进口商品。双方各自约90%产品的关税将降至最惠国税率水平，并在履行国内法律程序后同步实施。框架下设农业工作组。中方自美进口煤炭关税纳入该框架，将有利于中方在2027年和2028年每年自美进口煤炭。</w:t>
      </w:r>
    </w:p>
    <w:p>
      <w:pPr>
        <w:ind w:firstLine="420"/>
      </w:pPr>
      <w:r>
        <w:rPr>
          <w:rFonts w:ascii="微软雅黑" w:hAnsi="微软雅黑" w:eastAsia="微软雅黑" w:cs="微软雅黑"/>
        </w:rPr>
        <w:t>来源：</w:t>
      </w:r>
      <w:hyperlink w:anchor="source-8080">
        <w:r>
          <w:rPr>
            <w:rFonts w:ascii="微软雅黑" w:hAnsi="微软雅黑" w:eastAsia="微软雅黑" w:cs="微软雅黑"/>
            <w:color w:val="087E89"/>
          </w:rPr>
          <w:t>9</w:t>
        </w:r>
      </w:hyperlink>
      <w:r>
        <w:rPr>
          <w:rFonts w:ascii="微软雅黑" w:hAnsi="微软雅黑" w:eastAsia="微软雅黑" w:cs="微软雅黑"/>
        </w:rPr>
        <w:t xml:space="preserve"> </w:t>
      </w:r>
      <w:hyperlink w:anchor="source-7990">
        <w:r>
          <w:rPr>
            <w:rFonts w:ascii="微软雅黑" w:hAnsi="微软雅黑" w:eastAsia="微软雅黑" w:cs="微软雅黑"/>
            <w:color w:val="087E89"/>
          </w:rPr>
          <w:t>10</w:t>
        </w:r>
      </w:hyperlink>
      <w:r>
        <w:rPr>
          <w:rFonts w:ascii="微软雅黑" w:hAnsi="微软雅黑" w:eastAsia="微软雅黑" w:cs="微软雅黑"/>
        </w:rPr>
        <w:t xml:space="preserve"> </w:t>
      </w:r>
      <w:hyperlink w:anchor="source-7948">
        <w:r>
          <w:rPr>
            <w:rFonts w:ascii="微软雅黑" w:hAnsi="微软雅黑" w:eastAsia="微软雅黑" w:cs="微软雅黑"/>
            <w:color w:val="087E89"/>
          </w:rPr>
          <w:t>11</w:t>
        </w:r>
      </w:hyperlink>
      <w:r>
        <w:rPr>
          <w:rFonts w:ascii="微软雅黑" w:hAnsi="微软雅黑" w:eastAsia="微软雅黑" w:cs="微软雅黑"/>
        </w:rPr>
        <w:t xml:space="preserve"> </w:t>
      </w:r>
      <w:hyperlink w:anchor="source-8106">
        <w:r>
          <w:rPr>
            <w:rFonts w:ascii="微软雅黑" w:hAnsi="微软雅黑" w:eastAsia="微软雅黑" w:cs="微软雅黑"/>
            <w:color w:val="087E89"/>
          </w:rPr>
          <w:t>12</w:t>
        </w:r>
      </w:hyperlink>
      <w:r>
        <w:rPr>
          <w:rFonts w:ascii="微软雅黑" w:hAnsi="微软雅黑" w:eastAsia="微软雅黑" w:cs="微软雅黑"/>
        </w:rPr>
      </w:r>
    </w:p>
    <w:p>
      <w:pPr>
        <w:pStyle w:val="Heading3"/>
      </w:pPr>
      <w:r>
        <w:rPr>
          <w:rFonts w:ascii="微软雅黑" w:hAnsi="微软雅黑" w:eastAsia="微软雅黑" w:cs="微软雅黑"/>
        </w:rPr>
        <w:t>14. 西南油气田油气当量突破3000万吨创历史同期新高</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截至2026年9月28日，中国石油西南油气田油气当量突破3000万吨，创历史同期新高，全年油气当量预计将再攀新高。</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川中古隆起高石梯灯二、灯四建产高效推进，6口新井井均无阻流量超百万方；天府致密气盐亭—三台扩边井测试无阻流量达105万立方米/天；吴家坪组超深层页岩气先导试验井平均钻井周期87.72天，较设计工期缩短32.5%，单日最高压裂4段；磨溪022-X11井大修及酸化解堵后复产，日产气超35万立方米；巫山坎气田2口大斜度水平井日产量从1万立方米提升至7.1万立方米。</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四川盆地常规气、致密气、超深层页岩气多领域同步推进，多口井测试及老井复产获得高产，国内天然气供应能力有望进一步增强。</w:t>
      </w:r>
    </w:p>
    <w:p>
      <w:pPr>
        <w:ind w:firstLine="420"/>
      </w:pPr>
      <w:r>
        <w:rPr>
          <w:rFonts w:ascii="微软雅黑" w:hAnsi="微软雅黑" w:eastAsia="微软雅黑" w:cs="微软雅黑"/>
        </w:rPr>
        <w:t>来源：</w:t>
      </w:r>
      <w:hyperlink w:anchor="source-8371">
        <w:r>
          <w:rPr>
            <w:rFonts w:ascii="微软雅黑" w:hAnsi="微软雅黑" w:eastAsia="微软雅黑" w:cs="微软雅黑"/>
            <w:color w:val="087E89"/>
          </w:rPr>
          <w:t>23</w:t>
        </w:r>
      </w:hyperlink>
      <w:r>
        <w:rPr>
          <w:rFonts w:ascii="微软雅黑" w:hAnsi="微软雅黑" w:eastAsia="微软雅黑" w:cs="微软雅黑"/>
        </w:rPr>
      </w:r>
    </w:p>
    <w:p>
      <w:pPr>
        <w:pStyle w:val="Heading3"/>
      </w:pPr>
      <w:r>
        <w:rPr>
          <w:rFonts w:ascii="微软雅黑" w:hAnsi="微软雅黑" w:eastAsia="微软雅黑" w:cs="微软雅黑"/>
        </w:rPr>
        <w:t>15. 国家能源局部署2026—2027年采暖季天然气保供工作</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2026年9月21日，国家能源局组织召开2026—2027年采暖季天然气保供形势研判专题会议，要求油气企业、国家管网集团及地方落实保供责任，确保冬季供应安全。</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会议要求上游供气企业大力增储上产，立足国内强化增产增供；加快注气进度，确保地下储气库满库入冬、沿海LNG储罐处于高液位；做细做实应急预案，兜住自身市场保供底线。国家管网集团要抓好重大工程建设，紧盯节点、倒排工期，确保天然气基础设施按时投用。河北等省要总结历年保供经验教训，切实承担保供主体责任，加强供需协调，确保国家相关政策落实。人民财讯9月28日报道上述会议内容。</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会议部署旨在压实各方保供责任，保障采暖季天然气稳定供应，但未给出具体量化影响。</w:t>
      </w:r>
    </w:p>
    <w:p>
      <w:pPr>
        <w:ind w:firstLine="420"/>
      </w:pPr>
      <w:r>
        <w:rPr>
          <w:rFonts w:ascii="微软雅黑" w:hAnsi="微软雅黑" w:eastAsia="微软雅黑" w:cs="微软雅黑"/>
        </w:rPr>
        <w:t>来源：</w:t>
      </w:r>
      <w:hyperlink w:anchor="source-7939">
        <w:r>
          <w:rPr>
            <w:rFonts w:ascii="微软雅黑" w:hAnsi="微软雅黑" w:eastAsia="微软雅黑" w:cs="微软雅黑"/>
            <w:color w:val="087E89"/>
          </w:rPr>
          <w:t>24</w:t>
        </w:r>
      </w:hyperlink>
      <w:r>
        <w:rPr>
          <w:rFonts w:ascii="微软雅黑" w:hAnsi="微软雅黑" w:eastAsia="微软雅黑" w:cs="微软雅黑"/>
        </w:rPr>
      </w:r>
    </w:p>
    <w:p>
      <w:pPr>
        <w:pStyle w:val="Heading3"/>
      </w:pPr>
      <w:r>
        <w:rPr>
          <w:rFonts w:ascii="微软雅黑" w:hAnsi="微软雅黑" w:eastAsia="微软雅黑" w:cs="微软雅黑"/>
        </w:rPr>
        <w:t>16. 黄润秋介绍中国绿色发展成就并强调生态优先</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生态环境部部长黄润秋在国合会2026年年会开幕式上介绍中国绿色发展成就，强调中国坚持生态优先、绿色发展之路。</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黄润秋在国合会2026年年会开幕式上介绍中国绿色发展成就，并强调中国坚持生态优先、绿色发展之路。中国已建成全球规模最大的清洁电力和钢铁生产体系。他指出，“十五五”时期是美丽中国建设实现生态环境根本好转的关键阶段，将以碳达峰碳中和为牵引。</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“十五五”时期将以碳达峰碳中和为牵引推进美丽中国建设，聚焦生态环境根本好转。</w:t>
      </w:r>
    </w:p>
    <w:p>
      <w:pPr>
        <w:ind w:firstLine="420"/>
      </w:pPr>
      <w:r>
        <w:rPr>
          <w:rFonts w:ascii="微软雅黑" w:hAnsi="微软雅黑" w:eastAsia="微软雅黑" w:cs="微软雅黑"/>
        </w:rPr>
        <w:t>来源：</w:t>
      </w:r>
      <w:hyperlink w:anchor="source-8203">
        <w:r>
          <w:rPr>
            <w:rFonts w:ascii="微软雅黑" w:hAnsi="微软雅黑" w:eastAsia="微软雅黑" w:cs="微软雅黑"/>
            <w:color w:val="087E89"/>
          </w:rPr>
          <w:t>8</w:t>
        </w:r>
      </w:hyperlink>
      <w:r>
        <w:rPr>
          <w:rFonts w:ascii="微软雅黑" w:hAnsi="微软雅黑" w:eastAsia="微软雅黑" w:cs="微软雅黑"/>
        </w:rPr>
      </w:r>
    </w:p>
    <w:p>
      <w:pPr>
        <w:pStyle w:val="Heading3"/>
      </w:pPr>
      <w:r>
        <w:rPr>
          <w:rFonts w:ascii="微软雅黑" w:hAnsi="微软雅黑" w:eastAsia="微软雅黑" w:cs="微软雅黑"/>
        </w:rPr>
        <w:t>17. 国家电投广西白龙核电2号机组开工核岛浇筑第一罐混凝土</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9月27日18时27分，国家电投广西白龙核电2号机组核岛开始第一罐混凝土浇筑（FCD），项目由单机组建设转入双机组全面建设新阶段。2号机组FCD采用单侧推移式连续一次性整体浇筑方式，计划浇筑混凝土约6637立方米，计划浇筑约58小时。</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白龙核电一期工程1、2号机组采用CAP1000三代非能动核电技术，单台机组容量125万千瓦。1号机组已于2025年12月实现FCD，目前进入建设安装阶段，预计2030年建成投产。一期工程建成投产后，年发电量约200亿千瓦时，每年可减少标煤消耗约600万吨、减排二氧化碳约1600万吨。项目位于防城港市江山半岛最南端，规划建设2台CAP1000及4台“国和一号”机组，总装机约850万千瓦，总投资约1200亿元。</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项目进入双机组全面建设新阶段，为2030年投产目标推进奠定基础。</w:t>
      </w:r>
    </w:p>
    <w:p>
      <w:pPr>
        <w:ind w:firstLine="420"/>
      </w:pPr>
      <w:r>
        <w:rPr>
          <w:rFonts w:ascii="微软雅黑" w:hAnsi="微软雅黑" w:eastAsia="微软雅黑" w:cs="微软雅黑"/>
        </w:rPr>
        <w:t>来源：</w:t>
      </w:r>
      <w:hyperlink w:anchor="source-8077">
        <w:r>
          <w:rPr>
            <w:rFonts w:ascii="微软雅黑" w:hAnsi="微软雅黑" w:eastAsia="微软雅黑" w:cs="微软雅黑"/>
            <w:color w:val="087E89"/>
          </w:rPr>
          <w:t>16</w:t>
        </w:r>
      </w:hyperlink>
      <w:r>
        <w:rPr>
          <w:rFonts w:ascii="微软雅黑" w:hAnsi="微软雅黑" w:eastAsia="微软雅黑" w:cs="微软雅黑"/>
        </w:rPr>
        <w:t xml:space="preserve"> </w:t>
      </w:r>
      <w:hyperlink w:anchor="source-8354">
        <w:r>
          <w:rPr>
            <w:rFonts w:ascii="微软雅黑" w:hAnsi="微软雅黑" w:eastAsia="微软雅黑" w:cs="微软雅黑"/>
            <w:color w:val="087E89"/>
          </w:rPr>
          <w:t>17</w:t>
        </w:r>
      </w:hyperlink>
      <w:r>
        <w:rPr>
          <w:rFonts w:ascii="微软雅黑" w:hAnsi="微软雅黑" w:eastAsia="微软雅黑" w:cs="微软雅黑"/>
        </w:rPr>
      </w:r>
    </w:p>
    <w:p>
      <w:pPr>
        <w:pStyle w:val="Heading3"/>
      </w:pPr>
      <w:r>
        <w:rPr>
          <w:rFonts w:ascii="微软雅黑" w:hAnsi="微软雅黑" w:eastAsia="微软雅黑" w:cs="微软雅黑"/>
        </w:rPr>
        <w:t>18. 七部门印发新型电池产业发展“十五五”规划</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工业和信息化部、国家发展改革委、交通运输部、商务部、市场监管总局、国家能源局、国家铁路局七部门近日联合印发《新型电池产业发展“十五五”规划》。</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规划围绕五大方面部署19项重点任务和5个专栏，将加快全链条创新发展列为首要任务。要求加强人工智能参与系统集成创新，突破全固态电池产业化技术，发展先进材料和高端制造设备。提出构建以锂电池为主，钠电池、液流电池等协同发展的产品供给体系，提高全固态电池、水系电池、超快充电池产业化能力，并加强新型电池全生命周期溯源管理，探索新型电池数字护照国际通行方案。</w:t>
      </w:r>
    </w:p>
    <w:p>
      <w:pPr>
        <w:ind w:firstLine="420"/>
      </w:pPr>
      <w:r>
        <w:rPr>
          <w:rFonts w:ascii="微软雅黑" w:hAnsi="微软雅黑" w:eastAsia="微软雅黑" w:cs="微软雅黑"/>
        </w:rPr>
        <w:t>来源：</w:t>
      </w:r>
      <w:hyperlink w:anchor="source-8215">
        <w:r>
          <w:rPr>
            <w:rFonts w:ascii="微软雅黑" w:hAnsi="微软雅黑" w:eastAsia="微软雅黑" w:cs="微软雅黑"/>
            <w:color w:val="087E89"/>
          </w:rPr>
          <w:t>18</w:t>
        </w:r>
      </w:hyperlink>
      <w:r>
        <w:rPr>
          <w:rFonts w:ascii="微软雅黑" w:hAnsi="微软雅黑" w:eastAsia="微软雅黑" w:cs="微软雅黑"/>
        </w:rPr>
        <w:t xml:space="preserve"> </w:t>
      </w:r>
      <w:hyperlink w:anchor="source-8260">
        <w:r>
          <w:rPr>
            <w:rFonts w:ascii="微软雅黑" w:hAnsi="微软雅黑" w:eastAsia="微软雅黑" w:cs="微软雅黑"/>
            <w:color w:val="087E89"/>
          </w:rPr>
          <w:t>19</w:t>
        </w:r>
      </w:hyperlink>
      <w:r>
        <w:rPr>
          <w:rFonts w:ascii="微软雅黑" w:hAnsi="微软雅黑" w:eastAsia="微软雅黑" w:cs="微软雅黑"/>
        </w:rPr>
        <w:t xml:space="preserve"> </w:t>
      </w:r>
      <w:hyperlink w:anchor="source-8186">
        <w:r>
          <w:rPr>
            <w:rFonts w:ascii="微软雅黑" w:hAnsi="微软雅黑" w:eastAsia="微软雅黑" w:cs="微软雅黑"/>
            <w:color w:val="087E89"/>
          </w:rPr>
          <w:t>20</w:t>
        </w:r>
      </w:hyperlink>
      <w:r>
        <w:rPr>
          <w:rFonts w:ascii="微软雅黑" w:hAnsi="微软雅黑" w:eastAsia="微软雅黑" w:cs="微软雅黑"/>
        </w:rPr>
        <w:t xml:space="preserve"> </w:t>
      </w:r>
      <w:hyperlink w:anchor="source-8130">
        <w:r>
          <w:rPr>
            <w:rFonts w:ascii="微软雅黑" w:hAnsi="微软雅黑" w:eastAsia="微软雅黑" w:cs="微软雅黑"/>
            <w:color w:val="087E89"/>
          </w:rPr>
          <w:t>21</w:t>
        </w:r>
      </w:hyperlink>
      <w:r>
        <w:rPr>
          <w:rFonts w:ascii="微软雅黑" w:hAnsi="微软雅黑" w:eastAsia="微软雅黑" w:cs="微软雅黑"/>
        </w:rPr>
      </w:r>
    </w:p>
    <w:p>
      <w:pPr>
        <w:pStyle w:val="Heading3"/>
      </w:pPr>
      <w:r>
        <w:rPr>
          <w:rFonts w:ascii="微软雅黑" w:hAnsi="微软雅黑" w:eastAsia="微软雅黑" w:cs="微软雅黑"/>
        </w:rPr>
        <w:t>19. 广东印发降碳三年攻坚方案 重点行业能效全面提升</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广东印发降碳三年攻坚实施方案，明确到2028年底钢铁、水泥、玻璃、石化、化工、陶瓷、纺织、造纸等重点行业达到现行能效标杆水平的产能比例平均提高20个百分点，煤电行业力争提高15个百分点，数据中心平均电能利用效率降至1.3以下。</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方案部署：累计形成节能量约400万吨标准煤、减排二氧化碳约1200万吨；推动具备条件的30万千瓦以上现役煤电机组采用生物质耦合、CCUS、掺烧绿氨、耦合新能源、加装储能储热设施等方式实施低碳化改造，改造后度电碳排放降低10%-20%、力争降低20%以上。水泥行业鼓励一体化推进分布式光伏、分散式风电、多元储能等开发运行，推动余热余压发电、供热等高效利用。能效未达强制性能耗限额标准限定值和基准水平的项目，自下一年度1月1日起在市场交易电价基础上加价0.1元/千瓦时，加价电费用于冲减系统运行费用。清远纳福娜陶瓷有限公司氢能低碳转型试点示范拟建设8.03MW自建光伏系统、试验1台100立方米/小时制氢机掺氢、评估后采购安装3台制氢机掺氢，并建设8-10MWh储能系统，实现窑炉天然气掺氢燃烧。</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推动广东重点行业产能结构调整，加快煤电低碳化改造和水泥等行业源网荷储一体化开发，氢能掺烧、CCUS等示范项目落地有望提速。</w:t>
      </w:r>
    </w:p>
    <w:p>
      <w:pPr>
        <w:ind w:firstLine="420"/>
      </w:pPr>
      <w:r>
        <w:rPr>
          <w:rFonts w:ascii="微软雅黑" w:hAnsi="微软雅黑" w:eastAsia="微软雅黑" w:cs="微软雅黑"/>
        </w:rPr>
        <w:t>来源：</w:t>
      </w:r>
      <w:hyperlink w:anchor="source-8034">
        <w:r>
          <w:rPr>
            <w:rFonts w:ascii="微软雅黑" w:hAnsi="微软雅黑" w:eastAsia="微软雅黑" w:cs="微软雅黑"/>
            <w:color w:val="087E89"/>
          </w:rPr>
          <w:t>13</w:t>
        </w:r>
      </w:hyperlink>
      <w:r>
        <w:rPr>
          <w:rFonts w:ascii="微软雅黑" w:hAnsi="微软雅黑" w:eastAsia="微软雅黑" w:cs="微软雅黑"/>
        </w:rPr>
      </w:r>
    </w:p>
    <w:p>
      <w:pPr>
        <w:pStyle w:val="Heading3"/>
      </w:pPr>
      <w:r>
        <w:rPr>
          <w:rFonts w:ascii="微软雅黑" w:hAnsi="微软雅黑" w:eastAsia="微软雅黑" w:cs="微软雅黑"/>
        </w:rPr>
        <w:t>20. 国家发改委印发《循环经济发展“十五五”规划》</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国家发展改革委印发《循环经济发展“十五五”规划》，目标到2030年资源循环利用产业产值达到8万亿元，到2035年循环经济高质量发展体系基本建立。</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规划明确，到2030年主要再生资源年循环利用量达到5.1亿吨。2025年我国11个主要品种再生资源回收总量约4.1亿吨，其中废钢铁为生产环节提供原料占比达到27%，废有色金属达到30%。2026年上半年，废弃资源综合利用业规上企业营收达5705亿元，利润总额同比增长104.5%，在全国41个工业大类中利润增速高居第二。</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规划设定明确的产值与回收量目标，为资源循环利用产业提供政策方向；行业利润高增速反映出产业当前景气度较高。</w:t>
      </w:r>
    </w:p>
    <w:p>
      <w:pPr>
        <w:ind w:firstLine="420"/>
      </w:pPr>
      <w:r>
        <w:rPr>
          <w:rFonts w:ascii="微软雅黑" w:hAnsi="微软雅黑" w:eastAsia="微软雅黑" w:cs="微软雅黑"/>
        </w:rPr>
        <w:t>来源：</w:t>
      </w:r>
      <w:hyperlink w:anchor="source-7920">
        <w:r>
          <w:rPr>
            <w:rFonts w:ascii="微软雅黑" w:hAnsi="微软雅黑" w:eastAsia="微软雅黑" w:cs="微软雅黑"/>
            <w:color w:val="087E89"/>
          </w:rPr>
          <w:t>25</w:t>
        </w:r>
      </w:hyperlink>
      <w:r>
        <w:rPr>
          <w:rFonts w:ascii="微软雅黑" w:hAnsi="微软雅黑" w:eastAsia="微软雅黑" w:cs="微软雅黑"/>
        </w:rPr>
      </w:r>
    </w:p>
    <w:p>
      <w:pPr>
        <w:pStyle w:val="Heading2"/>
      </w:pPr>
      <w:r>
        <w:rPr>
          <w:rFonts w:ascii="微软雅黑" w:hAnsi="微软雅黑" w:eastAsia="微软雅黑" w:cs="微软雅黑"/>
        </w:rPr>
        <w:t>风险与后续观察</w:t>
      </w:r>
    </w:p>
    <w:p>
      <w:pPr>
        <w:pStyle w:val="ListBullet"/>
      </w:pPr>
      <w:r>
        <w:rPr>
          <w:rFonts w:ascii="微软雅黑" w:hAnsi="微软雅黑" w:eastAsia="微软雅黑" w:cs="微软雅黑"/>
        </w:rPr>
        <w:t xml:space="preserve">管道修复周期估计为三至五周，期间沙特出口路径调整的实际运能影响仍待观察。 </w:t>
      </w:r>
      <w:hyperlink w:anchor="source-8255">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8227">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欧盟委员会对该提案的修订进展、成员国及监管机构对ENTSO-E五项建议的反馈尚待跟踪。 </w:t>
      </w:r>
      <w:hyperlink w:anchor="source-8372">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煤炭主产邦暴雨影响持续，电厂库存补充情况以及电力缺口演变仍待观察。 </w:t>
      </w:r>
      <w:hyperlink w:anchor="source-8309">
        <w:r>
          <w:rPr>
            <w:rFonts w:ascii="微软雅黑" w:hAnsi="微软雅黑" w:eastAsia="微软雅黑" w:cs="微软雅黑"/>
            <w:color w:val="087E89"/>
          </w:rPr>
          <w:t>5</w:t>
        </w:r>
      </w:hyperlink>
      <w:r>
        <w:rPr>
          <w:rFonts w:ascii="微软雅黑" w:hAnsi="微软雅黑" w:eastAsia="微软雅黑" w:cs="微软雅黑"/>
        </w:rPr>
        <w:t xml:space="preserve"> </w:t>
      </w:r>
      <w:hyperlink w:anchor="source-8250">
        <w:r>
          <w:rPr>
            <w:rFonts w:ascii="微软雅黑" w:hAnsi="微软雅黑" w:eastAsia="微软雅黑" w:cs="微软雅黑"/>
            <w:color w:val="087E89"/>
          </w:rPr>
          <w:t>6</w:t>
        </w:r>
      </w:hyperlink>
      <w:r>
        <w:rPr>
          <w:rFonts w:ascii="微软雅黑" w:hAnsi="微软雅黑" w:eastAsia="微软雅黑" w:cs="微软雅黑"/>
        </w:rPr>
      </w:r>
    </w:p>
    <w:p>
      <w:pPr>
        <w:pStyle w:val="ListBullet"/>
      </w:pPr>
      <w:r>
        <w:rPr>
          <w:rFonts w:ascii="微软雅黑" w:hAnsi="微软雅黑" w:eastAsia="微软雅黑" w:cs="微软雅黑"/>
        </w:rPr>
        <w:t xml:space="preserve">CSA2草案在欧洲议会与欧洲理事会的最终通过文本、生效时间及对在欧项目资金支持的实际影响。 </w:t>
      </w:r>
      <w:hyperlink w:anchor="source-8222">
        <w:r>
          <w:rPr>
            <w:rFonts w:ascii="微软雅黑" w:hAnsi="微软雅黑" w:eastAsia="微软雅黑" w:cs="微软雅黑"/>
            <w:color w:val="087E89"/>
          </w:rPr>
          <w:t>7</w:t>
        </w:r>
      </w:hyperlink>
      <w:r>
        <w:rPr>
          <w:rFonts w:ascii="微软雅黑" w:hAnsi="微软雅黑" w:eastAsia="微软雅黑" w:cs="微软雅黑"/>
        </w:rPr>
      </w:r>
    </w:p>
    <w:p>
      <w:pPr>
        <w:pStyle w:val="ListBullet"/>
      </w:pPr>
      <w:r>
        <w:rPr>
          <w:rFonts w:ascii="微软雅黑" w:hAnsi="微软雅黑" w:eastAsia="微软雅黑" w:cs="微软雅黑"/>
        </w:rPr>
        <w:t xml:space="preserve">“十五五”时期碳达峰碳中和相关具体实施方案待进一步明确。 </w:t>
      </w:r>
      <w:hyperlink w:anchor="source-8203">
        <w:r>
          <w:rPr>
            <w:rFonts w:ascii="微软雅黑" w:hAnsi="微软雅黑" w:eastAsia="微软雅黑" w:cs="微软雅黑"/>
            <w:color w:val="087E89"/>
          </w:rPr>
          <w:t>8</w:t>
        </w:r>
      </w:hyperlink>
      <w:r>
        <w:rPr>
          <w:rFonts w:ascii="微软雅黑" w:hAnsi="微软雅黑" w:eastAsia="微软雅黑" w:cs="微软雅黑"/>
        </w:rPr>
      </w:r>
    </w:p>
    <w:p>
      <w:pPr>
        <w:pStyle w:val="ListBullet"/>
      </w:pPr>
      <w:r>
        <w:rPr>
          <w:rFonts w:ascii="微软雅黑" w:hAnsi="微软雅黑" w:eastAsia="微软雅黑" w:cs="微软雅黑"/>
        </w:rPr>
        <w:t xml:space="preserve">双方待履行国内法律程序后公布各自降税产品清单并同步实施；中美投资理事会尚未披露任务架构细节。 </w:t>
      </w:r>
      <w:hyperlink w:anchor="source-8080">
        <w:r>
          <w:rPr>
            <w:rFonts w:ascii="微软雅黑" w:hAnsi="微软雅黑" w:eastAsia="微软雅黑" w:cs="微软雅黑"/>
            <w:color w:val="087E89"/>
          </w:rPr>
          <w:t>9</w:t>
        </w:r>
      </w:hyperlink>
      <w:r>
        <w:rPr>
          <w:rFonts w:ascii="微软雅黑" w:hAnsi="微软雅黑" w:eastAsia="微软雅黑" w:cs="微软雅黑"/>
        </w:rPr>
        <w:t xml:space="preserve"> </w:t>
      </w:r>
      <w:hyperlink w:anchor="source-7990">
        <w:r>
          <w:rPr>
            <w:rFonts w:ascii="微软雅黑" w:hAnsi="微软雅黑" w:eastAsia="微软雅黑" w:cs="微软雅黑"/>
            <w:color w:val="087E89"/>
          </w:rPr>
          <w:t>10</w:t>
        </w:r>
      </w:hyperlink>
      <w:r>
        <w:rPr>
          <w:rFonts w:ascii="微软雅黑" w:hAnsi="微软雅黑" w:eastAsia="微软雅黑" w:cs="微软雅黑"/>
        </w:rPr>
        <w:t xml:space="preserve"> </w:t>
      </w:r>
      <w:hyperlink w:anchor="source-7948">
        <w:r>
          <w:rPr>
            <w:rFonts w:ascii="微软雅黑" w:hAnsi="微软雅黑" w:eastAsia="微软雅黑" w:cs="微软雅黑"/>
            <w:color w:val="087E89"/>
          </w:rPr>
          <w:t>11</w:t>
        </w:r>
      </w:hyperlink>
      <w:r>
        <w:rPr>
          <w:rFonts w:ascii="微软雅黑" w:hAnsi="微软雅黑" w:eastAsia="微软雅黑" w:cs="微软雅黑"/>
        </w:rPr>
        <w:t xml:space="preserve"> </w:t>
      </w:r>
      <w:hyperlink w:anchor="source-8106">
        <w:r>
          <w:rPr>
            <w:rFonts w:ascii="微软雅黑" w:hAnsi="微软雅黑" w:eastAsia="微软雅黑" w:cs="微软雅黑"/>
            <w:color w:val="087E89"/>
          </w:rPr>
          <w:t>12</w:t>
        </w:r>
      </w:hyperlink>
      <w:r>
        <w:rPr>
          <w:rFonts w:ascii="微软雅黑" w:hAnsi="微软雅黑" w:eastAsia="微软雅黑" w:cs="微软雅黑"/>
        </w:rPr>
      </w:r>
    </w:p>
    <w:p>
      <w:pPr>
        <w:pStyle w:val="Heading2"/>
      </w:pPr>
      <w:r>
        <w:rPr>
          <w:rFonts w:ascii="微软雅黑" w:hAnsi="微软雅黑" w:eastAsia="微软雅黑" w:cs="微软雅黑"/>
        </w:rPr>
        <w:t>资料覆盖说明</w:t>
      </w:r>
    </w:p>
    <w:p>
      <w:pPr>
        <w:ind w:firstLine="420"/>
      </w:pPr>
      <w:r>
        <w:rPr>
          <w:rFonts w:ascii="微软雅黑" w:hAnsi="微软雅黑" w:eastAsia="微软雅黑" w:cs="微软雅黑"/>
        </w:rPr>
        <w:t>本期采集快照包含 430 篇文章，形成 362 篇有效能源材料；正文引用 30 篇来源，整理 20 个重点事件。</w:t>
      </w:r>
    </w:p>
    <w:p>
      <w:pPr>
        <w:ind w:firstLine="420"/>
      </w:pPr>
      <w:r>
        <w:rPr>
          <w:rFonts w:ascii="微软雅黑" w:hAnsi="微软雅黑" w:eastAsia="微软雅黑" w:cs="微软雅黑"/>
        </w:rPr>
        <w:t>按报道发布时间归档。历史数据、计划和预测不代表当日新发生或已经实现；来源样本不等于完整市场统计。</w:t>
      </w:r>
    </w:p>
    <w:p>
      <w:pPr>
        <w:ind w:firstLine="420"/>
      </w:pPr>
      <w:r>
        <w:rPr>
          <w:rFonts w:ascii="微软雅黑" w:hAnsi="微软雅黑" w:eastAsia="微软雅黑" w:cs="微软雅黑"/>
        </w:rPr>
        <w:t>另有 27 篇材料尚待复核，未纳入本期判断。</w:t>
      </w:r>
    </w:p>
    <w:p>
      <w:pPr>
        <w:ind w:firstLine="420"/>
      </w:pPr>
      <w:r>
        <w:rPr>
          <w:rFonts w:ascii="微软雅黑" w:hAnsi="微软雅黑" w:eastAsia="微软雅黑" w:cs="微软雅黑"/>
        </w:rPr>
        <w:t>本期材料较多，综合部分按重要性及主题覆盖择取。</w:t>
      </w:r>
    </w:p>
    <w:p>
      <w:pPr>
        <w:pStyle w:val="Heading2"/>
      </w:pPr>
      <w:r>
        <w:rPr>
          <w:rFonts w:ascii="微软雅黑" w:hAnsi="微软雅黑" w:eastAsia="微软雅黑" w:cs="微软雅黑"/>
        </w:rPr>
        <w:t>资料来源</w:t>
      </w:r>
    </w:p>
    <w:p>
      <w:pPr>
        <w:spacing w:after="0" w:line="20" w:lineRule="exact"/>
      </w:pPr>
      <w:bookmarkStart w:id="1" w:name="source-8255"/>
      <w:bookmarkEnd w:id="1" w:name="source-8255"/>
    </w:p>
    <w:p>
      <w:pPr>
        <w:pStyle w:val="ListBullet"/>
      </w:pPr>
      <w:r>
        <w:rPr>
          <w:rFonts w:ascii="微软雅黑" w:hAnsi="微软雅黑" w:eastAsia="微软雅黑" w:cs="微软雅黑"/>
        </w:rPr>
        <w:t>[1] 叙利亚通讯社｜</w:t>
      </w:r>
      <w:hyperlink r:id="rId11">
        <w:r>
          <w:rPr>
            <w:rFonts w:ascii="微软雅黑" w:hAnsi="微软雅黑" w:eastAsia="微软雅黑" w:cs="微软雅黑"/>
            <w:color w:val="087E89"/>
          </w:rPr>
          <w:t>中东局势石油出口在9月回升，沙特发货量增加</w:t>
        </w:r>
      </w:hyperlink>
      <w:r>
        <w:rPr>
          <w:rFonts w:ascii="微软雅黑" w:hAnsi="微软雅黑" w:eastAsia="微软雅黑" w:cs="微软雅黑"/>
        </w:rPr>
      </w:r>
    </w:p>
    <w:p>
      <w:pPr>
        <w:spacing w:after="0" w:line="20" w:lineRule="exact"/>
      </w:pPr>
      <w:bookmarkStart w:id="2" w:name="source-8227"/>
      <w:bookmarkEnd w:id="2" w:name="source-8227"/>
    </w:p>
    <w:p>
      <w:pPr>
        <w:pStyle w:val="ListBullet"/>
      </w:pPr>
      <w:r>
        <w:rPr>
          <w:rFonts w:ascii="微软雅黑" w:hAnsi="微软雅黑" w:eastAsia="微软雅黑" w:cs="微软雅黑"/>
        </w:rPr>
        <w:t>[2] 汇通财经｜</w:t>
      </w:r>
      <w:hyperlink r:id="rId12">
        <w:r>
          <w:rPr>
            <w:rFonts w:ascii="微软雅黑" w:hAnsi="微软雅黑" w:eastAsia="微软雅黑" w:cs="微软雅黑"/>
            <w:color w:val="087E89"/>
          </w:rPr>
          <w:t>霍尔木兹权重下降，美国调整对伊叙事，高油价僵局持续</w:t>
        </w:r>
      </w:hyperlink>
      <w:r>
        <w:rPr>
          <w:rFonts w:ascii="微软雅黑" w:hAnsi="微软雅黑" w:eastAsia="微软雅黑" w:cs="微软雅黑"/>
        </w:rPr>
      </w:r>
    </w:p>
    <w:p>
      <w:pPr>
        <w:spacing w:after="0" w:line="20" w:lineRule="exact"/>
      </w:pPr>
      <w:bookmarkStart w:id="3" w:name="source-7911"/>
      <w:bookmarkEnd w:id="3" w:name="source-7911"/>
    </w:p>
    <w:p>
      <w:pPr>
        <w:pStyle w:val="ListBullet"/>
      </w:pPr>
      <w:r>
        <w:rPr>
          <w:rFonts w:ascii="微软雅黑" w:hAnsi="微软雅黑" w:eastAsia="微软雅黑" w:cs="微软雅黑"/>
        </w:rPr>
        <w:t>[3] Green Building Africa｜</w:t>
      </w:r>
      <w:hyperlink r:id="rId13">
        <w:r>
          <w:rPr>
            <w:rFonts w:ascii="微软雅黑" w:hAnsi="微软雅黑" w:eastAsia="微软雅黑" w:cs="微软雅黑"/>
            <w:color w:val="087E89"/>
          </w:rPr>
          <w:t>电气化势头增强，霍尔木兹危机推动各方关注能源安全</w:t>
        </w:r>
      </w:hyperlink>
      <w:r>
        <w:rPr>
          <w:rFonts w:ascii="微软雅黑" w:hAnsi="微软雅黑" w:eastAsia="微软雅黑" w:cs="微软雅黑"/>
        </w:rPr>
      </w:r>
    </w:p>
    <w:p>
      <w:pPr>
        <w:spacing w:after="0" w:line="20" w:lineRule="exact"/>
      </w:pPr>
      <w:bookmarkStart w:id="4" w:name="source-8372"/>
      <w:bookmarkEnd w:id="4" w:name="source-8372"/>
    </w:p>
    <w:p>
      <w:pPr>
        <w:pStyle w:val="ListBullet"/>
      </w:pPr>
      <w:r>
        <w:rPr>
          <w:rFonts w:ascii="微软雅黑" w:hAnsi="微软雅黑" w:eastAsia="微软雅黑" w:cs="微软雅黑"/>
        </w:rPr>
        <w:t>[4] 欧洲输电系统运营商联盟｜</w:t>
      </w:r>
      <w:hyperlink r:id="rId14">
        <w:r>
          <w:rPr>
            <w:rFonts w:ascii="微软雅黑" w:hAnsi="微软雅黑" w:eastAsia="微软雅黑" w:cs="微软雅黑"/>
            <w:color w:val="087E89"/>
          </w:rPr>
          <w:t>新闻稿 释放电气化潜力：ENTSO-E 对面向未来（FUTURE）的电力账单（Electricity Bills）提案的立场</w:t>
        </w:r>
      </w:hyperlink>
      <w:r>
        <w:rPr>
          <w:rFonts w:ascii="微软雅黑" w:hAnsi="微软雅黑" w:eastAsia="微软雅黑" w:cs="微软雅黑"/>
        </w:rPr>
      </w:r>
    </w:p>
    <w:p>
      <w:pPr>
        <w:spacing w:after="0" w:line="20" w:lineRule="exact"/>
      </w:pPr>
      <w:bookmarkStart w:id="5" w:name="source-8309"/>
      <w:bookmarkEnd w:id="5" w:name="source-8309"/>
    </w:p>
    <w:p>
      <w:pPr>
        <w:pStyle w:val="ListBullet"/>
      </w:pPr>
      <w:r>
        <w:rPr>
          <w:rFonts w:ascii="微软雅黑" w:hAnsi="微软雅黑" w:eastAsia="微软雅黑" w:cs="微软雅黑"/>
        </w:rPr>
        <w:t>[5] Mining Weekly｜</w:t>
      </w:r>
      <w:hyperlink r:id="rId15">
        <w:r>
          <w:rPr>
            <w:rFonts w:ascii="微软雅黑" w:hAnsi="微软雅黑" w:eastAsia="微软雅黑" w:cs="微软雅黑"/>
            <w:color w:val="087E89"/>
          </w:rPr>
          <w:t>印度消耗煤炭库存以缓解电力缺口</w:t>
        </w:r>
      </w:hyperlink>
      <w:r>
        <w:rPr>
          <w:rFonts w:ascii="微软雅黑" w:hAnsi="微软雅黑" w:eastAsia="微软雅黑" w:cs="微软雅黑"/>
        </w:rPr>
      </w:r>
    </w:p>
    <w:p>
      <w:pPr>
        <w:spacing w:after="0" w:line="20" w:lineRule="exact"/>
      </w:pPr>
      <w:bookmarkStart w:id="6" w:name="source-8250"/>
      <w:bookmarkEnd w:id="6" w:name="source-8250"/>
    </w:p>
    <w:p>
      <w:pPr>
        <w:pStyle w:val="ListBullet"/>
      </w:pPr>
      <w:r>
        <w:rPr>
          <w:rFonts w:ascii="微软雅黑" w:hAnsi="微软雅黑" w:eastAsia="微软雅黑" w:cs="微软雅黑"/>
        </w:rPr>
        <w:t>[6] 新浪财经｜</w:t>
      </w:r>
      <w:hyperlink r:id="rId16">
        <w:r>
          <w:rPr>
            <w:rFonts w:ascii="微软雅黑" w:hAnsi="微软雅黑" w:eastAsia="微软雅黑" w:cs="微软雅黑"/>
            <w:color w:val="087E89"/>
          </w:rPr>
          <w:t>印度快速消耗煤炭库存 以缓解电力缺口</w:t>
        </w:r>
      </w:hyperlink>
      <w:r>
        <w:rPr>
          <w:rFonts w:ascii="微软雅黑" w:hAnsi="微软雅黑" w:eastAsia="微软雅黑" w:cs="微软雅黑"/>
        </w:rPr>
      </w:r>
    </w:p>
    <w:p>
      <w:pPr>
        <w:spacing w:after="0" w:line="20" w:lineRule="exact"/>
      </w:pPr>
      <w:bookmarkStart w:id="7" w:name="source-8222"/>
      <w:bookmarkEnd w:id="7" w:name="source-8222"/>
    </w:p>
    <w:p>
      <w:pPr>
        <w:pStyle w:val="ListBullet"/>
      </w:pPr>
      <w:r>
        <w:rPr>
          <w:rFonts w:ascii="微软雅黑" w:hAnsi="微软雅黑" w:eastAsia="微软雅黑" w:cs="微软雅黑"/>
        </w:rPr>
        <w:t>[7] 光伏杂志国际版｜</w:t>
      </w:r>
      <w:hyperlink r:id="rId17">
        <w:r>
          <w:rPr>
            <w:rFonts w:ascii="微软雅黑" w:hAnsi="微软雅黑" w:eastAsia="微软雅黑" w:cs="微软雅黑"/>
            <w:color w:val="087E89"/>
          </w:rPr>
          <w:t>欧盟逆变器限制可能从针对国家转向针对个别高风险供应商</w:t>
        </w:r>
      </w:hyperlink>
      <w:r>
        <w:rPr>
          <w:rFonts w:ascii="微软雅黑" w:hAnsi="微软雅黑" w:eastAsia="微软雅黑" w:cs="微软雅黑"/>
        </w:rPr>
      </w:r>
    </w:p>
    <w:p>
      <w:pPr>
        <w:spacing w:after="0" w:line="20" w:lineRule="exact"/>
      </w:pPr>
      <w:bookmarkStart w:id="8" w:name="source-8203"/>
      <w:bookmarkEnd w:id="8" w:name="source-8203"/>
    </w:p>
    <w:p>
      <w:pPr>
        <w:pStyle w:val="ListBullet"/>
      </w:pPr>
      <w:r>
        <w:rPr>
          <w:rFonts w:ascii="微软雅黑" w:hAnsi="微软雅黑" w:eastAsia="微软雅黑" w:cs="微软雅黑"/>
        </w:rPr>
        <w:t>[8] 国家管网集团｜</w:t>
      </w:r>
      <w:hyperlink r:id="rId18">
        <w:r>
          <w:rPr>
            <w:rFonts w:ascii="微软雅黑" w:hAnsi="微软雅黑" w:eastAsia="微软雅黑" w:cs="微软雅黑"/>
            <w:color w:val="087E89"/>
          </w:rPr>
          <w:t>生态环境部：中国绿色发展动能不断增强</w:t>
        </w:r>
      </w:hyperlink>
      <w:r>
        <w:rPr>
          <w:rFonts w:ascii="微软雅黑" w:hAnsi="微软雅黑" w:eastAsia="微软雅黑" w:cs="微软雅黑"/>
        </w:rPr>
      </w:r>
    </w:p>
    <w:p>
      <w:pPr>
        <w:spacing w:after="0" w:line="20" w:lineRule="exact"/>
      </w:pPr>
      <w:bookmarkStart w:id="9" w:name="source-8080"/>
      <w:bookmarkEnd w:id="9" w:name="source-8080"/>
    </w:p>
    <w:p>
      <w:pPr>
        <w:pStyle w:val="ListBullet"/>
      </w:pPr>
      <w:r>
        <w:rPr>
          <w:rFonts w:ascii="微软雅黑" w:hAnsi="微软雅黑" w:eastAsia="微软雅黑" w:cs="微软雅黑"/>
        </w:rPr>
        <w:t>[9] 新华社国际要闻（战略与能源）｜</w:t>
      </w:r>
      <w:hyperlink r:id="rId19">
        <w:r>
          <w:rPr>
            <w:rFonts w:ascii="微软雅黑" w:hAnsi="微软雅黑" w:eastAsia="微软雅黑" w:cs="微软雅黑"/>
            <w:color w:val="087E89"/>
          </w:rPr>
          <w:t>商务部美大司负责人解读第八轮中美经贸磋商成果</w:t>
        </w:r>
      </w:hyperlink>
      <w:r>
        <w:rPr>
          <w:rFonts w:ascii="微软雅黑" w:hAnsi="微软雅黑" w:eastAsia="微软雅黑" w:cs="微软雅黑"/>
        </w:rPr>
      </w:r>
    </w:p>
    <w:p>
      <w:pPr>
        <w:spacing w:after="0" w:line="20" w:lineRule="exact"/>
      </w:pPr>
      <w:bookmarkStart w:id="10" w:name="source-7990"/>
      <w:bookmarkEnd w:id="10" w:name="source-7990"/>
    </w:p>
    <w:p>
      <w:pPr>
        <w:pStyle w:val="ListBullet"/>
      </w:pPr>
      <w:r>
        <w:rPr>
          <w:rFonts w:ascii="微软雅黑" w:hAnsi="微软雅黑" w:eastAsia="微软雅黑" w:cs="微软雅黑"/>
        </w:rPr>
        <w:t>[10] 人民日报｜</w:t>
      </w:r>
      <w:hyperlink r:id="rId20">
        <w:r>
          <w:rPr>
            <w:rFonts w:ascii="微软雅黑" w:hAnsi="微软雅黑" w:eastAsia="微软雅黑" w:cs="微软雅黑"/>
            <w:color w:val="087E89"/>
          </w:rPr>
          <w:t>商务部美大司负责人解读第八轮中美经贸磋商成果</w:t>
        </w:r>
      </w:hyperlink>
      <w:r>
        <w:rPr>
          <w:rFonts w:ascii="微软雅黑" w:hAnsi="微软雅黑" w:eastAsia="微软雅黑" w:cs="微软雅黑"/>
        </w:rPr>
      </w:r>
    </w:p>
    <w:p>
      <w:pPr>
        <w:spacing w:after="0" w:line="20" w:lineRule="exact"/>
      </w:pPr>
      <w:bookmarkStart w:id="11" w:name="source-7948"/>
      <w:bookmarkEnd w:id="11" w:name="source-7948"/>
    </w:p>
    <w:p>
      <w:pPr>
        <w:pStyle w:val="ListBullet"/>
      </w:pPr>
      <w:r>
        <w:rPr>
          <w:rFonts w:ascii="微软雅黑" w:hAnsi="微软雅黑" w:eastAsia="微软雅黑" w:cs="微软雅黑"/>
        </w:rPr>
        <w:t>[11] 人民财讯等｜</w:t>
      </w:r>
      <w:hyperlink r:id="rId21">
        <w:r>
          <w:rPr>
            <w:rFonts w:ascii="微软雅黑" w:hAnsi="微软雅黑" w:eastAsia="微软雅黑" w:cs="微软雅黑"/>
            <w:color w:val="087E89"/>
          </w:rPr>
          <w:t>商务部美大司负责人解读第八轮中美经贸磋商成果</w:t>
        </w:r>
      </w:hyperlink>
      <w:r>
        <w:rPr>
          <w:rFonts w:ascii="微软雅黑" w:hAnsi="微软雅黑" w:eastAsia="微软雅黑" w:cs="微软雅黑"/>
        </w:rPr>
      </w:r>
    </w:p>
    <w:p>
      <w:pPr>
        <w:spacing w:after="0" w:line="20" w:lineRule="exact"/>
      </w:pPr>
      <w:bookmarkStart w:id="12" w:name="source-8106"/>
      <w:bookmarkEnd w:id="12" w:name="source-8106"/>
    </w:p>
    <w:p>
      <w:pPr>
        <w:pStyle w:val="ListBullet"/>
      </w:pPr>
      <w:r>
        <w:rPr>
          <w:rFonts w:ascii="微软雅黑" w:hAnsi="微软雅黑" w:eastAsia="微软雅黑" w:cs="微软雅黑"/>
        </w:rPr>
        <w:t>[12] 中国新闻网｜</w:t>
      </w:r>
      <w:hyperlink r:id="rId22">
        <w:r>
          <w:rPr>
            <w:rFonts w:ascii="微软雅黑" w:hAnsi="微软雅黑" w:eastAsia="微软雅黑" w:cs="微软雅黑"/>
            <w:color w:val="087E89"/>
          </w:rPr>
          <w:t>商务部公布中美贸易理事会和“300亿对300亿”对等降税框架有关情况</w:t>
        </w:r>
      </w:hyperlink>
      <w:r>
        <w:rPr>
          <w:rFonts w:ascii="微软雅黑" w:hAnsi="微软雅黑" w:eastAsia="微软雅黑" w:cs="微软雅黑"/>
        </w:rPr>
      </w:r>
    </w:p>
    <w:p>
      <w:pPr>
        <w:spacing w:after="0" w:line="20" w:lineRule="exact"/>
      </w:pPr>
      <w:bookmarkStart w:id="13" w:name="source-8034"/>
      <w:bookmarkEnd w:id="13" w:name="source-8034"/>
    </w:p>
    <w:p>
      <w:pPr>
        <w:pStyle w:val="ListBullet"/>
      </w:pPr>
      <w:r>
        <w:rPr>
          <w:rFonts w:ascii="微软雅黑" w:hAnsi="微软雅黑" w:eastAsia="微软雅黑" w:cs="微软雅黑"/>
        </w:rPr>
        <w:t>[13] Solarbe(光伏网)｜</w:t>
      </w:r>
      <w:hyperlink r:id="rId23">
        <w:r>
          <w:rPr>
            <w:rFonts w:ascii="微软雅黑" w:hAnsi="微软雅黑" w:eastAsia="微软雅黑" w:cs="微软雅黑"/>
            <w:color w:val="087E89"/>
          </w:rPr>
          <w:t>广东印发降碳三年攻坚方案！光储成标配</w:t>
        </w:r>
      </w:hyperlink>
      <w:r>
        <w:rPr>
          <w:rFonts w:ascii="微软雅黑" w:hAnsi="微软雅黑" w:eastAsia="微软雅黑" w:cs="微软雅黑"/>
        </w:rPr>
      </w:r>
    </w:p>
    <w:p>
      <w:pPr>
        <w:spacing w:after="0" w:line="20" w:lineRule="exact"/>
      </w:pPr>
      <w:bookmarkStart w:id="14" w:name="source-8433"/>
      <w:bookmarkEnd w:id="14" w:name="source-8433"/>
    </w:p>
    <w:p>
      <w:pPr>
        <w:pStyle w:val="ListBullet"/>
      </w:pPr>
      <w:r>
        <w:rPr>
          <w:rFonts w:ascii="微软雅黑" w:hAnsi="微软雅黑" w:eastAsia="微软雅黑" w:cs="微软雅黑"/>
        </w:rPr>
        <w:t>[14] 世界核新闻｜</w:t>
      </w:r>
      <w:hyperlink r:id="rId24">
        <w:r>
          <w:rPr>
            <w:rFonts w:ascii="微软雅黑" w:hAnsi="微软雅黑" w:eastAsia="微软雅黑" w:cs="微软雅黑"/>
            <w:color w:val="087E89"/>
          </w:rPr>
          <w:t>美国核能管理委员会完成对Crane核电厂重启的环境审查</w:t>
        </w:r>
      </w:hyperlink>
      <w:r>
        <w:rPr>
          <w:rFonts w:ascii="微软雅黑" w:hAnsi="微软雅黑" w:eastAsia="微软雅黑" w:cs="微软雅黑"/>
        </w:rPr>
      </w:r>
    </w:p>
    <w:p>
      <w:pPr>
        <w:spacing w:after="0" w:line="20" w:lineRule="exact"/>
      </w:pPr>
      <w:bookmarkStart w:id="15" w:name="source-8374"/>
      <w:bookmarkEnd w:id="15" w:name="source-8374"/>
    </w:p>
    <w:p>
      <w:pPr>
        <w:pStyle w:val="ListBullet"/>
      </w:pPr>
      <w:r>
        <w:rPr>
          <w:rFonts w:ascii="微软雅黑" w:hAnsi="微软雅黑" w:eastAsia="微软雅黑" w:cs="微软雅黑"/>
        </w:rPr>
        <w:t>[15] 清洁能源通讯社 · 简报 | 2026年9月28日｜</w:t>
      </w:r>
      <w:hyperlink r:id="rId25">
        <w:r>
          <w:rPr>
            <w:rFonts w:ascii="微软雅黑" w:hAnsi="微软雅黑" w:eastAsia="微软雅黑" w:cs="微软雅黑"/>
            <w:color w:val="087E89"/>
          </w:rPr>
          <w:t>查看原文</w:t>
        </w:r>
      </w:hyperlink>
      <w:r>
        <w:rPr>
          <w:rFonts w:ascii="微软雅黑" w:hAnsi="微软雅黑" w:eastAsia="微软雅黑" w:cs="微软雅黑"/>
        </w:rPr>
      </w:r>
    </w:p>
    <w:p>
      <w:pPr>
        <w:spacing w:after="0" w:line="20" w:lineRule="exact"/>
      </w:pPr>
      <w:bookmarkStart w:id="16" w:name="source-8077"/>
      <w:bookmarkEnd w:id="16" w:name="source-8077"/>
    </w:p>
    <w:p>
      <w:pPr>
        <w:pStyle w:val="ListBullet"/>
      </w:pPr>
      <w:r>
        <w:rPr>
          <w:rFonts w:ascii="微软雅黑" w:hAnsi="微软雅黑" w:eastAsia="微软雅黑" w:cs="微软雅黑"/>
        </w:rPr>
        <w:t>[16] 中国能源新闻网｜</w:t>
      </w:r>
      <w:hyperlink r:id="rId26">
        <w:r>
          <w:rPr>
            <w:rFonts w:ascii="微软雅黑" w:hAnsi="微软雅黑" w:eastAsia="微软雅黑" w:cs="微软雅黑"/>
            <w:color w:val="087E89"/>
          </w:rPr>
          <w:t>国家电投集团广西白龙核电2号机组开工</w:t>
        </w:r>
      </w:hyperlink>
      <w:r>
        <w:rPr>
          <w:rFonts w:ascii="微软雅黑" w:hAnsi="微软雅黑" w:eastAsia="微软雅黑" w:cs="微软雅黑"/>
        </w:rPr>
      </w:r>
    </w:p>
    <w:p>
      <w:pPr>
        <w:spacing w:after="0" w:line="20" w:lineRule="exact"/>
      </w:pPr>
      <w:bookmarkStart w:id="17" w:name="source-8354"/>
      <w:bookmarkEnd w:id="17" w:name="source-8354"/>
    </w:p>
    <w:p>
      <w:pPr>
        <w:pStyle w:val="ListBullet"/>
      </w:pPr>
      <w:r>
        <w:rPr>
          <w:rFonts w:ascii="微软雅黑" w:hAnsi="微软雅黑" w:eastAsia="微软雅黑" w:cs="微软雅黑"/>
        </w:rPr>
        <w:t>[17] 世界核新闻｜</w:t>
      </w:r>
      <w:hyperlink r:id="rId27">
        <w:r>
          <w:rPr>
            <w:rFonts w:ascii="微软雅黑" w:hAnsi="微软雅黑" w:eastAsia="微软雅黑" w:cs="微软雅黑"/>
            <w:color w:val="087E89"/>
          </w:rPr>
          <w:t>白龙2号核电机组浇筑第一罐混凝土</w:t>
        </w:r>
      </w:hyperlink>
      <w:r>
        <w:rPr>
          <w:rFonts w:ascii="微软雅黑" w:hAnsi="微软雅黑" w:eastAsia="微软雅黑" w:cs="微软雅黑"/>
        </w:rPr>
      </w:r>
    </w:p>
    <w:p>
      <w:pPr>
        <w:spacing w:after="0" w:line="20" w:lineRule="exact"/>
      </w:pPr>
      <w:bookmarkStart w:id="18" w:name="source-8215"/>
      <w:bookmarkEnd w:id="18" w:name="source-8215"/>
    </w:p>
    <w:p>
      <w:pPr>
        <w:pStyle w:val="ListBullet"/>
      </w:pPr>
      <w:r>
        <w:rPr>
          <w:rFonts w:ascii="微软雅黑" w:hAnsi="微软雅黑" w:eastAsia="微软雅黑" w:cs="微软雅黑"/>
        </w:rPr>
        <w:t>[18] SHMET（上海金属网）｜</w:t>
      </w:r>
      <w:hyperlink r:id="rId28">
        <w:r>
          <w:rPr>
            <w:rFonts w:ascii="微软雅黑" w:hAnsi="微软雅黑" w:eastAsia="微软雅黑" w:cs="微软雅黑"/>
            <w:color w:val="087E89"/>
          </w:rPr>
          <w:t>新型电池产业发展“十五五”规划印发，有哪些亮点？</w:t>
        </w:r>
      </w:hyperlink>
      <w:r>
        <w:rPr>
          <w:rFonts w:ascii="微软雅黑" w:hAnsi="微软雅黑" w:eastAsia="微软雅黑" w:cs="微软雅黑"/>
        </w:rPr>
      </w:r>
    </w:p>
    <w:p>
      <w:pPr>
        <w:spacing w:after="0" w:line="20" w:lineRule="exact"/>
      </w:pPr>
      <w:bookmarkStart w:id="19" w:name="source-8260"/>
      <w:bookmarkEnd w:id="19" w:name="source-8260"/>
    </w:p>
    <w:p>
      <w:pPr>
        <w:pStyle w:val="ListBullet"/>
      </w:pPr>
      <w:r>
        <w:rPr>
          <w:rFonts w:ascii="微软雅黑" w:hAnsi="微软雅黑" w:eastAsia="微软雅黑" w:cs="微软雅黑"/>
        </w:rPr>
        <w:t>[19] 中国能源新闻网｜</w:t>
      </w:r>
      <w:hyperlink r:id="rId29">
        <w:r>
          <w:rPr>
            <w:rFonts w:ascii="微软雅黑" w:hAnsi="微软雅黑" w:eastAsia="微软雅黑" w:cs="微软雅黑"/>
            <w:color w:val="087E89"/>
          </w:rPr>
          <w:t>七部门联合印发《新型电池产业发展“十五五”规划》</w:t>
        </w:r>
      </w:hyperlink>
      <w:r>
        <w:rPr>
          <w:rFonts w:ascii="微软雅黑" w:hAnsi="微软雅黑" w:eastAsia="微软雅黑" w:cs="微软雅黑"/>
        </w:rPr>
      </w:r>
    </w:p>
    <w:p>
      <w:pPr>
        <w:spacing w:after="0" w:line="20" w:lineRule="exact"/>
      </w:pPr>
      <w:bookmarkStart w:id="20" w:name="source-8186"/>
      <w:bookmarkEnd w:id="20" w:name="source-8186"/>
    </w:p>
    <w:p>
      <w:pPr>
        <w:pStyle w:val="ListBullet"/>
      </w:pPr>
      <w:r>
        <w:rPr>
          <w:rFonts w:ascii="微软雅黑" w:hAnsi="微软雅黑" w:eastAsia="微软雅黑" w:cs="微软雅黑"/>
        </w:rPr>
        <w:t>[20] Mysteel｜</w:t>
      </w:r>
      <w:hyperlink r:id="rId30">
        <w:r>
          <w:rPr>
            <w:rFonts w:ascii="微软雅黑" w:hAnsi="微软雅黑" w:eastAsia="微软雅黑" w:cs="微软雅黑"/>
            <w:color w:val="087E89"/>
          </w:rPr>
          <w:t>七部门：构建以锂电池为主，钠电池、液流电池等协同发展的新型电池产品供给体系</w:t>
        </w:r>
      </w:hyperlink>
      <w:r>
        <w:rPr>
          <w:rFonts w:ascii="微软雅黑" w:hAnsi="微软雅黑" w:eastAsia="微软雅黑" w:cs="微软雅黑"/>
        </w:rPr>
      </w:r>
    </w:p>
    <w:p>
      <w:pPr>
        <w:spacing w:after="0" w:line="20" w:lineRule="exact"/>
      </w:pPr>
      <w:bookmarkStart w:id="21" w:name="source-8130"/>
      <w:bookmarkEnd w:id="21" w:name="source-8130"/>
    </w:p>
    <w:p>
      <w:pPr>
        <w:pStyle w:val="ListBullet"/>
      </w:pPr>
      <w:r>
        <w:rPr>
          <w:rFonts w:ascii="微软雅黑" w:hAnsi="微软雅黑" w:eastAsia="微软雅黑" w:cs="微软雅黑"/>
        </w:rPr>
        <w:t>[21] 人民财讯等｜</w:t>
      </w:r>
      <w:hyperlink r:id="rId31">
        <w:r>
          <w:rPr>
            <w:rFonts w:ascii="微软雅黑" w:hAnsi="微软雅黑" w:eastAsia="微软雅黑" w:cs="微软雅黑"/>
            <w:color w:val="087E89"/>
          </w:rPr>
          <w:t>七部门：发展先进电池材料和高端制造设备</w:t>
        </w:r>
      </w:hyperlink>
      <w:r>
        <w:rPr>
          <w:rFonts w:ascii="微软雅黑" w:hAnsi="微软雅黑" w:eastAsia="微软雅黑" w:cs="微软雅黑"/>
        </w:rPr>
      </w:r>
    </w:p>
    <w:p>
      <w:pPr>
        <w:spacing w:after="0" w:line="20" w:lineRule="exact"/>
      </w:pPr>
      <w:bookmarkStart w:id="22" w:name="source-8145"/>
      <w:bookmarkEnd w:id="22" w:name="source-8145"/>
    </w:p>
    <w:p>
      <w:pPr>
        <w:pStyle w:val="ListBullet"/>
      </w:pPr>
      <w:r>
        <w:rPr>
          <w:rFonts w:ascii="微软雅黑" w:hAnsi="微软雅黑" w:eastAsia="微软雅黑" w:cs="微软雅黑"/>
        </w:rPr>
        <w:t>[22] 韩国联合通讯社｜[[特色股]太阳能股因美国模块及多晶硅价格上涨而急涨（综合）](https://www.yna.co.kr/view/AKR20260928045051008?section=industry/energy-resource)</w:t>
      </w:r>
    </w:p>
    <w:p>
      <w:pPr>
        <w:spacing w:after="0" w:line="20" w:lineRule="exact"/>
      </w:pPr>
      <w:bookmarkStart w:id="23" w:name="source-8371"/>
      <w:bookmarkEnd w:id="23" w:name="source-8371"/>
    </w:p>
    <w:p>
      <w:pPr>
        <w:pStyle w:val="ListBullet"/>
      </w:pPr>
      <w:r>
        <w:rPr>
          <w:rFonts w:ascii="微软雅黑" w:hAnsi="微软雅黑" w:eastAsia="微软雅黑" w:cs="微软雅黑"/>
        </w:rPr>
        <w:t>[23] 中国新闻网｜</w:t>
      </w:r>
      <w:hyperlink r:id="rId32">
        <w:r>
          <w:rPr>
            <w:rFonts w:ascii="微软雅黑" w:hAnsi="微软雅黑" w:eastAsia="微软雅黑" w:cs="微软雅黑"/>
            <w:color w:val="087E89"/>
          </w:rPr>
          <w:t>中国石油西南油气田2026年油气当量突破3000万吨</w:t>
        </w:r>
      </w:hyperlink>
      <w:r>
        <w:rPr>
          <w:rFonts w:ascii="微软雅黑" w:hAnsi="微软雅黑" w:eastAsia="微软雅黑" w:cs="微软雅黑"/>
        </w:rPr>
      </w:r>
    </w:p>
    <w:p>
      <w:pPr>
        <w:spacing w:after="0" w:line="20" w:lineRule="exact"/>
      </w:pPr>
      <w:bookmarkStart w:id="24" w:name="source-7939"/>
      <w:bookmarkEnd w:id="24" w:name="source-7939"/>
    </w:p>
    <w:p>
      <w:pPr>
        <w:pStyle w:val="ListBullet"/>
      </w:pPr>
      <w:r>
        <w:rPr>
          <w:rFonts w:ascii="微软雅黑" w:hAnsi="微软雅黑" w:eastAsia="微软雅黑" w:cs="微软雅黑"/>
        </w:rPr>
        <w:t>[24] 人民财讯等｜</w:t>
      </w:r>
      <w:hyperlink r:id="rId33">
        <w:r>
          <w:rPr>
            <w:rFonts w:ascii="微软雅黑" w:hAnsi="微软雅黑" w:eastAsia="微软雅黑" w:cs="微软雅黑"/>
            <w:color w:val="087E89"/>
          </w:rPr>
          <w:t>国家能源局组织召开2026—2027年采暖季天然气保供形势研判专题会议</w:t>
        </w:r>
      </w:hyperlink>
      <w:r>
        <w:rPr>
          <w:rFonts w:ascii="微软雅黑" w:hAnsi="微软雅黑" w:eastAsia="微软雅黑" w:cs="微软雅黑"/>
        </w:rPr>
      </w:r>
    </w:p>
    <w:p>
      <w:pPr>
        <w:spacing w:after="0" w:line="20" w:lineRule="exact"/>
      </w:pPr>
      <w:bookmarkStart w:id="25" w:name="source-7920"/>
      <w:bookmarkEnd w:id="25" w:name="source-7920"/>
    </w:p>
    <w:p>
      <w:pPr>
        <w:pStyle w:val="ListBullet"/>
      </w:pPr>
      <w:r>
        <w:rPr>
          <w:rFonts w:ascii="微软雅黑" w:hAnsi="微软雅黑" w:eastAsia="微软雅黑" w:cs="微软雅黑"/>
        </w:rPr>
        <w:t>[25] 中国能源网｜</w:t>
      </w:r>
      <w:hyperlink r:id="rId34">
        <w:r>
          <w:rPr>
            <w:rFonts w:ascii="微软雅黑" w:hAnsi="微软雅黑" w:eastAsia="微软雅黑" w:cs="微软雅黑"/>
            <w:color w:val="087E89"/>
          </w:rPr>
          <w:t>中国正在挖一座“不枯竭的矿”</w:t>
        </w:r>
      </w:hyperlink>
      <w:r>
        <w:rPr>
          <w:rFonts w:ascii="微软雅黑" w:hAnsi="微软雅黑" w:eastAsia="微软雅黑" w:cs="微软雅黑"/>
        </w:rPr>
      </w:r>
    </w:p>
    <w:p>
      <w:pPr>
        <w:spacing w:after="0" w:line="20" w:lineRule="exact"/>
      </w:pPr>
      <w:bookmarkStart w:id="26" w:name="source-7894"/>
      <w:bookmarkEnd w:id="26" w:name="source-7894"/>
    </w:p>
    <w:p>
      <w:pPr>
        <w:pStyle w:val="ListBullet"/>
      </w:pPr>
      <w:r>
        <w:rPr>
          <w:rFonts w:ascii="微软雅黑" w:hAnsi="微软雅黑" w:eastAsia="微软雅黑" w:cs="微软雅黑"/>
        </w:rPr>
        <w:t>[26] 中国新闻网｜</w:t>
      </w:r>
      <w:hyperlink r:id="rId35">
        <w:r>
          <w:rPr>
            <w:rFonts w:ascii="微软雅黑" w:hAnsi="微软雅黑" w:eastAsia="微软雅黑" w:cs="微软雅黑"/>
            <w:color w:val="087E89"/>
          </w:rPr>
          <w:t>特朗普：预计美伊将在几天内重启谈判</w:t>
        </w:r>
      </w:hyperlink>
      <w:r>
        <w:rPr>
          <w:rFonts w:ascii="微软雅黑" w:hAnsi="微软雅黑" w:eastAsia="微软雅黑" w:cs="微软雅黑"/>
        </w:rPr>
      </w:r>
    </w:p>
    <w:p>
      <w:pPr>
        <w:spacing w:after="0" w:line="20" w:lineRule="exact"/>
      </w:pPr>
      <w:bookmarkStart w:id="27" w:name="source-7864"/>
      <w:bookmarkEnd w:id="27" w:name="source-7864"/>
    </w:p>
    <w:p>
      <w:pPr>
        <w:pStyle w:val="ListBullet"/>
      </w:pPr>
      <w:r>
        <w:rPr>
          <w:rFonts w:ascii="微软雅黑" w:hAnsi="微软雅黑" w:eastAsia="微软雅黑" w:cs="微软雅黑"/>
        </w:rPr>
        <w:t>[27] Vanguard News｜</w:t>
      </w:r>
      <w:hyperlink r:id="rId36">
        <w:r>
          <w:rPr>
            <w:rFonts w:ascii="微软雅黑" w:hAnsi="微软雅黑" w:eastAsia="微软雅黑" w:cs="微软雅黑"/>
            <w:color w:val="087E89"/>
          </w:rPr>
          <w:t>美国将伊朗重新开放霍尔木兹海峡的报盘称为“虚伪”</w:t>
        </w:r>
      </w:hyperlink>
      <w:r>
        <w:rPr>
          <w:rFonts w:ascii="微软雅黑" w:hAnsi="微软雅黑" w:eastAsia="微软雅黑" w:cs="微软雅黑"/>
        </w:rPr>
      </w:r>
    </w:p>
    <w:p>
      <w:pPr>
        <w:spacing w:after="0" w:line="20" w:lineRule="exact"/>
      </w:pPr>
      <w:bookmarkStart w:id="28" w:name="source-8355"/>
      <w:bookmarkEnd w:id="28" w:name="source-8355"/>
    </w:p>
    <w:p>
      <w:pPr>
        <w:pStyle w:val="ListBullet"/>
      </w:pPr>
      <w:r>
        <w:rPr>
          <w:rFonts w:ascii="微软雅黑" w:hAnsi="微软雅黑" w:eastAsia="微软雅黑" w:cs="微软雅黑"/>
        </w:rPr>
        <w:t>[28] The Battery Magazine｜</w:t>
      </w:r>
      <w:hyperlink r:id="rId37">
        <w:r>
          <w:rPr>
            <w:rFonts w:ascii="微软雅黑" w:hAnsi="微软雅黑" w:eastAsia="微软雅黑" w:cs="微软雅黑"/>
            <w:color w:val="087E89"/>
          </w:rPr>
          <w:t>EnerVenue启用全球首条高产量水基金属电池生产线</w:t>
        </w:r>
      </w:hyperlink>
      <w:r>
        <w:rPr>
          <w:rFonts w:ascii="微软雅黑" w:hAnsi="微软雅黑" w:eastAsia="微软雅黑" w:cs="微软雅黑"/>
        </w:rPr>
      </w:r>
    </w:p>
    <w:p>
      <w:pPr>
        <w:spacing w:after="0" w:line="20" w:lineRule="exact"/>
      </w:pPr>
      <w:bookmarkStart w:id="29" w:name="source-8414"/>
      <w:bookmarkEnd w:id="29" w:name="source-8414"/>
    </w:p>
    <w:p>
      <w:pPr>
        <w:pStyle w:val="ListBullet"/>
      </w:pPr>
      <w:r>
        <w:rPr>
          <w:rFonts w:ascii="微软雅黑" w:hAnsi="微软雅黑" w:eastAsia="微软雅黑" w:cs="微软雅黑"/>
        </w:rPr>
        <w:t>[29] 阿根廷国家能源秘书处｜</w:t>
      </w:r>
      <w:hyperlink r:id="rId38">
        <w:r>
          <w:rPr>
            <w:rFonts w:ascii="微软雅黑" w:hAnsi="微软雅黑" w:eastAsia="微软雅黑" w:cs="微软雅黑"/>
            <w:color w:val="087E89"/>
          </w:rPr>
          <w:t>国家政府正推进圣马丁和贝尔格拉诺火电站的私有化</w:t>
        </w:r>
      </w:hyperlink>
      <w:r>
        <w:rPr>
          <w:rFonts w:ascii="微软雅黑" w:hAnsi="微软雅黑" w:eastAsia="微软雅黑" w:cs="微软雅黑"/>
        </w:rPr>
      </w:r>
    </w:p>
    <w:p>
      <w:pPr>
        <w:spacing w:after="0" w:line="20" w:lineRule="exact"/>
      </w:pPr>
      <w:bookmarkStart w:id="30" w:name="source-8397"/>
      <w:bookmarkEnd w:id="30" w:name="source-8397"/>
    </w:p>
    <w:p>
      <w:pPr>
        <w:pStyle w:val="ListBullet"/>
      </w:pPr>
      <w:r>
        <w:rPr>
          <w:rFonts w:ascii="微软雅黑" w:hAnsi="微软雅黑" w:eastAsia="微软雅黑" w:cs="微软雅黑"/>
        </w:rPr>
        <w:t>[30] 新浪财经｜</w:t>
      </w:r>
      <w:hyperlink r:id="rId39">
        <w:r>
          <w:rPr>
            <w:rFonts w:ascii="微软雅黑" w:hAnsi="微软雅黑" w:eastAsia="微软雅黑" w:cs="微软雅黑"/>
            <w:color w:val="087E89"/>
          </w:rPr>
          <w:t>美股开盘：三大股指齐跌 油价与美债收益率双双走高</w:t>
        </w:r>
      </w:hyperlink>
      <w:r>
        <w:rPr>
          <w:rFonts w:ascii="微软雅黑" w:hAnsi="微软雅黑" w:eastAsia="微软雅黑" w:cs="微软雅黑"/>
        </w:rPr>
      </w:r>
    </w:p>
    <w:sectPr w:rsidR="00FC693F" w:rsidRPr="0006063C" w:rsidSect="00034616">
      <w:footerReference w:type="default" r:id="rId10"/>
      <w:pgSz w:w="11906" w:h="16838"/>
      <w:pgMar w:top="1361" w:right="1417" w:bottom="1247" w:left="141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微软雅黑" w:hAnsi="微软雅黑" w:eastAsia="微软雅黑" w:cs="微软雅黑"/>
      </w:rPr>
      <w:t xml:space="preserve">ENYINFO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微软雅黑" w:hAnsi="微软雅黑" w:hint="default" w:eastAsia="微软雅黑" w:cs="微软雅黑"/>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微软雅黑" w:hAnsi="微软雅黑" w:hint="default" w:eastAsia="微软雅黑" w:cs="微软雅黑"/>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微软雅黑" w:hAnsi="微软雅黑" w:hint="default" w:eastAsia="微软雅黑" w:cs="微软雅黑"/>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微软雅黑" w:hAnsi="微软雅黑" w:hint="default" w:eastAsia="微软雅黑" w:cs="微软雅黑"/>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80"/>
    </w:pPr>
    <w:rPr>
      <w:rFonts w:ascii="微软雅黑" w:hAnsi="微软雅黑" w:eastAsia="微软雅黑" w:cs="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HeaderChar">
    <w:name w:val="Header Char"/>
    <w:basedOn w:val="DefaultParagraphFont"/>
    <w:link w:val="Header"/>
    <w:uiPriority w:val="99"/>
    <w:rsid w:val="00E618BF"/>
    <w:rPr>
      <w:rFonts w:ascii="微软雅黑" w:hAnsi="微软雅黑" w:eastAsia="微软雅黑" w:cs="微软雅黑"/>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FooterChar">
    <w:name w:val="Footer Char"/>
    <w:basedOn w:val="DefaultParagraphFont"/>
    <w:link w:val="Footer"/>
    <w:uiPriority w:val="99"/>
    <w:rsid w:val="00E618B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15495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15495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15495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154957"/>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154957"/>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微软雅黑" w:hAnsi="微软雅黑" w:eastAsia="微软雅黑" w:cs="微软雅黑"/>
      <w:color w:val="000000"/>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val="0"/>
      <w:iCs/>
      <w:color w:val="536976"/>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微软雅黑" w:hAnsi="微软雅黑" w:eastAsia="微软雅黑" w:cs="微软雅黑"/>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sana.sy/en/economic/2346528/" TargetMode="External"/><Relationship Id="rId12" Type="http://schemas.openxmlformats.org/officeDocument/2006/relationships/hyperlink" Target="https://www.fx678.com/C/20260928/202609281624229096.html" TargetMode="External"/><Relationship Id="rId13" Type="http://schemas.openxmlformats.org/officeDocument/2006/relationships/hyperlink" Target="https://www.greenbuildingafrica.co.za/electrification-gains-momentum-as-hormuz-crisis-drives-focus-on-energy-security/" TargetMode="External"/><Relationship Id="rId14" Type="http://schemas.openxmlformats.org/officeDocument/2006/relationships/hyperlink" Target="https://www.entsoe.eu/news/2026/09/28/unlocking-electrification-entso-e-position-on-the-future-proof-electricity-bills-proposal/" TargetMode="External"/><Relationship Id="rId15" Type="http://schemas.openxmlformats.org/officeDocument/2006/relationships/hyperlink" Target="https://www.miningweekly.com/article/india-burns-through-coal-stockpiles-in-rush-to-ease-power-gap-2026-09-28" TargetMode="External"/><Relationship Id="rId16" Type="http://schemas.openxmlformats.org/officeDocument/2006/relationships/hyperlink" Target="https://finance.sina.com.cn/world/2026-09-28/doc-initkpff3703930.shtml" TargetMode="External"/><Relationship Id="rId17" Type="http://schemas.openxmlformats.org/officeDocument/2006/relationships/hyperlink" Target="https://www.pv-magazine.com/2026/09/28/eu-inverter-restrictions-could-shift-from-countries-to-individual-high-risk-suppliers/" TargetMode="External"/><Relationship Id="rId18" Type="http://schemas.openxmlformats.org/officeDocument/2006/relationships/hyperlink" Target="https://www.pipechina.com.cn/front/news/3006089.html" TargetMode="External"/><Relationship Id="rId19" Type="http://schemas.openxmlformats.org/officeDocument/2006/relationships/hyperlink" Target="https://www.news.cn/world/20260928/511ca84fb64c4e2b98a88ecba5c277ec/c.html" TargetMode="External"/><Relationship Id="rId20" Type="http://schemas.openxmlformats.org/officeDocument/2006/relationships/hyperlink" Target="http://world.people.com.cn/n1/2026/0928/c1002-40806689.html" TargetMode="External"/><Relationship Id="rId21" Type="http://schemas.openxmlformats.org/officeDocument/2006/relationships/hyperlink" Target="https://www.stcn.com/article/detail/4200193.html" TargetMode="External"/><Relationship Id="rId22" Type="http://schemas.openxmlformats.org/officeDocument/2006/relationships/hyperlink" Target="https://www.chinanews.com.cn/cj/2026/09-28/10704807.shtml" TargetMode="External"/><Relationship Id="rId23" Type="http://schemas.openxmlformats.org/officeDocument/2006/relationships/hyperlink" Target="https://news.solarbe.com/202609/28/50029751.html" TargetMode="External"/><Relationship Id="rId24" Type="http://schemas.openxmlformats.org/officeDocument/2006/relationships/hyperlink" Target="https://www.world-nuclear-news.org/articles/nrc-completes-environmental-review-of-crane-restart" TargetMode="External"/><Relationship Id="rId25" Type="http://schemas.openxmlformats.org/officeDocument/2006/relationships/hyperlink" Target="https://www.cleanenergywire.org/news/brief-28-september-26" TargetMode="External"/><Relationship Id="rId26" Type="http://schemas.openxmlformats.org/officeDocument/2006/relationships/hyperlink" Target="https://www.cpnn.com.cn/news/nyqy/202609/t20260928_1917712.html" TargetMode="External"/><Relationship Id="rId27" Type="http://schemas.openxmlformats.org/officeDocument/2006/relationships/hyperlink" Target="https://www.world-nuclear-news.org/articles/first-concrete-poured-for-bailong-2-nuclear-power-unit" TargetMode="External"/><Relationship Id="rId28" Type="http://schemas.openxmlformats.org/officeDocument/2006/relationships/hyperlink" Target="https://api.shmet.com/api/rest/news/v2/getNewsById?newsId=925786" TargetMode="External"/><Relationship Id="rId29" Type="http://schemas.openxmlformats.org/officeDocument/2006/relationships/hyperlink" Target="https://www.cpnn.com.cn/news/hg/202609/t20260928_1917883.html" TargetMode="External"/><Relationship Id="rId30" Type="http://schemas.openxmlformats.org/officeDocument/2006/relationships/hyperlink" Target="https://news.mysteel.com/a/26092814/9948E84F19E0F58B.html" TargetMode="External"/><Relationship Id="rId31" Type="http://schemas.openxmlformats.org/officeDocument/2006/relationships/hyperlink" Target="https://www.stcn.com/article/detail/4200581.html" TargetMode="External"/><Relationship Id="rId32" Type="http://schemas.openxmlformats.org/officeDocument/2006/relationships/hyperlink" Target="https://www.chinanews.com.cn/cj/2026/09-28/10705083.shtml" TargetMode="External"/><Relationship Id="rId33" Type="http://schemas.openxmlformats.org/officeDocument/2006/relationships/hyperlink" Target="https://www.stcn.com/article/detail/4200169.html" TargetMode="External"/><Relationship Id="rId34" Type="http://schemas.openxmlformats.org/officeDocument/2006/relationships/hyperlink" Target="https://www.china5e.com/news/news-1209870-1.html" TargetMode="External"/><Relationship Id="rId35" Type="http://schemas.openxmlformats.org/officeDocument/2006/relationships/hyperlink" Target="https://www.chinanews.com.cn/gj/2026/09-28/10704640.shtml" TargetMode="External"/><Relationship Id="rId36" Type="http://schemas.openxmlformats.org/officeDocument/2006/relationships/hyperlink" Target="https://www.vanguardngr.com/2026/09/us-dismisses-irans-offer-to-reopen-strait-of-hormuz-as-cynical/" TargetMode="External"/><Relationship Id="rId37" Type="http://schemas.openxmlformats.org/officeDocument/2006/relationships/hyperlink" Target="https://www.thebatterymagazine.com/enervenue-opens-first-high-volume-aqueous-metal-cell-line/" TargetMode="External"/><Relationship Id="rId38" Type="http://schemas.openxmlformats.org/officeDocument/2006/relationships/hyperlink" Target="https://www.argentina.gob.ar/noticias/el-gobierno-nacional-avanza-con-la-privatizacion-de-las-centrales-termicas-san-martin-y" TargetMode="External"/><Relationship Id="rId39" Type="http://schemas.openxmlformats.org/officeDocument/2006/relationships/hyperlink" Target="https://finance.sina.com.cn/stock/usstock/c/2026-09-28/doc-initkxux9649843.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ajorFont>
      <a:min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2026年9月28日 每日能源报告</dc:title>
  <dc:subject/>
  <dc:creator>北京百看科技有限公司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