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信息覆盖时段：2026-09-18 00:00 至 2026-09-19 00:00（不含），Asia/Shanghai。</w:t>
      </w:r>
    </w:p>
    <w:p>
      <w:pPr/>
      <w:r>
        <w:rPr>
          <w:rFonts w:ascii="微软雅黑" w:hAnsi="微软雅黑" w:eastAsia="微软雅黑" w:cs="微软雅黑"/>
        </w:rPr>
        <w:t>统计区间：2026-09-18 至 2026-09-19（结束日不含，北京时间）</w:t>
      </w:r>
    </w:p>
    <w:p>
      <w:pPr>
        <w:ind w:firstLine="420"/>
      </w:pPr>
      <w:r>
        <w:rPr>
          <w:rFonts w:ascii="微软雅黑" w:hAnsi="微软雅黑" w:eastAsia="微软雅黑" w:cs="微软雅黑"/>
        </w:rPr>
        <w:t>资料更新截止：2026-09-21 07:00（北京时间）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美联储加息25个基点并关注裂解价差对通胀的推升 </w:t>
      </w:r>
      <w:hyperlink w:anchor="source-343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14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330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欧洲央行行长拉加德称能源价格上涨不会自动触发加息 </w:t>
      </w:r>
      <w:hyperlink w:anchor="source-365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2026年第二季度欧盟54.1%电力来自可再生能源 </w:t>
      </w:r>
      <w:hyperlink w:anchor="source-3499">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三部门联合部署煤炭安全稳产保供工作 </w:t>
      </w:r>
      <w:hyperlink w:anchor="source-3224">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44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42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3213">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全球氢能理事会呼吁加快氢能规模化以应对能源安全风险 </w:t>
      </w:r>
      <w:hyperlink w:anchor="source-3933">
        <w:r>
          <w:rPr>
            <w:rFonts w:ascii="微软雅黑" w:hAnsi="微软雅黑" w:eastAsia="微软雅黑" w:cs="微软雅黑"/>
            <w:color w:val="087E89"/>
          </w:rPr>
          <w:t>10</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欧央行存款机制利率</w:t>
            </w:r>
          </w:p>
        </w:tc>
        <w:tc>
          <w:tcPr>
            <w:tcW w:type="dxa" w:w="2268"/>
          </w:tcPr>
          <w:p>
            <w:pPr>
              <w:spacing w:after="40"/>
            </w:pPr>
            <w:r>
              <w:rPr>
                <w:rFonts w:ascii="微软雅黑" w:hAnsi="微软雅黑" w:eastAsia="微软雅黑" w:cs="微软雅黑"/>
              </w:rPr>
              <w:t>2.5%</w:t>
            </w:r>
          </w:p>
        </w:tc>
        <w:tc>
          <w:tcPr>
            <w:tcW w:type="dxa" w:w="2268"/>
          </w:tcPr>
          <w:p>
            <w:pPr>
              <w:spacing w:after="40"/>
            </w:pPr>
            <w:r>
              <w:rPr>
                <w:rFonts w:ascii="微软雅黑" w:hAnsi="微软雅黑" w:eastAsia="微软雅黑" w:cs="微软雅黑"/>
              </w:rPr>
              <w:t>2026-09</w:t>
            </w:r>
          </w:p>
        </w:tc>
        <w:tc>
          <w:tcPr>
            <w:tcW w:type="dxa" w:w="2268"/>
          </w:tcPr>
          <w:p>
            <w:pPr>
              <w:spacing w:after="40"/>
            </w:pPr>
            <w:r>
              <w:rPr>
                <w:rFonts w:ascii="微软雅黑" w:hAnsi="微软雅黑" w:eastAsia="微软雅黑" w:cs="微软雅黑"/>
              </w:rPr>
            </w:r>
            <w:hyperlink w:anchor="source-365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欧央行预计通胀率</w:t>
            </w:r>
          </w:p>
        </w:tc>
        <w:tc>
          <w:tcPr>
            <w:tcW w:type="dxa" w:w="2268"/>
          </w:tcPr>
          <w:p>
            <w:pPr>
              <w:spacing w:after="40"/>
            </w:pPr>
            <w:r>
              <w:rPr>
                <w:rFonts w:ascii="微软雅黑" w:hAnsi="微软雅黑" w:eastAsia="微软雅黑" w:cs="微软雅黑"/>
              </w:rPr>
              <w:t>2026年3%；2027年2.5%；2028年2.1%</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65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市场预计未来一年加息次数</w:t>
            </w:r>
          </w:p>
        </w:tc>
        <w:tc>
          <w:tcPr>
            <w:tcW w:type="dxa" w:w="2268"/>
          </w:tcPr>
          <w:p>
            <w:pPr>
              <w:spacing w:after="40"/>
            </w:pPr>
            <w:r>
              <w:rPr>
                <w:rFonts w:ascii="微软雅黑" w:hAnsi="微软雅黑" w:eastAsia="微软雅黑" w:cs="微软雅黑"/>
              </w:rPr>
              <w:t>至少三次25个基点</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65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欧盟可再生电力占比</w:t>
            </w:r>
          </w:p>
        </w:tc>
        <w:tc>
          <w:tcPr>
            <w:tcW w:type="dxa" w:w="2268"/>
          </w:tcPr>
          <w:p>
            <w:pPr>
              <w:spacing w:after="40"/>
            </w:pPr>
            <w:r>
              <w:rPr>
                <w:rFonts w:ascii="微软雅黑" w:hAnsi="微软雅黑" w:eastAsia="微软雅黑" w:cs="微软雅黑"/>
              </w:rPr>
              <w:t>54.1%</w:t>
            </w:r>
          </w:p>
        </w:tc>
        <w:tc>
          <w:tcPr>
            <w:tcW w:type="dxa" w:w="2268"/>
          </w:tcPr>
          <w:p>
            <w:pPr>
              <w:spacing w:after="40"/>
            </w:pPr>
            <w:r>
              <w:rPr>
                <w:rFonts w:ascii="微软雅黑" w:hAnsi="微软雅黑" w:eastAsia="微软雅黑" w:cs="微软雅黑"/>
              </w:rPr>
              <w:t>2026年第二季度</w:t>
            </w:r>
          </w:p>
        </w:tc>
        <w:tc>
          <w:tcPr>
            <w:tcW w:type="dxa" w:w="2268"/>
          </w:tcPr>
          <w:p>
            <w:pPr>
              <w:spacing w:after="40"/>
            </w:pPr>
            <w:r>
              <w:rPr>
                <w:rFonts w:ascii="微软雅黑" w:hAnsi="微软雅黑" w:eastAsia="微软雅黑" w:cs="微软雅黑"/>
              </w:rPr>
            </w:r>
            <w:hyperlink w:anchor="source-3499">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太阳能占可再生电力比例</w:t>
            </w:r>
          </w:p>
        </w:tc>
        <w:tc>
          <w:tcPr>
            <w:tcW w:type="dxa" w:w="2268"/>
          </w:tcPr>
          <w:p>
            <w:pPr>
              <w:spacing w:after="40"/>
            </w:pPr>
            <w:r>
              <w:rPr>
                <w:rFonts w:ascii="微软雅黑" w:hAnsi="微软雅黑" w:eastAsia="微软雅黑" w:cs="微软雅黑"/>
              </w:rPr>
              <w:t>41.6%</w:t>
            </w:r>
          </w:p>
        </w:tc>
        <w:tc>
          <w:tcPr>
            <w:tcW w:type="dxa" w:w="2268"/>
          </w:tcPr>
          <w:p>
            <w:pPr>
              <w:spacing w:after="40"/>
            </w:pPr>
            <w:r>
              <w:rPr>
                <w:rFonts w:ascii="微软雅黑" w:hAnsi="微软雅黑" w:eastAsia="微软雅黑" w:cs="微软雅黑"/>
              </w:rPr>
              <w:t>2026年第二季度</w:t>
            </w:r>
          </w:p>
        </w:tc>
        <w:tc>
          <w:tcPr>
            <w:tcW w:type="dxa" w:w="2268"/>
          </w:tcPr>
          <w:p>
            <w:pPr>
              <w:spacing w:after="40"/>
            </w:pPr>
            <w:r>
              <w:rPr>
                <w:rFonts w:ascii="微软雅黑" w:hAnsi="微软雅黑" w:eastAsia="微软雅黑" w:cs="微软雅黑"/>
              </w:rPr>
            </w:r>
            <w:hyperlink w:anchor="source-3499">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2025年第二季度太阳能占可再生电力比例</w:t>
            </w:r>
          </w:p>
        </w:tc>
        <w:tc>
          <w:tcPr>
            <w:tcW w:type="dxa" w:w="2268"/>
          </w:tcPr>
          <w:p>
            <w:pPr>
              <w:spacing w:after="40"/>
            </w:pPr>
            <w:r>
              <w:rPr>
                <w:rFonts w:ascii="微软雅黑" w:hAnsi="微软雅黑" w:eastAsia="微软雅黑" w:cs="微软雅黑"/>
              </w:rPr>
              <w:t>37.0%</w:t>
            </w:r>
          </w:p>
        </w:tc>
        <w:tc>
          <w:tcPr>
            <w:tcW w:type="dxa" w:w="2268"/>
          </w:tcPr>
          <w:p>
            <w:pPr>
              <w:spacing w:after="40"/>
            </w:pPr>
            <w:r>
              <w:rPr>
                <w:rFonts w:ascii="微软雅黑" w:hAnsi="微软雅黑" w:eastAsia="微软雅黑" w:cs="微软雅黑"/>
              </w:rPr>
              <w:t>2025年第二季度</w:t>
            </w:r>
          </w:p>
        </w:tc>
        <w:tc>
          <w:tcPr>
            <w:tcW w:type="dxa" w:w="2268"/>
          </w:tcPr>
          <w:p>
            <w:pPr>
              <w:spacing w:after="40"/>
            </w:pPr>
            <w:r>
              <w:rPr>
                <w:rFonts w:ascii="微软雅黑" w:hAnsi="微软雅黑" w:eastAsia="微软雅黑" w:cs="微软雅黑"/>
              </w:rPr>
            </w:r>
            <w:hyperlink w:anchor="source-3499">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清洁氢气累计承诺投资</w:t>
            </w:r>
          </w:p>
        </w:tc>
        <w:tc>
          <w:tcPr>
            <w:tcW w:type="dxa" w:w="2268"/>
          </w:tcPr>
          <w:p>
            <w:pPr>
              <w:spacing w:after="40"/>
            </w:pPr>
            <w:r>
              <w:rPr>
                <w:rFonts w:ascii="微软雅黑" w:hAnsi="微软雅黑" w:eastAsia="微软雅黑" w:cs="微软雅黑"/>
              </w:rPr>
              <w:t>超过1300亿美元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933">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进入建设或运营阶段的清洁氢气项目占比</w:t>
            </w:r>
          </w:p>
        </w:tc>
        <w:tc>
          <w:tcPr>
            <w:tcW w:type="dxa" w:w="2268"/>
          </w:tcPr>
          <w:p>
            <w:pPr>
              <w:spacing w:after="40"/>
            </w:pPr>
            <w:r>
              <w:rPr>
                <w:rFonts w:ascii="微软雅黑" w:hAnsi="微软雅黑" w:eastAsia="微软雅黑" w:cs="微软雅黑"/>
              </w:rPr>
              <w:t>约90%（共570个项目）</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933">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Hive Hydrogen South Africa绿氢氨项目投资</w:t>
            </w:r>
          </w:p>
        </w:tc>
        <w:tc>
          <w:tcPr>
            <w:tcW w:type="dxa" w:w="2268"/>
          </w:tcPr>
          <w:p>
            <w:pPr>
              <w:spacing w:after="40"/>
            </w:pPr>
            <w:r>
              <w:rPr>
                <w:rFonts w:ascii="微软雅黑" w:hAnsi="微软雅黑" w:eastAsia="微软雅黑" w:cs="微软雅黑"/>
              </w:rPr>
              <w:t>58亿美元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933">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2025年全球能源供应总量</w:t>
            </w:r>
          </w:p>
        </w:tc>
        <w:tc>
          <w:tcPr>
            <w:tcW w:type="dxa" w:w="2268"/>
          </w:tcPr>
          <w:p>
            <w:pPr>
              <w:spacing w:after="40"/>
            </w:pPr>
            <w:r>
              <w:rPr>
                <w:rFonts w:ascii="微软雅黑" w:hAnsi="微软雅黑" w:eastAsia="微软雅黑" w:cs="微软雅黑"/>
              </w:rPr>
              <w:t>首次突破600艾焦</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3701">
              <w:r>
                <w:rPr>
                  <w:rFonts w:ascii="微软雅黑" w:hAnsi="微软雅黑" w:eastAsia="微软雅黑" w:cs="微软雅黑"/>
                  <w:color w:val="087E89"/>
                </w:rPr>
                <w:t>11</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欧洲央行行长拉加德称能源价格上涨不会自动触发加息</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欧洲央行行长拉加德向欧元区财长表示，能源价格跳涨并不会自动转化为货币紧缩；利率不会与能源价格同步变动，因为能源价格对物价的影响也会作用于增长和消费。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拉加德周五在都柏林表示，能源价格上涨对物价的影响会同时作用于增长和消费，因此利率不会与能源价格同步变动。欧洲央行已于6月将存款机制利率从2.00%上调至2.25%，为近三年来首次加息；9月再度加息25个基点至2.5%。市场定价显示，未来一年至少还将有三次25个基点的加息。欧洲央行预计2026年通胀率为3%，2027年为2.5%，2028年为2.1%，均高于2%的目标水平。霍尔木兹海峡几近关闭推动能源价格大幅飙升，预计将推动欧元区通胀升至约4%。</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拉加德表态意在将能源价格冲击与货币紧缩决策脱钩，但市场已定价未来一年至少还有三次25个基点加息。</w:t>
      </w:r>
    </w:p>
    <w:p>
      <w:pPr>
        <w:ind w:firstLine="420"/>
      </w:pPr>
      <w:r>
        <w:rPr>
          <w:rFonts w:ascii="微软雅黑" w:hAnsi="微软雅黑" w:eastAsia="微软雅黑" w:cs="微软雅黑"/>
        </w:rPr>
        <w:t>来源：</w:t>
      </w:r>
      <w:hyperlink w:anchor="source-3655">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2. 沙特东西向输油管道临时关停 沙特取消多批欧洲原油货盘</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此前遭袭的沙特东西向输油管道临时关停，导致沙特取消多批欧洲原油货盘，一度引发市场供给恐慌。沙特担心其主要石油出口通道——红海和霍尔木兹海峡——可能受阻，正以停止向西欧售油为筹码试图换取西方介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沙特东西向输油管道此前遭袭后临时关停，日均运力400—500万桶，是沙特绕开霍尔木兹海峡的核心出口管线；管道关停导致沙特取消多批欧洲原油货盘，引发市场供给恐慌。沙特担心红海和霍尔木兹海峡两大出口通道受阻，试图以停止向西欧售油为筹码换取西方介入。沙特王储穆罕默德·本·萨勒曼据报两次请求美国总统特朗普进行军事干预，均遭拒绝；沙特转而向法国、英国、巴基斯坦、土耳其和埃及求助。</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管道临时关停叠加霍尔木兹海峡紧张局势，引发市场供给恐慌，是WTI原油价格维持高位的因素之一。</w:t>
      </w:r>
    </w:p>
    <w:p>
      <w:pPr>
        <w:ind w:firstLine="420"/>
      </w:pPr>
      <w:r>
        <w:rPr>
          <w:rFonts w:ascii="微软雅黑" w:hAnsi="微软雅黑" w:eastAsia="微软雅黑" w:cs="微软雅黑"/>
        </w:rPr>
        <w:t>来源：</w:t>
      </w:r>
      <w:hyperlink w:anchor="source-3480">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3491">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3. 美联储加息25个基点并关注裂解价差对通胀的推升</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美联储将联邦基金利率目标区间上调25个基点至3.75%—4.00%，为2023年以来首次加息；美联储主席凯文·沃什在议息会后提及炼油裂解价差，将其视作推升通胀、促使美联储加息的重要因素。</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9月16日美联储将联邦基金利率目标区间由3.50%—3.75%上调至3.75%—4.00%。美联储主席凯文·沃什在议息会后提及炼油裂解价差。本周加息加剧市场对经济活动和原油需求的担忧，给油价带来压力。</w:t>
      </w:r>
    </w:p>
    <w:p>
      <w:pPr>
        <w:ind w:firstLine="420"/>
      </w:pPr>
      <w:r>
        <w:rPr>
          <w:rFonts w:ascii="微软雅黑" w:hAnsi="微软雅黑" w:eastAsia="微软雅黑" w:cs="微软雅黑"/>
        </w:rPr>
        <w:t>来源：</w:t>
      </w:r>
      <w:hyperlink w:anchor="source-343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14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3307">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美国柴油价格创历史新高，加州达每加仑8美元</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美国柴油全国均价从一年前的3.70美元升至创纪录的每加仑6.40美元，加利福尼亚州柴油价格已达每加仑8美元。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柴油价格由原油价格、零售毛利、分销成本、税费以及被用作炼油毛利代理指标的裂解价差共同决定。受俄罗斯、中国和中东炼油活动减少影响，全球馏分油供应趋紧，推升国际价格、美国进口成本以及美国出口需求。墨西哥湾炼油产能缩减、俄乌冲突造成俄罗斯原油产出受限、叠加沙特输油管道遇袭，多重利空共同推升柴油行情。全美能源援助主管协会执行董事马克·沃尔夫表示，若油价维持现有水平，今年冬季家庭取暖油支出或将上涨31%。J.B.亨特首席财务官布拉德·德尔科表示，柴油高价带来至少1000万美元的经营阻力，公司预警盈利下滑。</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J.B.亨特预警盈利下滑，柴油高价带来至少1000万美元经营阻力。</w:t>
      </w:r>
    </w:p>
    <w:p>
      <w:pPr>
        <w:ind w:firstLine="420"/>
      </w:pPr>
      <w:r>
        <w:rPr>
          <w:rFonts w:ascii="微软雅黑" w:hAnsi="微软雅黑" w:eastAsia="微软雅黑" w:cs="微软雅黑"/>
        </w:rPr>
        <w:t>来源：</w:t>
      </w:r>
      <w:hyperlink w:anchor="source-3307">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343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654">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5. 德国公用事业敦促欧盟放宽天然气进口规则</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德国公用事业机构敦促政府推动欧盟取消阻碍天然气和液化天然气进口的监管和行政障碍，理由是库存水平偏低以及与伊朗战争相关的高气价。</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行业协会BDEW援引欧盟甲烷排放法规，呼吁出台合法的解决方案，以便更多天然气流入德国和欧洲。BDEW要求政府尽快建立程序并指定主管机构，以审批来自受欧盟俄气禁令影响国家的液化天然气货物。经济部长Katherina Reiche将利用市场激励措施来支撑天然气储备，避免采用过去曾推高价格的直接国家采购方式。德国工商大会（DIHK）表示，预计不会出现供应问题，但因库存偏低可能推高气价。</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若欧盟监管障碍松动，可能增加德国及欧洲可获得的LNG供应来源，但能否平抑气价取决于库存补给与市场实际放量。</w:t>
      </w:r>
    </w:p>
    <w:p>
      <w:pPr>
        <w:ind w:firstLine="420"/>
      </w:pPr>
      <w:r>
        <w:rPr>
          <w:rFonts w:ascii="微软雅黑" w:hAnsi="微软雅黑" w:eastAsia="微软雅黑" w:cs="微软雅黑"/>
        </w:rPr>
        <w:t>来源：</w:t>
      </w:r>
      <w:hyperlink w:anchor="source-3532">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6. IEA：2026年全球煤炭需求将再创历史新高</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国际能源署发布预测，2026年全球煤炭需求将较2025年增长约1.2%，达到89.4亿吨，再创历史新高。</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IEA分析认为，需求继续走高的核心驱动因素为中东危机与超强厄尔尼诺气候。受此影响，欧洲、日本、韩国等拥有燃气发电机组且具备煤炭备用产能的国家，煤炭消费量超出此前预期。如果相关海峡LNG运输逐步恢复至战前水平、天然气价格回落，2027年全球煤炭需求有望下降0.4%至89.1亿吨；但若LNG航运持续受限，需求或将继续走高。同时，IEA预计全球煤炭产量2026年将有所回落，但仍连续第3年维持在90亿吨以上，2025年产量持平于2024年创下的91亿吨历史纪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在全球电力需求持续增长背景下，到2027年中国电力行业用煤预计小幅回落。</w:t>
      </w:r>
    </w:p>
    <w:p>
      <w:pPr>
        <w:ind w:firstLine="420"/>
      </w:pPr>
      <w:r>
        <w:rPr>
          <w:rFonts w:ascii="微软雅黑" w:hAnsi="微软雅黑" w:eastAsia="微软雅黑" w:cs="微软雅黑"/>
        </w:rPr>
        <w:t>来源：</w:t>
      </w:r>
      <w:hyperlink w:anchor="source-3250">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7. 毕马威报告指全球能源格局分化并逐步走向碎片化</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毕马威发布的《年鉴》及相关讨论指出，全球能源格局正呈现分化并逐步走向碎片化。</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年鉴》显示，2025年全球能源供应总量首次突破600艾焦，可再生能源首次在非经济衰退时期成为能源供应总量增长的最大来源，其中太阳能发电贡献了增量的71%，太阳能发电量占总发电量的比重首次超越风电，几乎与核电持平。但化石燃料的绝对用量仍在扩张，占能源供应总量的86%，所有能源消耗量均创下历史新高。毕马威中国董事、能源及化工行业主管合伙人蔡忠表示，受国际环境、能源安全考量和需求压力影响，全球能源格局呈现分化并走向碎片化。</w:t>
      </w:r>
    </w:p>
    <w:p>
      <w:pPr>
        <w:ind w:firstLine="420"/>
      </w:pPr>
      <w:r>
        <w:rPr>
          <w:rFonts w:ascii="微软雅黑" w:hAnsi="微软雅黑" w:eastAsia="微软雅黑" w:cs="微软雅黑"/>
        </w:rPr>
        <w:t>来源：</w:t>
      </w:r>
      <w:hyperlink w:anchor="source-3701">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8. 2026年第二季度欧盟54.1%电力来自可再生能源</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2026年第二季度，欧盟发电量中54.1%来自可再生能源，太阳能首次成为最大来源。</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第二季度，欧盟发电量中54.1%来自可再生能源。太阳能是可再生电力的最大来源，占可再生电力总量的41.6%，较2025年第二季度的37.0%上升；风能以27.7%为第二大来源，水能以22.6%紧随其后；其余来自可燃烧可再生燃料（7.7%）及地热等其它能源（0.4%）。成员国中可再生电力占比最高的是拉脱维亚（97.7%，以水电和太阳能为主）、丹麦（94.3%，以风电为主）和克罗地亚（92.2%，以水电为主）；占比最低的是斯洛伐克（19.8%）、捷克（20.9%）和马耳他（24.5%）。</w:t>
      </w:r>
    </w:p>
    <w:p>
      <w:pPr>
        <w:ind w:firstLine="420"/>
      </w:pPr>
      <w:r>
        <w:rPr>
          <w:rFonts w:ascii="微软雅黑" w:hAnsi="微软雅黑" w:eastAsia="微软雅黑" w:cs="微软雅黑"/>
        </w:rPr>
        <w:t>来源：</w:t>
      </w:r>
      <w:hyperlink w:anchor="source-3499">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9. 美国DFC贷款支持乌克兰200MW/400MWh储能项目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美国国际开发金融公司（DFC）批准贷款，支持乌克兰由DTEK开发、Fluence供货的200MW/400MWh电池储能项目组合。</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承诺为乌克兰一座已建成的400兆瓦时电池储能系统（BESS）项目组合提供资金支持。DFC批准贷款支持该项目组合，分布于乌克兰基辅州和第聂伯罗彼得罗夫斯克州六个场址，总规模200兆瓦/400兆瓦时。项目组合由乌克兰最大能源投资商DTEK开发，BESS设备由总部位于美国的系统集成商Fluence提供。DTEK估计组合总投资约1.25亿欧元（1.436亿美元）。</w:t>
      </w:r>
    </w:p>
    <w:p>
      <w:pPr>
        <w:ind w:firstLine="420"/>
      </w:pPr>
      <w:r>
        <w:rPr>
          <w:rFonts w:ascii="微软雅黑" w:hAnsi="微软雅黑" w:eastAsia="微软雅黑" w:cs="微软雅黑"/>
        </w:rPr>
        <w:t>来源：</w:t>
      </w:r>
      <w:hyperlink w:anchor="source-3783">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10. 全球氢能理事会呼吁加快氢能规模化以应对能源安全风险</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全球氢能委员会在南非开普敦举行的非洲绿氢峰会上呼吁各国加快氢能生态系统建设，警告中东冲突凸显的能源安全问题须以氢能规模化加以应对。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氢能委员会联合主席、法液空首席执行官François Jackow与CF Industries首席执行官Chris Bohn共同发声。CF Industries指北美低碳氢和氨市场已进入项目交付阶段。南非贸工部通过关键基础设施基金支持Hive Hydrogen South Africa在纳尔逊·曼德拉湾市政当局开展的58亿美元绿氢氨项目。清洁氢气累计承诺投资已超1300亿美元，570个清洁氢气项目中约90%已进入建设或运营阶段。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理事会发声显示氢能被定位为能源安全工具，南非绿氢氨项目获政府基金支持，反映新兴市场绿氢项目落地节奏加快。</w:t>
      </w:r>
    </w:p>
    <w:p>
      <w:pPr>
        <w:ind w:firstLine="420"/>
      </w:pPr>
      <w:r>
        <w:rPr>
          <w:rFonts w:ascii="微软雅黑" w:hAnsi="微软雅黑" w:eastAsia="微软雅黑" w:cs="微软雅黑"/>
        </w:rPr>
        <w:t>来源：</w:t>
      </w:r>
      <w:hyperlink w:anchor="source-3933">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11. INEOS启动欧盟首个全规模海上CO₂商业封存</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INEOS Energy在丹麦近海Greensand二氧化碳封存设施启动商业运营，并称其为欧盟首个全规模永久性海上碳封存基地。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首个商业阶段每年可封存最多40万吨二氧化碳，未来有望扩至每年400万至800万吨。CO2被捕集后液化，经卡车运至埃斯比约港专用码头，再装载至专用CO2运输船Carbon Destroyer 1，注入距丹麦约250公里、海床下约1800米深的枯竭油田Nini West进行永久地质封存。项目初期所封存CO2主要来自丹麦生物甲烷工厂。</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该项目为欧盟首个全规模海上CO2封存商业化案例，为欧洲工业脱碳提供关键基础设施支撑。</w:t>
      </w:r>
    </w:p>
    <w:p>
      <w:pPr>
        <w:ind w:firstLine="420"/>
      </w:pPr>
      <w:r>
        <w:rPr>
          <w:rFonts w:ascii="微软雅黑" w:hAnsi="微软雅黑" w:eastAsia="微软雅黑" w:cs="微软雅黑"/>
        </w:rPr>
        <w:t>来源：</w:t>
      </w:r>
      <w:hyperlink w:anchor="source-3657">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12. 中国稀土集团洽谈收购盛和资源，或间接控制MP Materials股份</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知情人士透露，国有中国稀土集团正与盛和资源洽谈收购事宜，意在获得控股权。谈判自今年早些时候启动，因事项敏感，消息人士以匿名方式披露。若交易达成，盛和资源所持海外公司股份将转由中国稀土集团控制，其中包括在美国稀土企业MP Materials中3%的股份。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国稀土集团于2021年由五家国有稀土相关企业重组而成，是中国最大的重稀土供应商。盛和资源为中国少数仍具部分私有成分的稀土开采与精炼龙头企业之一。据其中一位消息人士称，该交易还将使盛和资源更易获得北京通常用于控制供应的配额。美国国防部在去年投资后已成为MP Materials最大股东。</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若交易达成，将巩固北京对稀土行业的控制，并结束长达数十年的将该行业收归国有的整合进程。</w:t>
      </w:r>
    </w:p>
    <w:p>
      <w:pPr>
        <w:ind w:firstLine="420"/>
      </w:pPr>
      <w:r>
        <w:rPr>
          <w:rFonts w:ascii="微软雅黑" w:hAnsi="微软雅黑" w:eastAsia="微软雅黑" w:cs="微软雅黑"/>
        </w:rPr>
        <w:t>来源：</w:t>
      </w:r>
      <w:hyperlink w:anchor="source-3682">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13. SMA在德国启用年产能超60 GW逆变器新工厂</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SMA在德国卡塞尔附近的Niestetal启用了一座年产能超过60 GW的新逆变器工厂，工厂占地46,000平方米（建筑面积20,500平方米），投资约8,000万欧元（约9,180万美元）。工厂生产2.6 MW至5 MW的Sunny Central集中式逆变器以及最高180 kW的Sunny Highpower Peak3组串逆变器。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工厂还生产模块化的Sunny Central Flex，装于40英尺集装箱内，集直-交流变换、直-直流变换、中压变电及开关柜于一体。Sunny Central Flex可提供最高7.36 MW的直-交流和6 MW的直-直流变换容量。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来源未说明对市场或行业的具体影响。</w:t>
      </w:r>
    </w:p>
    <w:p>
      <w:pPr>
        <w:ind w:firstLine="420"/>
      </w:pPr>
      <w:r>
        <w:rPr>
          <w:rFonts w:ascii="微软雅黑" w:hAnsi="微软雅黑" w:eastAsia="微软雅黑" w:cs="微软雅黑"/>
        </w:rPr>
        <w:t>来源：</w:t>
      </w:r>
      <w:hyperlink w:anchor="source-3508">
        <w:r>
          <w:rPr>
            <w:rFonts w:ascii="微软雅黑" w:hAnsi="微软雅黑" w:eastAsia="微软雅黑" w:cs="微软雅黑"/>
            <w:color w:val="087E89"/>
          </w:rPr>
          <w:t>27</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14. 市场监管总局发布首个钙钛矿光伏国家标准</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市场监管总局（国家标准委）发布国内首个钙钛矿光伏领域国家标准《光伏器件 第12部分：钙钛矿电池及组件的电流-电压（I-V）特性测量方法》（GB/T 6495.12—2026），将于2027年正式实施。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标准由工业和信息化部提出，全国太阳光伏能源系统标准化技术委员会（SAC/TC90）归口。考虑到钙钛矿器件在光照和电压变化下性能容易波动且面积定义未统一，传统用于晶硅和薄膜电池的测试方法难以直接套用，标准给出快速测量法，并补充最大功率点追踪法、十点准稳态拟合法（仲裁法）、渐进法等更贴近真实工作状态的准稳态测试方法。同时统一总面积与光阑面积定义及效率计算，形成可验证、可复现的标准化测试流程。</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该标准将成为检测认证、产品研发、产线质控和贸易交付的统一标尺，为后续标准体系完善、国际标准制定及钙钛矿光伏产业化推广应用提供关键技术支撑。</w:t>
      </w:r>
    </w:p>
    <w:p>
      <w:pPr>
        <w:ind w:firstLine="420"/>
      </w:pPr>
      <w:r>
        <w:rPr>
          <w:rFonts w:ascii="微软雅黑" w:hAnsi="微软雅黑" w:eastAsia="微软雅黑" w:cs="微软雅黑"/>
        </w:rPr>
        <w:t>来源：</w:t>
      </w:r>
      <w:hyperlink w:anchor="source-3376">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15. 国家电投集团发电总装机突破3亿千瓦</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截至2026年8月底，国家电投集团发电总装机容量已突破3亿千瓦，刷新至超3.13亿千瓦，清洁能源装机占比达74.85%。</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2026年8月底，国家电投集团发电总装机容量突破3亿千瓦，达到超3.13亿千瓦，其中清洁能源装机占比74.85%。2025年集团年发电量超过7400亿千瓦时，供热面积约5亿平方米，惠及8个省份1360万人。2026年8月18日，国电投滨海2×100万千瓦扩建项目全面投产，每年可向江苏电网输送100亿千瓦时电量。2026年8月25日，青海省投桥头发电建成投运世界海拔最高的660兆瓦超超临界火电机组，年均发电80亿千瓦时以上。</w:t>
      </w:r>
    </w:p>
    <w:p>
      <w:pPr>
        <w:ind w:firstLine="420"/>
      </w:pPr>
      <w:r>
        <w:rPr>
          <w:rFonts w:ascii="微软雅黑" w:hAnsi="微软雅黑" w:eastAsia="微软雅黑" w:cs="微软雅黑"/>
        </w:rPr>
        <w:t>来源：</w:t>
      </w:r>
      <w:hyperlink w:anchor="source-3460">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16. 三部门联合部署煤炭安全稳产保供工作</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近日，国家发展改革委、国家能源局、国家矿山安监局联合印发通知，多措并举加快推进煤炭稳产保供，要求各产煤省（自治区）和煤炭企业在确保安全前提下稳定产量。</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知要求持续抓好监测调度，优化生产组织，积极稳妥推进煤矿复产达产，加快联合试运转煤矿验收，推动煤炭产量平稳回升，为经济增长和能源保供提供有力支撑。通知同时对电煤中长期合同签订履约、发挥进口补充调剂作用、推进煤炭接续产能建设提出要求。下一步，有关部门将加强统筹协调，指导各产煤省（自治区）和煤炭企业抓紧落实部署，调整完善政策举措，适时释放煤炭产能储备，全力稳定煤炭生产供应，促进市场平稳运行。</w:t>
      </w:r>
    </w:p>
    <w:p>
      <w:pPr>
        <w:ind w:firstLine="420"/>
      </w:pPr>
      <w:r>
        <w:rPr>
          <w:rFonts w:ascii="微软雅黑" w:hAnsi="微软雅黑" w:eastAsia="微软雅黑" w:cs="微软雅黑"/>
        </w:rPr>
        <w:t>来源：</w:t>
      </w:r>
      <w:hyperlink w:anchor="source-3224">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44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42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3213">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17. 我国主导核能核安全技术领域首个ISO系列标准发布</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2026年9月，国际标准化组织（ISO）正式发布《压水堆核电厂应急堆芯冷却系统过滤器设计及性能验证》（第一部分 总则）系列国际标准，实现了我国在ISO系列化核能核安全技术领域主导制定国际标准的零突破。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在国内相关主管部门统筹部署下，中核工程牵头提出压水堆核电厂应急堆芯冷却系统过滤器相关ISO系列标准提案。标准明确了应急堆芯冷却系统过滤器的设计及性能验证的主要工作任务、工作流程及各阶段工作的逻辑关系、5个工作阶段的详细描述及总体技术要求，并给出了碎渣源控制及裕量选取的基本原则。</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该系列标准的逐步完善与落地将推动核电核心设备国产化发展，为国内核电技术、核设备产品参与国际市场竞争提供标准化支撑。</w:t>
      </w:r>
    </w:p>
    <w:p>
      <w:pPr>
        <w:ind w:firstLine="420"/>
      </w:pPr>
      <w:r>
        <w:rPr>
          <w:rFonts w:ascii="微软雅黑" w:hAnsi="微软雅黑" w:eastAsia="微软雅黑" w:cs="微软雅黑"/>
        </w:rPr>
        <w:t>来源：</w:t>
      </w:r>
      <w:hyperlink w:anchor="source-3500">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18. 南网贵州电网以“一基四协同”推进电算碳融合</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南方电网贵州电网有限责任公司探索形成“一基四协同、联盟建生态”发展路径，以电力与算力映射模型研究为基础，从规划、建设、交易、调度四个维度推进电力与算力深度融合，并牵头成立贵安新区电算协同产业联盟。</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贵安新区已集聚华为、腾讯等27个大型数据中心，算力规模突破173 EFLOPS，智算占比超98%。今年1~7月贵州省互联网数据服务用电量近20亿千瓦时，同比增长101.15%。今年3月贵安新区首座500千伏云谷变电站投运，新增200万千瓦供电能力，核心区供电可靠率提升至99.99%。今年5月全国首批电碳算协同撮合交易在贵州落地，完成3单市场化试点交易，综合算力使用成本降低16%至33%。</w:t>
      </w:r>
    </w:p>
    <w:p>
      <w:pPr>
        <w:ind w:firstLine="420"/>
      </w:pPr>
      <w:r>
        <w:rPr>
          <w:rFonts w:ascii="微软雅黑" w:hAnsi="微软雅黑" w:eastAsia="微软雅黑" w:cs="微软雅黑"/>
        </w:rPr>
        <w:t>来源：</w:t>
      </w:r>
      <w:hyperlink w:anchor="source-3381">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19. 8月中国绿证价格指数收于202.6点 环比同比双降</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9月18日，国家能源局发布2026年8月中国绿证价格指数，该指数以2025年1月为基期（基点100点）。8月指数收于202.6点，环比下降9.1%，同比下降17.0%。</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指数由国家发展和改革委员会价格监测中心、国家能源局电力业务资质管理中心联合编制，国家能源局新能源司指导。指数数据涵盖2025年1月以来中国绿证价格指数月度走势。环比与同比降幅均来自本次发布内容，原文未给出具体原因分析。</w:t>
      </w:r>
    </w:p>
    <w:p>
      <w:pPr>
        <w:ind w:firstLine="420"/>
      </w:pPr>
      <w:r>
        <w:rPr>
          <w:rFonts w:ascii="微软雅黑" w:hAnsi="微软雅黑" w:eastAsia="微软雅黑" w:cs="微软雅黑"/>
        </w:rPr>
        <w:t>来源：</w:t>
      </w:r>
      <w:hyperlink w:anchor="source-3553">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3503">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20. 湖南柿竹园多金属矿绿色工艺提升钨萤石回收率</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湖南郴州柿竹园多金属矿通过工艺改进，钨选矿回收率由26.8%提高到70%以上，萤石回收率由不到30%提高到65%以上，累计盘活矿石量达1.5亿吨。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十四五”以来，我国矿山绿色低碳转型持续推进。湖南郴州柿竹园多金属矿通过工艺改造，钨选矿回收率由26.8%提升至70%以上，萤石回收率由不足30%提升至65%以上，累计盘活矿石量1.5亿吨。全国已建成省级以上绿色矿山5600余家；山东齐河—禹城富铁矿勘查区新增富铁矿资源量1.42亿吨，勘查临时用地复垦复耕率达100%；黑龙江完成小角度钻探超5万米，保护林地60多万平方米，节省补偿费用超5000万元。2025年自然资源部印发首批找矿装备清单，涵盖6类135项装备。“十四五”时期全国修复治理历史遗留矿山335万亩，超过规划目标19.6%。</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回收率提升和盘活矿石量提升资源利用效率，复垦复耕与找矿装备升级为后续增储提供装备支撑。</w:t>
      </w:r>
    </w:p>
    <w:p>
      <w:pPr>
        <w:ind w:firstLine="420"/>
      </w:pPr>
      <w:r>
        <w:rPr>
          <w:rFonts w:ascii="微软雅黑" w:hAnsi="微软雅黑" w:eastAsia="微软雅黑" w:cs="微软雅黑"/>
        </w:rPr>
        <w:t>来源：</w:t>
      </w:r>
      <w:hyperlink w:anchor="source-3243">
        <w:r>
          <w:rPr>
            <w:rFonts w:ascii="微软雅黑" w:hAnsi="微软雅黑" w:eastAsia="微软雅黑" w:cs="微软雅黑"/>
            <w:color w:val="087E89"/>
          </w:rPr>
          <w:t>21</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欧元区通胀实际路径、欧央行后续议息会议加息幅度、霍尔木兹海峡局势演化。 </w:t>
      </w:r>
      <w:hyperlink w:anchor="source-365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各产煤省（自治区）和煤炭企业落实部署以及煤炭产能储备释放时机的实际进展。 </w:t>
      </w:r>
      <w:hyperlink w:anchor="source-3224">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344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42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3213">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58亿美元Hive Hydrogen项目后续融资与建设进展；中东局势演变对全球能源安全与氢能投资节奏的影响。 </w:t>
      </w:r>
      <w:hyperlink w:anchor="source-3933">
        <w:r>
          <w:rPr>
            <w:rFonts w:ascii="微软雅黑" w:hAnsi="微软雅黑" w:eastAsia="微软雅黑" w:cs="微软雅黑"/>
            <w:color w:val="087E89"/>
          </w:rPr>
          <w:t>10</w:t>
        </w:r>
      </w:hyperlink>
      <w:r>
        <w:rPr>
          <w:rFonts w:ascii="微软雅黑" w:hAnsi="微软雅黑" w:eastAsia="微软雅黑" w:cs="微软雅黑"/>
        </w:rPr>
      </w:r>
    </w:p>
    <w:p>
      <w:pPr>
        <w:pStyle w:val="ListBullet"/>
      </w:pPr>
      <w:r>
        <w:rPr>
          <w:rFonts w:ascii="微软雅黑" w:hAnsi="微软雅黑" w:eastAsia="微软雅黑" w:cs="微软雅黑"/>
        </w:rPr>
        <w:t xml:space="preserve">交易尚在洽谈阶段，是否达成及最终结构仍存不确定性。 </w:t>
      </w:r>
      <w:hyperlink w:anchor="source-3682">
        <w:r>
          <w:rPr>
            <w:rFonts w:ascii="微软雅黑" w:hAnsi="微软雅黑" w:eastAsia="微软雅黑" w:cs="微软雅黑"/>
            <w:color w:val="087E89"/>
          </w:rPr>
          <w:t>12</w:t>
        </w:r>
      </w:hyperlink>
      <w:r>
        <w:rPr>
          <w:rFonts w:ascii="微软雅黑" w:hAnsi="微软雅黑" w:eastAsia="微软雅黑" w:cs="微软雅黑"/>
        </w:rPr>
      </w:r>
    </w:p>
    <w:p>
      <w:pPr>
        <w:pStyle w:val="ListBullet"/>
      </w:pPr>
      <w:r>
        <w:rPr>
          <w:rFonts w:ascii="微软雅黑" w:hAnsi="微软雅黑" w:eastAsia="微软雅黑" w:cs="微软雅黑"/>
        </w:rPr>
        <w:t xml:space="preserve">绿证价格指数的持续走势及对绿电交易和可再生能源消纳保障机制的影响有待后续数据印证。 </w:t>
      </w:r>
      <w:hyperlink w:anchor="source-3553">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3503">
        <w:r>
          <w:rPr>
            <w:rFonts w:ascii="微软雅黑" w:hAnsi="微软雅黑" w:eastAsia="微软雅黑" w:cs="微软雅黑"/>
            <w:color w:val="087E89"/>
          </w:rPr>
          <w:t>14</w:t>
        </w:r>
      </w:hyperlink>
      <w:r>
        <w:rPr>
          <w:rFonts w:ascii="微软雅黑" w:hAnsi="微软雅黑" w:eastAsia="微软雅黑" w:cs="微软雅黑"/>
        </w:rPr>
      </w:r>
    </w:p>
    <w:p>
      <w:pPr>
        <w:pStyle w:val="ListBullet"/>
      </w:pPr>
      <w:r>
        <w:rPr>
          <w:rFonts w:ascii="微软雅黑" w:hAnsi="微软雅黑" w:eastAsia="微软雅黑" w:cs="微软雅黑"/>
        </w:rPr>
        <w:t xml:space="preserve">欧盟是否调整甲烷排放法规及针对俄气禁令相关国家的LNG审批程序；德国主管机构的指定与审批流程建立进展。 </w:t>
      </w:r>
      <w:hyperlink w:anchor="source-3532">
        <w:r>
          <w:rPr>
            <w:rFonts w:ascii="微软雅黑" w:hAnsi="微软雅黑" w:eastAsia="微软雅黑" w:cs="微软雅黑"/>
            <w:color w:val="087E89"/>
          </w:rPr>
          <w:t>15</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373 篇文章，形成 297 篇有效能源材料；正文引用 27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3438"/>
      <w:bookmarkEnd w:id="1" w:name="source-3438"/>
    </w:p>
    <w:p>
      <w:pPr>
        <w:pStyle w:val="ListBullet"/>
      </w:pPr>
      <w:r>
        <w:rPr>
          <w:rFonts w:ascii="微软雅黑" w:hAnsi="微软雅黑" w:eastAsia="微软雅黑" w:cs="微软雅黑"/>
        </w:rPr>
        <w:t>[1] Anadolu Agency｜</w:t>
      </w:r>
      <w:hyperlink r:id="rId11">
        <w:r>
          <w:rPr>
            <w:rFonts w:ascii="微软雅黑" w:hAnsi="微软雅黑" w:eastAsia="微软雅黑" w:cs="微软雅黑"/>
            <w:color w:val="087E89"/>
          </w:rPr>
          <w:t>石油价格上涨推高美国燃料成本与通货膨胀压力</w:t>
        </w:r>
      </w:hyperlink>
      <w:r>
        <w:rPr>
          <w:rFonts w:ascii="微软雅黑" w:hAnsi="微软雅黑" w:eastAsia="微软雅黑" w:cs="微软雅黑"/>
        </w:rPr>
      </w:r>
    </w:p>
    <w:p>
      <w:pPr>
        <w:spacing w:after="0" w:line="20" w:lineRule="exact"/>
      </w:pPr>
      <w:bookmarkStart w:id="2" w:name="source-3149"/>
      <w:bookmarkEnd w:id="2" w:name="source-3149"/>
    </w:p>
    <w:p>
      <w:pPr>
        <w:pStyle w:val="ListBullet"/>
      </w:pPr>
      <w:r>
        <w:rPr>
          <w:rFonts w:ascii="微软雅黑" w:hAnsi="微软雅黑" w:eastAsia="微软雅黑" w:cs="微软雅黑"/>
        </w:rPr>
        <w:t>[2] 经济日报｜</w:t>
      </w:r>
      <w:hyperlink r:id="rId12">
        <w:r>
          <w:rPr>
            <w:rFonts w:ascii="微软雅黑" w:hAnsi="微软雅黑" w:eastAsia="微软雅黑" w:cs="微软雅黑"/>
            <w:color w:val="087E89"/>
          </w:rPr>
          <w:t>金价回落 油价冲高两大龙头商品走势分化</w:t>
        </w:r>
      </w:hyperlink>
      <w:r>
        <w:rPr>
          <w:rFonts w:ascii="微软雅黑" w:hAnsi="微软雅黑" w:eastAsia="微软雅黑" w:cs="微软雅黑"/>
        </w:rPr>
      </w:r>
    </w:p>
    <w:p>
      <w:pPr>
        <w:spacing w:after="0" w:line="20" w:lineRule="exact"/>
      </w:pPr>
      <w:bookmarkStart w:id="3" w:name="source-3307"/>
      <w:bookmarkEnd w:id="3" w:name="source-3307"/>
    </w:p>
    <w:p>
      <w:pPr>
        <w:pStyle w:val="ListBullet"/>
      </w:pPr>
      <w:r>
        <w:rPr>
          <w:rFonts w:ascii="微软雅黑" w:hAnsi="微软雅黑" w:eastAsia="微软雅黑" w:cs="微软雅黑"/>
        </w:rPr>
        <w:t>[3] 汇通财经｜</w:t>
      </w:r>
      <w:hyperlink r:id="rId13">
        <w:r>
          <w:rPr>
            <w:rFonts w:ascii="微软雅黑" w:hAnsi="微软雅黑" w:eastAsia="微软雅黑" w:cs="微软雅黑"/>
            <w:color w:val="087E89"/>
          </w:rPr>
          <w:t>美国柴油价格创历史新高，推高整体物价水平加剧通胀隐忧</w:t>
        </w:r>
      </w:hyperlink>
      <w:r>
        <w:rPr>
          <w:rFonts w:ascii="微软雅黑" w:hAnsi="微软雅黑" w:eastAsia="微软雅黑" w:cs="微软雅黑"/>
        </w:rPr>
      </w:r>
    </w:p>
    <w:p>
      <w:pPr>
        <w:spacing w:after="0" w:line="20" w:lineRule="exact"/>
      </w:pPr>
      <w:bookmarkStart w:id="4" w:name="source-3655"/>
      <w:bookmarkEnd w:id="4" w:name="source-3655"/>
    </w:p>
    <w:p>
      <w:pPr>
        <w:pStyle w:val="ListBullet"/>
      </w:pPr>
      <w:r>
        <w:rPr>
          <w:rFonts w:ascii="微软雅黑" w:hAnsi="微软雅黑" w:eastAsia="微软雅黑" w:cs="微软雅黑"/>
        </w:rPr>
        <w:t>[4] 智通财经｜</w:t>
      </w:r>
      <w:hyperlink r:id="rId14">
        <w:r>
          <w:rPr>
            <w:rFonts w:ascii="微软雅黑" w:hAnsi="微软雅黑" w:eastAsia="微软雅黑" w:cs="微软雅黑"/>
            <w:color w:val="087E89"/>
          </w:rPr>
          <w:t>拉加德：能源价格上涨不会自动触发加息 欧洲央行将视通胀与增长综合决策</w:t>
        </w:r>
      </w:hyperlink>
      <w:r>
        <w:rPr>
          <w:rFonts w:ascii="微软雅黑" w:hAnsi="微软雅黑" w:eastAsia="微软雅黑" w:cs="微软雅黑"/>
        </w:rPr>
      </w:r>
    </w:p>
    <w:p>
      <w:pPr>
        <w:spacing w:after="0" w:line="20" w:lineRule="exact"/>
      </w:pPr>
      <w:bookmarkStart w:id="5" w:name="source-3499"/>
      <w:bookmarkEnd w:id="5" w:name="source-3499"/>
    </w:p>
    <w:p>
      <w:pPr>
        <w:pStyle w:val="ListBullet"/>
      </w:pPr>
      <w:r>
        <w:rPr>
          <w:rFonts w:ascii="微软雅黑" w:hAnsi="微软雅黑" w:eastAsia="微软雅黑" w:cs="微软雅黑"/>
        </w:rPr>
        <w:t>[5] 欧盟统计局能源专题｜</w:t>
      </w:r>
      <w:hyperlink r:id="rId15">
        <w:r>
          <w:rPr>
            <w:rFonts w:ascii="微软雅黑" w:hAnsi="微软雅黑" w:eastAsia="微软雅黑" w:cs="微软雅黑"/>
            <w:color w:val="087E89"/>
          </w:rPr>
          <w:t>2026年第二季度欧盟54%的电力来自新能源</w:t>
        </w:r>
      </w:hyperlink>
      <w:r>
        <w:rPr>
          <w:rFonts w:ascii="微软雅黑" w:hAnsi="微软雅黑" w:eastAsia="微软雅黑" w:cs="微软雅黑"/>
        </w:rPr>
      </w:r>
    </w:p>
    <w:p>
      <w:pPr>
        <w:spacing w:after="0" w:line="20" w:lineRule="exact"/>
      </w:pPr>
      <w:bookmarkStart w:id="6" w:name="source-3224"/>
      <w:bookmarkEnd w:id="6" w:name="source-3224"/>
    </w:p>
    <w:p>
      <w:pPr>
        <w:pStyle w:val="ListBullet"/>
      </w:pPr>
      <w:r>
        <w:rPr>
          <w:rFonts w:ascii="微软雅黑" w:hAnsi="微软雅黑" w:eastAsia="微软雅黑" w:cs="微软雅黑"/>
        </w:rPr>
        <w:t>[6] 新华社｜</w:t>
      </w:r>
      <w:hyperlink r:id="rId16">
        <w:r>
          <w:rPr>
            <w:rFonts w:ascii="微软雅黑" w:hAnsi="微软雅黑" w:eastAsia="微软雅黑" w:cs="微软雅黑"/>
            <w:color w:val="087E89"/>
          </w:rPr>
          <w:t>国家能源局等部门部署煤炭安全稳产保供工作</w:t>
        </w:r>
      </w:hyperlink>
      <w:r>
        <w:rPr>
          <w:rFonts w:ascii="微软雅黑" w:hAnsi="微软雅黑" w:eastAsia="微软雅黑" w:cs="微软雅黑"/>
        </w:rPr>
      </w:r>
    </w:p>
    <w:p>
      <w:pPr>
        <w:spacing w:after="0" w:line="20" w:lineRule="exact"/>
      </w:pPr>
      <w:bookmarkStart w:id="7" w:name="source-3442"/>
      <w:bookmarkEnd w:id="7" w:name="source-3442"/>
    </w:p>
    <w:p>
      <w:pPr>
        <w:pStyle w:val="ListBullet"/>
      </w:pPr>
      <w:r>
        <w:rPr>
          <w:rFonts w:ascii="微软雅黑" w:hAnsi="微软雅黑" w:eastAsia="微软雅黑" w:cs="微软雅黑"/>
        </w:rPr>
        <w:t>[7] 央视新闻等｜</w:t>
      </w:r>
      <w:hyperlink r:id="rId17">
        <w:r>
          <w:rPr>
            <w:rFonts w:ascii="微软雅黑" w:hAnsi="微软雅黑" w:eastAsia="微软雅黑" w:cs="微软雅黑"/>
            <w:color w:val="087E89"/>
          </w:rPr>
          <w:t>多部门联合印发通知稳妥推进煤矿复产达产 全力做好煤炭保供</w:t>
        </w:r>
      </w:hyperlink>
      <w:r>
        <w:rPr>
          <w:rFonts w:ascii="微软雅黑" w:hAnsi="微软雅黑" w:eastAsia="微软雅黑" w:cs="微软雅黑"/>
        </w:rPr>
      </w:r>
    </w:p>
    <w:p>
      <w:pPr>
        <w:spacing w:after="0" w:line="20" w:lineRule="exact"/>
      </w:pPr>
      <w:bookmarkStart w:id="8" w:name="source-3427"/>
      <w:bookmarkEnd w:id="8" w:name="source-3427"/>
    </w:p>
    <w:p>
      <w:pPr>
        <w:pStyle w:val="ListBullet"/>
      </w:pPr>
      <w:r>
        <w:rPr>
          <w:rFonts w:ascii="微软雅黑" w:hAnsi="微软雅黑" w:eastAsia="微软雅黑" w:cs="微软雅黑"/>
        </w:rPr>
        <w:t>[8] 中国能源新闻网｜</w:t>
      </w:r>
      <w:hyperlink r:id="rId18">
        <w:r>
          <w:rPr>
            <w:rFonts w:ascii="微软雅黑" w:hAnsi="微软雅黑" w:eastAsia="微软雅黑" w:cs="微软雅黑"/>
            <w:color w:val="087E89"/>
          </w:rPr>
          <w:t>国家发展改革委、国家能源局等部门部署煤炭安全稳产保供工作</w:t>
        </w:r>
      </w:hyperlink>
      <w:r>
        <w:rPr>
          <w:rFonts w:ascii="微软雅黑" w:hAnsi="微软雅黑" w:eastAsia="微软雅黑" w:cs="微软雅黑"/>
        </w:rPr>
      </w:r>
    </w:p>
    <w:p>
      <w:pPr>
        <w:spacing w:after="0" w:line="20" w:lineRule="exact"/>
      </w:pPr>
      <w:bookmarkStart w:id="9" w:name="source-3213"/>
      <w:bookmarkEnd w:id="9" w:name="source-3213"/>
    </w:p>
    <w:p>
      <w:pPr>
        <w:pStyle w:val="ListBullet"/>
      </w:pPr>
      <w:r>
        <w:rPr>
          <w:rFonts w:ascii="微软雅黑" w:hAnsi="微软雅黑" w:eastAsia="微软雅黑" w:cs="微软雅黑"/>
        </w:rPr>
        <w:t>[9] 央视新闻等｜</w:t>
      </w:r>
      <w:hyperlink r:id="rId19">
        <w:r>
          <w:rPr>
            <w:rFonts w:ascii="微软雅黑" w:hAnsi="微软雅黑" w:eastAsia="微软雅黑" w:cs="微软雅黑"/>
            <w:color w:val="087E89"/>
          </w:rPr>
          <w:t>国家能源局等部门部署煤炭安全稳产保供工作</w:t>
        </w:r>
      </w:hyperlink>
      <w:r>
        <w:rPr>
          <w:rFonts w:ascii="微软雅黑" w:hAnsi="微软雅黑" w:eastAsia="微软雅黑" w:cs="微软雅黑"/>
        </w:rPr>
      </w:r>
    </w:p>
    <w:p>
      <w:pPr>
        <w:spacing w:after="0" w:line="20" w:lineRule="exact"/>
      </w:pPr>
      <w:bookmarkStart w:id="10" w:name="source-3933"/>
      <w:bookmarkEnd w:id="10" w:name="source-3933"/>
    </w:p>
    <w:p>
      <w:pPr>
        <w:pStyle w:val="ListBullet"/>
      </w:pPr>
      <w:r>
        <w:rPr>
          <w:rFonts w:ascii="微软雅黑" w:hAnsi="微软雅黑" w:eastAsia="微软雅黑" w:cs="微软雅黑"/>
        </w:rPr>
        <w:t>[10] Mining Weekly｜</w:t>
      </w:r>
      <w:hyperlink r:id="rId20">
        <w:r>
          <w:rPr>
            <w:rFonts w:ascii="微软雅黑" w:hAnsi="微软雅黑" w:eastAsia="微软雅黑" w:cs="微软雅黑"/>
            <w:color w:val="087E89"/>
          </w:rPr>
          <w:t>全球理事会敦促扩大氢能规模,以应对日益加剧的能源安全担忧</w:t>
        </w:r>
      </w:hyperlink>
      <w:r>
        <w:rPr>
          <w:rFonts w:ascii="微软雅黑" w:hAnsi="微软雅黑" w:eastAsia="微软雅黑" w:cs="微软雅黑"/>
        </w:rPr>
      </w:r>
    </w:p>
    <w:p>
      <w:pPr>
        <w:spacing w:after="0" w:line="20" w:lineRule="exact"/>
      </w:pPr>
      <w:bookmarkStart w:id="11" w:name="source-3701"/>
      <w:bookmarkEnd w:id="11" w:name="source-3701"/>
    </w:p>
    <w:p>
      <w:pPr>
        <w:pStyle w:val="ListBullet"/>
      </w:pPr>
      <w:r>
        <w:rPr>
          <w:rFonts w:ascii="微软雅黑" w:hAnsi="微软雅黑" w:eastAsia="微软雅黑" w:cs="微软雅黑"/>
        </w:rPr>
        <w:t>[11] 经济观察网｜</w:t>
      </w:r>
      <w:hyperlink r:id="rId21">
        <w:r>
          <w:rPr>
            <w:rFonts w:ascii="微软雅黑" w:hAnsi="微软雅黑" w:eastAsia="微软雅黑" w:cs="微软雅黑"/>
            <w:color w:val="087E89"/>
          </w:rPr>
          <w:t>毕马威：全球能源格局正呈现分化并逐步走向碎片化</w:t>
        </w:r>
      </w:hyperlink>
      <w:r>
        <w:rPr>
          <w:rFonts w:ascii="微软雅黑" w:hAnsi="微软雅黑" w:eastAsia="微软雅黑" w:cs="微软雅黑"/>
        </w:rPr>
      </w:r>
    </w:p>
    <w:p>
      <w:pPr>
        <w:spacing w:after="0" w:line="20" w:lineRule="exact"/>
      </w:pPr>
      <w:bookmarkStart w:id="12" w:name="source-3682"/>
      <w:bookmarkEnd w:id="12" w:name="source-3682"/>
    </w:p>
    <w:p>
      <w:pPr>
        <w:pStyle w:val="ListBullet"/>
      </w:pPr>
      <w:r>
        <w:rPr>
          <w:rFonts w:ascii="微软雅黑" w:hAnsi="微软雅黑" w:eastAsia="微软雅黑" w:cs="微软雅黑"/>
        </w:rPr>
        <w:t>[12] Mining Weekly｜</w:t>
      </w:r>
      <w:hyperlink r:id="rId22">
        <w:r>
          <w:rPr>
            <w:rFonts w:ascii="微软雅黑" w:hAnsi="微软雅黑" w:eastAsia="微软雅黑" w:cs="微软雅黑"/>
            <w:color w:val="087E89"/>
          </w:rPr>
          <w:t>中国稀土集团正在洽谈收购MP材料公司股东盛和资源，消息人士称</w:t>
        </w:r>
      </w:hyperlink>
      <w:r>
        <w:rPr>
          <w:rFonts w:ascii="微软雅黑" w:hAnsi="微软雅黑" w:eastAsia="微软雅黑" w:cs="微软雅黑"/>
        </w:rPr>
      </w:r>
    </w:p>
    <w:p>
      <w:pPr>
        <w:spacing w:after="0" w:line="20" w:lineRule="exact"/>
      </w:pPr>
      <w:bookmarkStart w:id="13" w:name="source-3553"/>
      <w:bookmarkEnd w:id="13" w:name="source-3553"/>
    </w:p>
    <w:p>
      <w:pPr>
        <w:pStyle w:val="ListBullet"/>
      </w:pPr>
      <w:r>
        <w:rPr>
          <w:rFonts w:ascii="微软雅黑" w:hAnsi="微软雅黑" w:eastAsia="微软雅黑" w:cs="微软雅黑"/>
        </w:rPr>
        <w:t>[13] 中国能源新闻网｜</w:t>
      </w:r>
      <w:hyperlink r:id="rId23">
        <w:r>
          <w:rPr>
            <w:rFonts w:ascii="微软雅黑" w:hAnsi="微软雅黑" w:eastAsia="微软雅黑" w:cs="微软雅黑"/>
            <w:color w:val="087E89"/>
          </w:rPr>
          <w:t>国家能源局发布2026年8月中国绿证价格指数</w:t>
        </w:r>
      </w:hyperlink>
      <w:r>
        <w:rPr>
          <w:rFonts w:ascii="微软雅黑" w:hAnsi="微软雅黑" w:eastAsia="微软雅黑" w:cs="微软雅黑"/>
        </w:rPr>
      </w:r>
    </w:p>
    <w:p>
      <w:pPr>
        <w:spacing w:after="0" w:line="20" w:lineRule="exact"/>
      </w:pPr>
      <w:bookmarkStart w:id="14" w:name="source-3503"/>
      <w:bookmarkEnd w:id="14" w:name="source-3503"/>
    </w:p>
    <w:p>
      <w:pPr>
        <w:pStyle w:val="ListBullet"/>
      </w:pPr>
      <w:r>
        <w:rPr>
          <w:rFonts w:ascii="微软雅黑" w:hAnsi="微软雅黑" w:eastAsia="微软雅黑" w:cs="微软雅黑"/>
        </w:rPr>
        <w:t>[14] 智通财经｜</w:t>
      </w:r>
      <w:hyperlink r:id="rId24">
        <w:r>
          <w:rPr>
            <w:rFonts w:ascii="微软雅黑" w:hAnsi="微软雅黑" w:eastAsia="微软雅黑" w:cs="微软雅黑"/>
            <w:color w:val="087E89"/>
          </w:rPr>
          <w:t>国家能源局：8月中国绿证价格指数收于202.6点 环比下降9.1% 同比下降17.0%</w:t>
        </w:r>
      </w:hyperlink>
      <w:r>
        <w:rPr>
          <w:rFonts w:ascii="微软雅黑" w:hAnsi="微软雅黑" w:eastAsia="微软雅黑" w:cs="微软雅黑"/>
        </w:rPr>
      </w:r>
    </w:p>
    <w:p>
      <w:pPr>
        <w:spacing w:after="0" w:line="20" w:lineRule="exact"/>
      </w:pPr>
      <w:bookmarkStart w:id="15" w:name="source-3532"/>
      <w:bookmarkEnd w:id="15" w:name="source-3532"/>
    </w:p>
    <w:p>
      <w:pPr>
        <w:pStyle w:val="ListBullet"/>
      </w:pPr>
      <w:r>
        <w:rPr>
          <w:rFonts w:ascii="微软雅黑" w:hAnsi="微软雅黑" w:eastAsia="微软雅黑" w:cs="微软雅黑"/>
        </w:rPr>
        <w:t>[15] 清洁能源通讯社｜</w:t>
      </w:r>
      <w:hyperlink r:id="rId25">
        <w:r>
          <w:rPr>
            <w:rFonts w:ascii="微软雅黑" w:hAnsi="微软雅黑" w:eastAsia="微软雅黑" w:cs="微软雅黑"/>
            <w:color w:val="087E89"/>
          </w:rPr>
          <w:t>德国公用事业企业敦促欧盟放宽天然气进口规则，担忧储气问题</w:t>
        </w:r>
      </w:hyperlink>
      <w:r>
        <w:rPr>
          <w:rFonts w:ascii="微软雅黑" w:hAnsi="微软雅黑" w:eastAsia="微软雅黑" w:cs="微软雅黑"/>
        </w:rPr>
      </w:r>
    </w:p>
    <w:p>
      <w:pPr>
        <w:spacing w:after="0" w:line="20" w:lineRule="exact"/>
      </w:pPr>
      <w:bookmarkStart w:id="16" w:name="source-3460"/>
      <w:bookmarkEnd w:id="16" w:name="source-3460"/>
    </w:p>
    <w:p>
      <w:pPr>
        <w:pStyle w:val="ListBullet"/>
      </w:pPr>
      <w:r>
        <w:rPr>
          <w:rFonts w:ascii="微软雅黑" w:hAnsi="微软雅黑" w:eastAsia="微软雅黑" w:cs="微软雅黑"/>
        </w:rPr>
        <w:t>[16] 中国能源新闻网｜</w:t>
      </w:r>
      <w:hyperlink r:id="rId26">
        <w:r>
          <w:rPr>
            <w:rFonts w:ascii="微软雅黑" w:hAnsi="微软雅黑" w:eastAsia="微软雅黑" w:cs="微软雅黑"/>
            <w:color w:val="087E89"/>
          </w:rPr>
          <w:t>国家电投集团发电总装机突破3亿千瓦</w:t>
        </w:r>
      </w:hyperlink>
      <w:r>
        <w:rPr>
          <w:rFonts w:ascii="微软雅黑" w:hAnsi="微软雅黑" w:eastAsia="微软雅黑" w:cs="微软雅黑"/>
        </w:rPr>
      </w:r>
    </w:p>
    <w:p>
      <w:pPr>
        <w:spacing w:after="0" w:line="20" w:lineRule="exact"/>
      </w:pPr>
      <w:bookmarkStart w:id="17" w:name="source-3381"/>
      <w:bookmarkEnd w:id="17" w:name="source-3381"/>
    </w:p>
    <w:p>
      <w:pPr>
        <w:pStyle w:val="ListBullet"/>
      </w:pPr>
      <w:r>
        <w:rPr>
          <w:rFonts w:ascii="微软雅黑" w:hAnsi="微软雅黑" w:eastAsia="微软雅黑" w:cs="微软雅黑"/>
        </w:rPr>
        <w:t>[17] 中国能源新闻网｜</w:t>
      </w:r>
      <w:hyperlink r:id="rId27">
        <w:r>
          <w:rPr>
            <w:rFonts w:ascii="微软雅黑" w:hAnsi="微软雅黑" w:eastAsia="微软雅黑" w:cs="微软雅黑"/>
            <w:color w:val="087E89"/>
          </w:rPr>
          <w:t>南网贵州电网“一基四协同”探路电碳算融合</w:t>
        </w:r>
      </w:hyperlink>
      <w:r>
        <w:rPr>
          <w:rFonts w:ascii="微软雅黑" w:hAnsi="微软雅黑" w:eastAsia="微软雅黑" w:cs="微软雅黑"/>
        </w:rPr>
      </w:r>
    </w:p>
    <w:p>
      <w:pPr>
        <w:spacing w:after="0" w:line="20" w:lineRule="exact"/>
      </w:pPr>
      <w:bookmarkStart w:id="18" w:name="source-3250"/>
      <w:bookmarkEnd w:id="18" w:name="source-3250"/>
    </w:p>
    <w:p>
      <w:pPr>
        <w:pStyle w:val="ListBullet"/>
      </w:pPr>
      <w:r>
        <w:rPr>
          <w:rFonts w:ascii="微软雅黑" w:hAnsi="微软雅黑" w:eastAsia="微软雅黑" w:cs="微软雅黑"/>
        </w:rPr>
        <w:t>[18] 中国能源新闻网｜</w:t>
      </w:r>
      <w:hyperlink r:id="rId28">
        <w:r>
          <w:rPr>
            <w:rFonts w:ascii="微软雅黑" w:hAnsi="微软雅黑" w:eastAsia="微软雅黑" w:cs="微软雅黑"/>
            <w:color w:val="087E89"/>
          </w:rPr>
          <w:t>国际能源署：今年全球煤炭需求将创新高</w:t>
        </w:r>
      </w:hyperlink>
      <w:r>
        <w:rPr>
          <w:rFonts w:ascii="微软雅黑" w:hAnsi="微软雅黑" w:eastAsia="微软雅黑" w:cs="微软雅黑"/>
        </w:rPr>
      </w:r>
    </w:p>
    <w:p>
      <w:pPr>
        <w:spacing w:after="0" w:line="20" w:lineRule="exact"/>
      </w:pPr>
      <w:bookmarkStart w:id="19" w:name="source-3500"/>
      <w:bookmarkEnd w:id="19" w:name="source-3500"/>
    </w:p>
    <w:p>
      <w:pPr>
        <w:pStyle w:val="ListBullet"/>
      </w:pPr>
      <w:r>
        <w:rPr>
          <w:rFonts w:ascii="微软雅黑" w:hAnsi="微软雅黑" w:eastAsia="微软雅黑" w:cs="微软雅黑"/>
        </w:rPr>
        <w:t>[19] 中国能源新闻网｜</w:t>
      </w:r>
      <w:hyperlink r:id="rId29">
        <w:r>
          <w:rPr>
            <w:rFonts w:ascii="微软雅黑" w:hAnsi="微软雅黑" w:eastAsia="微软雅黑" w:cs="微软雅黑"/>
            <w:color w:val="087E89"/>
          </w:rPr>
          <w:t>我国主导！核能核安全技术领域首个ISO系列标准发布</w:t>
        </w:r>
      </w:hyperlink>
      <w:r>
        <w:rPr>
          <w:rFonts w:ascii="微软雅黑" w:hAnsi="微软雅黑" w:eastAsia="微软雅黑" w:cs="微软雅黑"/>
        </w:rPr>
      </w:r>
    </w:p>
    <w:p>
      <w:pPr>
        <w:spacing w:after="0" w:line="20" w:lineRule="exact"/>
      </w:pPr>
      <w:bookmarkStart w:id="20" w:name="source-3376"/>
      <w:bookmarkEnd w:id="20" w:name="source-3376"/>
    </w:p>
    <w:p>
      <w:pPr>
        <w:pStyle w:val="ListBullet"/>
      </w:pPr>
      <w:r>
        <w:rPr>
          <w:rFonts w:ascii="微软雅黑" w:hAnsi="微软雅黑" w:eastAsia="微软雅黑" w:cs="微软雅黑"/>
        </w:rPr>
        <w:t>[20] Mysteel｜</w:t>
      </w:r>
      <w:hyperlink r:id="rId30">
        <w:r>
          <w:rPr>
            <w:rFonts w:ascii="微软雅黑" w:hAnsi="微软雅黑" w:eastAsia="微软雅黑" w:cs="微软雅黑"/>
            <w:color w:val="087E89"/>
          </w:rPr>
          <w:t>市场监管总局发布首个钙钛矿光伏领域国家标准</w:t>
        </w:r>
      </w:hyperlink>
      <w:r>
        <w:rPr>
          <w:rFonts w:ascii="微软雅黑" w:hAnsi="微软雅黑" w:eastAsia="微软雅黑" w:cs="微软雅黑"/>
        </w:rPr>
      </w:r>
    </w:p>
    <w:p>
      <w:pPr>
        <w:spacing w:after="0" w:line="20" w:lineRule="exact"/>
      </w:pPr>
      <w:bookmarkStart w:id="21" w:name="source-3243"/>
      <w:bookmarkEnd w:id="21" w:name="source-3243"/>
    </w:p>
    <w:p>
      <w:pPr>
        <w:pStyle w:val="ListBullet"/>
      </w:pPr>
      <w:r>
        <w:rPr>
          <w:rFonts w:ascii="微软雅黑" w:hAnsi="微软雅黑" w:eastAsia="微软雅黑" w:cs="微软雅黑"/>
        </w:rPr>
        <w:t>[21] 国家管网集团｜</w:t>
      </w:r>
      <w:hyperlink r:id="rId31">
        <w:r>
          <w:rPr>
            <w:rFonts w:ascii="微软雅黑" w:hAnsi="微软雅黑" w:eastAsia="微软雅黑" w:cs="微软雅黑"/>
            <w:color w:val="087E89"/>
          </w:rPr>
          <w:t>矿业“含绿量”提升发展“含金量”</w:t>
        </w:r>
      </w:hyperlink>
      <w:r>
        <w:rPr>
          <w:rFonts w:ascii="微软雅黑" w:hAnsi="微软雅黑" w:eastAsia="微软雅黑" w:cs="微软雅黑"/>
        </w:rPr>
      </w:r>
    </w:p>
    <w:p>
      <w:pPr>
        <w:spacing w:after="0" w:line="20" w:lineRule="exact"/>
      </w:pPr>
      <w:bookmarkStart w:id="22" w:name="source-3654"/>
      <w:bookmarkEnd w:id="22" w:name="source-3654"/>
    </w:p>
    <w:p>
      <w:pPr>
        <w:pStyle w:val="ListBullet"/>
      </w:pPr>
      <w:r>
        <w:rPr>
          <w:rFonts w:ascii="微软雅黑" w:hAnsi="微软雅黑" w:eastAsia="微软雅黑" w:cs="微软雅黑"/>
        </w:rPr>
        <w:t>[22] 美国能源信息署｜</w:t>
      </w:r>
      <w:hyperlink r:id="rId32">
        <w:r>
          <w:rPr>
            <w:rFonts w:ascii="微软雅黑" w:hAnsi="微软雅黑" w:eastAsia="微软雅黑" w:cs="微软雅黑"/>
            <w:color w:val="087E89"/>
          </w:rPr>
          <w:t>柴油价格由哪些因素构成？</w:t>
        </w:r>
      </w:hyperlink>
      <w:r>
        <w:rPr>
          <w:rFonts w:ascii="微软雅黑" w:hAnsi="微软雅黑" w:eastAsia="微软雅黑" w:cs="微软雅黑"/>
        </w:rPr>
      </w:r>
    </w:p>
    <w:p>
      <w:pPr>
        <w:spacing w:after="0" w:line="20" w:lineRule="exact"/>
      </w:pPr>
      <w:bookmarkStart w:id="23" w:name="source-3480"/>
      <w:bookmarkEnd w:id="23" w:name="source-3480"/>
    </w:p>
    <w:p>
      <w:pPr>
        <w:pStyle w:val="ListBullet"/>
      </w:pPr>
      <w:r>
        <w:rPr>
          <w:rFonts w:ascii="微软雅黑" w:hAnsi="微软雅黑" w:eastAsia="微软雅黑" w:cs="微软雅黑"/>
        </w:rPr>
        <w:t>[23] 汇通财经｜</w:t>
      </w:r>
      <w:hyperlink r:id="rId33">
        <w:r>
          <w:rPr>
            <w:rFonts w:ascii="微软雅黑" w:hAnsi="微软雅黑" w:eastAsia="微软雅黑" w:cs="微软雅黑"/>
            <w:color w:val="087E89"/>
          </w:rPr>
          <w:t>美伊金融制裁加码 多国磋商拉低原油风险溢价</w:t>
        </w:r>
      </w:hyperlink>
      <w:r>
        <w:rPr>
          <w:rFonts w:ascii="微软雅黑" w:hAnsi="微软雅黑" w:eastAsia="微软雅黑" w:cs="微软雅黑"/>
        </w:rPr>
      </w:r>
    </w:p>
    <w:p>
      <w:pPr>
        <w:spacing w:after="0" w:line="20" w:lineRule="exact"/>
      </w:pPr>
      <w:bookmarkStart w:id="24" w:name="source-3491"/>
      <w:bookmarkEnd w:id="24" w:name="source-3491"/>
    </w:p>
    <w:p>
      <w:pPr>
        <w:pStyle w:val="ListBullet"/>
      </w:pPr>
      <w:r>
        <w:rPr>
          <w:rFonts w:ascii="微软雅黑" w:hAnsi="微软雅黑" w:eastAsia="微软雅黑" w:cs="微软雅黑"/>
        </w:rPr>
        <w:t>[24] Vanguard News｜</w:t>
      </w:r>
      <w:hyperlink r:id="rId34">
        <w:r>
          <w:rPr>
            <w:rFonts w:ascii="微软雅黑" w:hAnsi="微软雅黑" w:eastAsia="微软雅黑" w:cs="微软雅黑"/>
            <w:color w:val="087E89"/>
          </w:rPr>
          <w:t>胡塞武装与沙特人：当弱者发起反击之时，作者奥韦·拉克姆法</w:t>
        </w:r>
      </w:hyperlink>
      <w:r>
        <w:rPr>
          <w:rFonts w:ascii="微软雅黑" w:hAnsi="微软雅黑" w:eastAsia="微软雅黑" w:cs="微软雅黑"/>
        </w:rPr>
      </w:r>
    </w:p>
    <w:p>
      <w:pPr>
        <w:spacing w:after="0" w:line="20" w:lineRule="exact"/>
      </w:pPr>
      <w:bookmarkStart w:id="25" w:name="source-3783"/>
      <w:bookmarkEnd w:id="25" w:name="source-3783"/>
    </w:p>
    <w:p>
      <w:pPr>
        <w:pStyle w:val="ListBullet"/>
      </w:pPr>
      <w:r>
        <w:rPr>
          <w:rFonts w:ascii="微软雅黑" w:hAnsi="微软雅黑" w:eastAsia="微软雅黑" w:cs="微软雅黑"/>
        </w:rPr>
        <w:t>[25] Energy-Storage.news｜</w:t>
      </w:r>
      <w:hyperlink r:id="rId35">
        <w:r>
          <w:rPr>
            <w:rFonts w:ascii="微软雅黑" w:hAnsi="微软雅黑" w:eastAsia="微软雅黑" w:cs="微软雅黑"/>
            <w:color w:val="087E89"/>
          </w:rPr>
          <w:t>美国国际开发金融公司支持乌克兰电池储能项目组合</w:t>
        </w:r>
      </w:hyperlink>
      <w:r>
        <w:rPr>
          <w:rFonts w:ascii="微软雅黑" w:hAnsi="微软雅黑" w:eastAsia="微软雅黑" w:cs="微软雅黑"/>
        </w:rPr>
      </w:r>
    </w:p>
    <w:p>
      <w:pPr>
        <w:spacing w:after="0" w:line="20" w:lineRule="exact"/>
      </w:pPr>
      <w:bookmarkStart w:id="26" w:name="source-3657"/>
      <w:bookmarkEnd w:id="26" w:name="source-3657"/>
    </w:p>
    <w:p>
      <w:pPr>
        <w:pStyle w:val="ListBullet"/>
      </w:pPr>
      <w:r>
        <w:rPr>
          <w:rFonts w:ascii="微软雅黑" w:hAnsi="微软雅黑" w:eastAsia="微软雅黑" w:cs="微软雅黑"/>
        </w:rPr>
        <w:t>[26] World Oil｜</w:t>
      </w:r>
      <w:hyperlink r:id="rId36">
        <w:r>
          <w:rPr>
            <w:rFonts w:ascii="微软雅黑" w:hAnsi="微软雅黑" w:eastAsia="微软雅黑" w:cs="微软雅黑"/>
            <w:color w:val="087E89"/>
          </w:rPr>
          <w:t>INEOS 启动欧盟首个全规模海上 CO₂ 储存项目</w:t>
        </w:r>
      </w:hyperlink>
      <w:r>
        <w:rPr>
          <w:rFonts w:ascii="微软雅黑" w:hAnsi="微软雅黑" w:eastAsia="微软雅黑" w:cs="微软雅黑"/>
        </w:rPr>
      </w:r>
    </w:p>
    <w:p>
      <w:pPr>
        <w:spacing w:after="0" w:line="20" w:lineRule="exact"/>
      </w:pPr>
      <w:bookmarkStart w:id="27" w:name="source-3508"/>
      <w:bookmarkEnd w:id="27" w:name="source-3508"/>
    </w:p>
    <w:p>
      <w:pPr>
        <w:pStyle w:val="ListBullet"/>
      </w:pPr>
      <w:r>
        <w:rPr>
          <w:rFonts w:ascii="微软雅黑" w:hAnsi="微软雅黑" w:eastAsia="微软雅黑" w:cs="微软雅黑"/>
        </w:rPr>
        <w:t>[27] 光伏杂志国际版｜</w:t>
      </w:r>
      <w:hyperlink r:id="rId37">
        <w:r>
          <w:rPr>
            <w:rFonts w:ascii="微软雅黑" w:hAnsi="微软雅黑" w:eastAsia="微软雅黑" w:cs="微软雅黑"/>
            <w:color w:val="087E89"/>
          </w:rPr>
          <w:t>SMA 在德国开设 60 GW 逆变器工厂,聚焦高功率应用</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aa.com.tr/en/energy/oil/oil-price-surge-raises-fuel-costs-inflation-pressures-in-us/59685" TargetMode="External"/><Relationship Id="rId12" Type="http://schemas.openxmlformats.org/officeDocument/2006/relationships/hyperlink" Target="http://www.ce.cn/cysc/newmain/yc/jsxw/202609/t20260918_3220196.shtml" TargetMode="External"/><Relationship Id="rId13" Type="http://schemas.openxmlformats.org/officeDocument/2006/relationships/hyperlink" Target="https://www.fx678.com/C/20260918/202609181149071719.html" TargetMode="External"/><Relationship Id="rId14" Type="http://schemas.openxmlformats.org/officeDocument/2006/relationships/hyperlink" Target="https://www.zhitongcaijing.com/content/detail/1498252.html" TargetMode="External"/><Relationship Id="rId15" Type="http://schemas.openxmlformats.org/officeDocument/2006/relationships/hyperlink" Target="https://ec.europa.eu/eurostat/product?code=ddn-20260918-1" TargetMode="External"/><Relationship Id="rId16" Type="http://schemas.openxmlformats.org/officeDocument/2006/relationships/hyperlink" Target="https://www.news.cn/energy/20260918/81de474fdd4f4a2fb299d4cd907a4439/c.html" TargetMode="External"/><Relationship Id="rId17" Type="http://schemas.openxmlformats.org/officeDocument/2006/relationships/hyperlink" Target="https://news.cctv.com/2026/09/18/ARTIMZz6k8OIMQWT4LuirHiZ260918.shtml" TargetMode="External"/><Relationship Id="rId18" Type="http://schemas.openxmlformats.org/officeDocument/2006/relationships/hyperlink" Target="https://www.cpnn.com.cn/news/nytt/202609/t20260918_1916148.html" TargetMode="External"/><Relationship Id="rId19" Type="http://schemas.openxmlformats.org/officeDocument/2006/relationships/hyperlink" Target="https://news.cctv.com/2026/09/18/ARTIFE5Q6Wfoq6dJSbPtct7w260918.shtml" TargetMode="External"/><Relationship Id="rId20" Type="http://schemas.openxmlformats.org/officeDocument/2006/relationships/hyperlink" Target="https://www.miningweekly.com/article/scale-up-hydrogen-global-council-urges-amid-growing-energy-security-concerns-2026-09-18" TargetMode="External"/><Relationship Id="rId21" Type="http://schemas.openxmlformats.org/officeDocument/2006/relationships/hyperlink" Target="http://www.eeo.com.cn/2026/0918/1041740.shtml" TargetMode="External"/><Relationship Id="rId22" Type="http://schemas.openxmlformats.org/officeDocument/2006/relationships/hyperlink" Target="https://www.miningweekly.com/article/china-rare-earth-group-in-talks-to-buy-mp-materials-shareholder-shenghe-resources-sources-say-2026-09-18" TargetMode="External"/><Relationship Id="rId23" Type="http://schemas.openxmlformats.org/officeDocument/2006/relationships/hyperlink" Target="https://www.cpnn.com.cn/news/nytt/202609/t20260918_1916253.html" TargetMode="External"/><Relationship Id="rId24" Type="http://schemas.openxmlformats.org/officeDocument/2006/relationships/hyperlink" Target="https://www.zhitongcaijing.com/content/detail/1497983.html" TargetMode="External"/><Relationship Id="rId25" Type="http://schemas.openxmlformats.org/officeDocument/2006/relationships/hyperlink" Target="https://www.cleanenergywire.org/news/german-utilities-urge-eu-ease-gas-import-rules-amid-storage-concerns" TargetMode="External"/><Relationship Id="rId26" Type="http://schemas.openxmlformats.org/officeDocument/2006/relationships/hyperlink" Target="https://www.cpnn.com.cn/news/nyqy/202609/t20260918_1916143.html" TargetMode="External"/><Relationship Id="rId27" Type="http://schemas.openxmlformats.org/officeDocument/2006/relationships/hyperlink" Target="https://www.cpnn.com.cn/news/nyqy/202609/t20260918_1916125.html" TargetMode="External"/><Relationship Id="rId28" Type="http://schemas.openxmlformats.org/officeDocument/2006/relationships/hyperlink" Target="https://www.cpnn.com.cn/news/hy/202609/t20260918_1916104.html" TargetMode="External"/><Relationship Id="rId29" Type="http://schemas.openxmlformats.org/officeDocument/2006/relationships/hyperlink" Target="https://www.cpnn.com.cn/news/hy/202609/t20260918_1916249.html" TargetMode="External"/><Relationship Id="rId30" Type="http://schemas.openxmlformats.org/officeDocument/2006/relationships/hyperlink" Target="https://news.mysteel.com/a/26091810/0FEF49E6B1164080.html" TargetMode="External"/><Relationship Id="rId31" Type="http://schemas.openxmlformats.org/officeDocument/2006/relationships/hyperlink" Target="https://www.pipechina.com.cn/front/news/3006048.html" TargetMode="External"/><Relationship Id="rId32" Type="http://schemas.openxmlformats.org/officeDocument/2006/relationships/hyperlink" Target="https://www.eia.gov/todayinenergy/detail.php?id=68164" TargetMode="External"/><Relationship Id="rId33" Type="http://schemas.openxmlformats.org/officeDocument/2006/relationships/hyperlink" Target="https://www.fx678.com/C/20260918/202609181606399092.html" TargetMode="External"/><Relationship Id="rId34" Type="http://schemas.openxmlformats.org/officeDocument/2006/relationships/hyperlink" Target="https://www.vanguardngr.com/2026/09/houthis-and-saudis-when-the-weak-strike-back-by-owei-lakemfa/" TargetMode="External"/><Relationship Id="rId35" Type="http://schemas.openxmlformats.org/officeDocument/2006/relationships/hyperlink" Target="https://www.energy-storage.news/us-international-development-finance-corporation-supports-ukraine-bess-portfolio/" TargetMode="External"/><Relationship Id="rId36" Type="http://schemas.openxmlformats.org/officeDocument/2006/relationships/hyperlink" Target="https://www.worldoil.com/news/2026/9/18/ineos-launches-eu-s-first-full-scale-offshore-co2-storage-operation/" TargetMode="External"/><Relationship Id="rId37" Type="http://schemas.openxmlformats.org/officeDocument/2006/relationships/hyperlink" Target="https://www.pv-magazine.com/2026/09/18/2026-09-18-sma-opens-60-gw-factory-in-germany-for-high-power-app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2026年9月18日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