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0" w:line="20" w:lineRule="atLeast"/>
        <w:ind w:firstLine="0" w:left="0" w:right="0"/>
      </w:pPr>
      <w:r>
        <w:rPr>
          <w:rFonts w:ascii="微软雅黑" w:hAnsi="微软雅黑" w:eastAsia="微软雅黑" w:cs="微软雅黑"/>
          <w:sz w:val="2"/>
        </w:rPr>
        <w:drawing>
          <wp:inline xmlns:a="http://schemas.openxmlformats.org/drawingml/2006/main" xmlns:pic="http://schemas.openxmlformats.org/drawingml/2006/picture">
            <wp:extent cx="7488000" cy="1058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488000" cy="10584000"/>
                    </a:xfrm>
                    <a:prstGeom prst="rect"/>
                  </pic:spPr>
                </pic:pic>
              </a:graphicData>
            </a:graphic>
          </wp:inline>
        </w:drawing>
      </w:r>
    </w:p>
    <w:p>
      <w:pPr>
        <w:spacing w:before="0" w:after="0" w:line="20" w:lineRule="exact"/>
        <w:sectPr>
          <w:pgSz w:w="11906" w:h="16838"/>
          <w:pgMar w:top="0" w:right="0" w:bottom="0" w:left="0" w:header="720" w:footer="720" w:gutter="0"/>
          <w:cols w:space="720"/>
          <w:docGrid w:linePitch="360"/>
        </w:sectPr>
      </w:pPr>
    </w:p>
    <w:p>
      <w:pPr>
        <w:spacing w:after="180"/>
      </w:pPr>
      <w:r>
        <w:rPr>
          <w:rFonts w:ascii="微软雅黑" w:hAnsi="微软雅黑" w:eastAsia="微软雅黑" w:cs="微软雅黑"/>
          <w:b/>
          <w:sz w:val="30"/>
        </w:rPr>
        <w:t>报告目录</w:t>
      </w:r>
    </w:p>
    <w:p>
      <w:pPr>
        <w:pStyle w:val="ListBullet"/>
        <w:spacing w:after="60"/>
      </w:pPr>
      <w:r>
        <w:rPr>
          <w:rFonts w:ascii="微软雅黑" w:hAnsi="微软雅黑" w:eastAsia="微软雅黑" w:cs="微软雅黑"/>
        </w:rPr>
        <w:t>核心摘要</w:t>
      </w:r>
    </w:p>
    <w:p>
      <w:pPr>
        <w:pStyle w:val="ListBullet"/>
        <w:spacing w:after="60"/>
      </w:pPr>
      <w:r>
        <w:rPr>
          <w:rFonts w:ascii="微软雅黑" w:hAnsi="微软雅黑" w:eastAsia="微软雅黑" w:cs="微软雅黑"/>
        </w:rPr>
        <w:t>关键数据</w:t>
      </w:r>
    </w:p>
    <w:p>
      <w:pPr>
        <w:pStyle w:val="ListBullet"/>
        <w:spacing w:after="60"/>
      </w:pPr>
      <w:r>
        <w:rPr>
          <w:rFonts w:ascii="微软雅黑" w:hAnsi="微软雅黑" w:eastAsia="微软雅黑" w:cs="微软雅黑"/>
        </w:rPr>
        <w:t>国际重点事件</w:t>
      </w:r>
    </w:p>
    <w:p>
      <w:pPr>
        <w:pStyle w:val="ListBullet"/>
        <w:spacing w:after="60"/>
      </w:pPr>
      <w:r>
        <w:rPr>
          <w:rFonts w:ascii="微软雅黑" w:hAnsi="微软雅黑" w:eastAsia="微软雅黑" w:cs="微软雅黑"/>
        </w:rPr>
        <w:t>中国重点事件</w:t>
      </w:r>
    </w:p>
    <w:p>
      <w:pPr>
        <w:pStyle w:val="ListBullet"/>
        <w:spacing w:after="60"/>
      </w:pPr>
      <w:r>
        <w:rPr>
          <w:rFonts w:ascii="微软雅黑" w:hAnsi="微软雅黑" w:eastAsia="微软雅黑" w:cs="微软雅黑"/>
        </w:rPr>
        <w:t>风险与后续观察</w:t>
      </w:r>
    </w:p>
    <w:p>
      <w:pPr>
        <w:pStyle w:val="ListBullet"/>
        <w:spacing w:after="60"/>
      </w:pPr>
      <w:r>
        <w:rPr>
          <w:rFonts w:ascii="微软雅黑" w:hAnsi="微软雅黑" w:eastAsia="微软雅黑" w:cs="微软雅黑"/>
        </w:rPr>
        <w:t>资料覆盖说明</w:t>
      </w:r>
    </w:p>
    <w:p>
      <w:pPr>
        <w:pStyle w:val="ListBullet"/>
        <w:spacing w:after="60"/>
      </w:pPr>
      <w:r>
        <w:rPr>
          <w:rFonts w:ascii="微软雅黑" w:hAnsi="微软雅黑" w:eastAsia="微软雅黑" w:cs="微软雅黑"/>
        </w:rPr>
        <w:t>资料来源</w:t>
      </w:r>
    </w:p>
    <w:p>
      <w:pPr>
        <w:spacing w:after="280"/>
      </w:pPr>
    </w:p>
    <w:p>
      <w:pPr>
        <w:ind w:firstLine="420"/>
      </w:pPr>
      <w:r>
        <w:rPr>
          <w:rFonts w:ascii="微软雅黑" w:hAnsi="微软雅黑" w:eastAsia="微软雅黑" w:cs="微软雅黑"/>
        </w:rPr>
        <w:t>信息覆盖时段：2026-09-25 00:00 至 2026-09-26 00:00（不含），Asia/Shanghai。</w:t>
      </w:r>
    </w:p>
    <w:p>
      <w:pPr/>
      <w:r>
        <w:rPr>
          <w:rFonts w:ascii="微软雅黑" w:hAnsi="微软雅黑" w:eastAsia="微软雅黑" w:cs="微软雅黑"/>
        </w:rPr>
        <w:t>统计区间：2026-09-25 至 2026-09-26（结束日不含，北京时间）</w:t>
      </w:r>
    </w:p>
    <w:p>
      <w:pPr>
        <w:ind w:firstLine="420"/>
      </w:pPr>
      <w:r>
        <w:rPr>
          <w:rFonts w:ascii="微软雅黑" w:hAnsi="微软雅黑" w:eastAsia="微软雅黑" w:cs="微软雅黑"/>
        </w:rPr>
        <w:t>资料更新截止：2026-09-26 04:00（北京时间）</w:t>
      </w:r>
    </w:p>
    <w:p>
      <w:pPr>
        <w:pStyle w:val="Heading2"/>
      </w:pPr>
      <w:r>
        <w:rPr>
          <w:rFonts w:ascii="微软雅黑" w:hAnsi="微软雅黑" w:eastAsia="微软雅黑" w:cs="微软雅黑"/>
        </w:rPr>
        <w:t>核心摘要</w:t>
      </w:r>
    </w:p>
    <w:p>
      <w:pPr>
        <w:pStyle w:val="ListBullet"/>
      </w:pPr>
      <w:r>
        <w:rPr>
          <w:rFonts w:ascii="微软雅黑" w:hAnsi="微软雅黑" w:eastAsia="微软雅黑" w:cs="微软雅黑"/>
        </w:rPr>
        <w:t xml:space="preserve">阳江帆石2吉瓦海上风电项目全面投运，规模化部署18兆瓦机组 </w:t>
      </w:r>
      <w:hyperlink w:anchor="source-6879">
        <w:r>
          <w:rPr>
            <w:rFonts w:ascii="微软雅黑" w:hAnsi="微软雅黑" w:eastAsia="微软雅黑" w:cs="微软雅黑"/>
            <w:color w:val="087E89"/>
          </w:rPr>
          <w:t>1</w:t>
        </w:r>
      </w:hyperlink>
      <w:r>
        <w:rPr>
          <w:rFonts w:ascii="微软雅黑" w:hAnsi="微软雅黑" w:eastAsia="微软雅黑" w:cs="微软雅黑"/>
        </w:rPr>
      </w:r>
    </w:p>
    <w:p>
      <w:pPr>
        <w:pStyle w:val="ListBullet"/>
      </w:pPr>
      <w:r>
        <w:rPr>
          <w:rFonts w:ascii="微软雅黑" w:hAnsi="微软雅黑" w:eastAsia="微软雅黑" w:cs="微软雅黑"/>
        </w:rPr>
        <w:t xml:space="preserve">美柴油价格年内暴涨83%，成本传导或令核心通胀更顽固 </w:t>
      </w:r>
      <w:hyperlink w:anchor="source-6867">
        <w:r>
          <w:rPr>
            <w:rFonts w:ascii="微软雅黑" w:hAnsi="微软雅黑" w:eastAsia="微软雅黑" w:cs="微软雅黑"/>
            <w:color w:val="087E89"/>
          </w:rPr>
          <w:t>2</w:t>
        </w:r>
      </w:hyperlink>
      <w:r>
        <w:rPr>
          <w:rFonts w:ascii="微软雅黑" w:hAnsi="微软雅黑" w:eastAsia="微软雅黑" w:cs="微软雅黑"/>
        </w:rPr>
      </w:r>
    </w:p>
    <w:p>
      <w:pPr>
        <w:pStyle w:val="ListBullet"/>
      </w:pPr>
      <w:r>
        <w:rPr>
          <w:rFonts w:ascii="微软雅黑" w:hAnsi="微软雅黑" w:eastAsia="微软雅黑" w:cs="微软雅黑"/>
        </w:rPr>
        <w:t xml:space="preserve">IEA上调2026年全球煤炭需求预测至历史新高 </w:t>
      </w:r>
      <w:hyperlink w:anchor="source-6678">
        <w:r>
          <w:rPr>
            <w:rFonts w:ascii="微软雅黑" w:hAnsi="微软雅黑" w:eastAsia="微软雅黑" w:cs="微软雅黑"/>
            <w:color w:val="087E89"/>
          </w:rPr>
          <w:t>3</w:t>
        </w:r>
      </w:hyperlink>
      <w:r>
        <w:rPr>
          <w:rFonts w:ascii="微软雅黑" w:hAnsi="微软雅黑" w:eastAsia="微软雅黑" w:cs="微软雅黑"/>
        </w:rPr>
      </w:r>
    </w:p>
    <w:p>
      <w:pPr>
        <w:pStyle w:val="ListBullet"/>
      </w:pPr>
      <w:r>
        <w:rPr>
          <w:rFonts w:ascii="微软雅黑" w:hAnsi="微软雅黑" w:eastAsia="微软雅黑" w:cs="微软雅黑"/>
        </w:rPr>
        <w:t xml:space="preserve">欧盟就成员国能源指令转化不力启动执法程序 </w:t>
      </w:r>
      <w:hyperlink w:anchor="source-6818">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德奥卢启动21亿欧元e-SAF补贴计划弥合价格差 </w:t>
      </w:r>
      <w:hyperlink w:anchor="source-6805">
        <w:r>
          <w:rPr>
            <w:rFonts w:ascii="微软雅黑" w:hAnsi="微软雅黑" w:eastAsia="微软雅黑" w:cs="微软雅黑"/>
            <w:color w:val="087E89"/>
          </w:rPr>
          <w:t>5</w:t>
        </w:r>
      </w:hyperlink>
      <w:r>
        <w:rPr>
          <w:rFonts w:ascii="微软雅黑" w:hAnsi="微软雅黑" w:eastAsia="微软雅黑" w:cs="微软雅黑"/>
        </w:rPr>
        <w:t xml:space="preserve"> </w:t>
      </w:r>
      <w:hyperlink w:anchor="source-6875">
        <w:r>
          <w:rPr>
            <w:rFonts w:ascii="微软雅黑" w:hAnsi="微软雅黑" w:eastAsia="微软雅黑" w:cs="微软雅黑"/>
            <w:color w:val="087E89"/>
          </w:rPr>
          <w:t>6</w:t>
        </w:r>
      </w:hyperlink>
      <w:r>
        <w:rPr>
          <w:rFonts w:ascii="微软雅黑" w:hAnsi="微软雅黑" w:eastAsia="微软雅黑" w:cs="微软雅黑"/>
        </w:rPr>
      </w:r>
    </w:p>
    <w:p>
      <w:pPr>
        <w:pStyle w:val="Heading2"/>
        <w:keepNext/>
      </w:pPr>
      <w:r>
        <w:rPr>
          <w:rFonts w:ascii="微软雅黑" w:hAnsi="微软雅黑" w:eastAsia="微软雅黑" w:cs="微软雅黑"/>
        </w:rPr>
        <w:t>关键数据</w:t>
      </w:r>
    </w:p>
    <w:tbl>
      <w:tblPr>
        <w:tblStyle w:val="TableGrid"/>
        <w:tblW w:type="auto" w:w="0"/>
        <w:tblLook w:firstColumn="1" w:firstRow="1" w:lastColumn="0" w:lastRow="0" w:noHBand="0" w:noVBand="1" w:val="04A0"/>
      </w:tblPr>
      <w:tblGrid>
        <w:gridCol w:w="2268"/>
        <w:gridCol w:w="2268"/>
        <w:gridCol w:w="2268"/>
        <w:gridCol w:w="2268"/>
      </w:tblGrid>
      <w:tr>
        <w:trPr>
          <w:cantSplit/>
          <w:tblHeader/>
        </w:trPr>
        <w:tc>
          <w:tcPr>
            <w:tcW w:type="dxa" w:w="2268"/>
          </w:tcPr>
          <w:p>
            <w:pPr>
              <w:spacing w:after="40"/>
            </w:pPr>
            <w:r>
              <w:rPr>
                <w:rFonts w:ascii="微软雅黑" w:hAnsi="微软雅黑" w:eastAsia="微软雅黑" w:cs="微软雅黑"/>
                <w:b/>
              </w:rPr>
              <w:t>指标</w:t>
            </w:r>
          </w:p>
        </w:tc>
        <w:tc>
          <w:tcPr>
            <w:tcW w:type="dxa" w:w="2268"/>
          </w:tcPr>
          <w:p>
            <w:pPr>
              <w:spacing w:after="40"/>
            </w:pPr>
            <w:r>
              <w:rPr>
                <w:rFonts w:ascii="微软雅黑" w:hAnsi="微软雅黑" w:eastAsia="微软雅黑" w:cs="微软雅黑"/>
                <w:b/>
              </w:rPr>
              <w:t>数值及单位</w:t>
            </w:r>
          </w:p>
        </w:tc>
        <w:tc>
          <w:tcPr>
            <w:tcW w:type="dxa" w:w="2268"/>
          </w:tcPr>
          <w:p>
            <w:pPr>
              <w:spacing w:after="40"/>
            </w:pPr>
            <w:r>
              <w:rPr>
                <w:rFonts w:ascii="微软雅黑" w:hAnsi="微软雅黑" w:eastAsia="微软雅黑" w:cs="微软雅黑"/>
                <w:b/>
              </w:rPr>
              <w:t>数据时间</w:t>
            </w:r>
          </w:p>
        </w:tc>
        <w:tc>
          <w:tcPr>
            <w:tcW w:type="dxa" w:w="2268"/>
          </w:tcPr>
          <w:p>
            <w:pPr>
              <w:spacing w:after="40"/>
            </w:pPr>
            <w:r>
              <w:rPr>
                <w:rFonts w:ascii="微软雅黑" w:hAnsi="微软雅黑" w:eastAsia="微软雅黑" w:cs="微软雅黑"/>
                <w:b/>
              </w:rPr>
              <w:t>来源</w:t>
            </w:r>
          </w:p>
        </w:tc>
      </w:tr>
      <w:tr>
        <w:trPr>
          <w:cantSplit/>
        </w:trPr>
        <w:tc>
          <w:tcPr>
            <w:tcW w:type="dxa" w:w="2268"/>
          </w:tcPr>
          <w:p>
            <w:pPr>
              <w:spacing w:after="40"/>
            </w:pPr>
            <w:r>
              <w:rPr>
                <w:rFonts w:ascii="微软雅黑" w:hAnsi="微软雅黑" w:eastAsia="微软雅黑" w:cs="微软雅黑"/>
              </w:rPr>
              <w:t>年发电量</w:t>
            </w:r>
          </w:p>
        </w:tc>
        <w:tc>
          <w:tcPr>
            <w:tcW w:type="dxa" w:w="2268"/>
          </w:tcPr>
          <w:p>
            <w:pPr>
              <w:spacing w:after="40"/>
            </w:pPr>
            <w:r>
              <w:rPr>
                <w:rFonts w:ascii="微软雅黑" w:hAnsi="微软雅黑" w:eastAsia="微软雅黑" w:cs="微软雅黑"/>
              </w:rPr>
              <w:t>超66亿千瓦时</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6879">
              <w:r>
                <w:rPr>
                  <w:rFonts w:ascii="微软雅黑" w:hAnsi="微软雅黑" w:eastAsia="微软雅黑" w:cs="微软雅黑"/>
                  <w:color w:val="087E89"/>
                </w:rPr>
                <w:t>1</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18兆瓦机组台数</w:t>
            </w:r>
          </w:p>
        </w:tc>
        <w:tc>
          <w:tcPr>
            <w:tcW w:type="dxa" w:w="2268"/>
          </w:tcPr>
          <w:p>
            <w:pPr>
              <w:spacing w:after="40"/>
            </w:pPr>
            <w:r>
              <w:rPr>
                <w:rFonts w:ascii="微软雅黑" w:hAnsi="微软雅黑" w:eastAsia="微软雅黑" w:cs="微软雅黑"/>
              </w:rPr>
              <w:t>33台</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6879">
              <w:r>
                <w:rPr>
                  <w:rFonts w:ascii="微软雅黑" w:hAnsi="微软雅黑" w:eastAsia="微软雅黑" w:cs="微软雅黑"/>
                  <w:color w:val="087E89"/>
                </w:rPr>
                <w:t>1</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阳江海上风电装机</w:t>
            </w:r>
          </w:p>
        </w:tc>
        <w:tc>
          <w:tcPr>
            <w:tcW w:type="dxa" w:w="2268"/>
          </w:tcPr>
          <w:p>
            <w:pPr>
              <w:spacing w:after="40"/>
            </w:pPr>
            <w:r>
              <w:rPr>
                <w:rFonts w:ascii="微软雅黑" w:hAnsi="微软雅黑" w:eastAsia="微软雅黑" w:cs="微软雅黑"/>
              </w:rPr>
              <w:t>突破8吉瓦</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6879">
              <w:r>
                <w:rPr>
                  <w:rFonts w:ascii="微软雅黑" w:hAnsi="微软雅黑" w:eastAsia="微软雅黑" w:cs="微软雅黑"/>
                  <w:color w:val="087E89"/>
                </w:rPr>
                <w:t>1</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美国柴油平均价格</w:t>
            </w:r>
          </w:p>
        </w:tc>
        <w:tc>
          <w:tcPr>
            <w:tcW w:type="dxa" w:w="2268"/>
          </w:tcPr>
          <w:p>
            <w:pPr>
              <w:spacing w:after="40"/>
            </w:pPr>
            <w:r>
              <w:rPr>
                <w:rFonts w:ascii="微软雅黑" w:hAnsi="微软雅黑" w:eastAsia="微软雅黑" w:cs="微软雅黑"/>
              </w:rPr>
              <w:t>每加仑6.50美元</w:t>
            </w:r>
          </w:p>
        </w:tc>
        <w:tc>
          <w:tcPr>
            <w:tcW w:type="dxa" w:w="2268"/>
          </w:tcPr>
          <w:p>
            <w:pPr>
              <w:spacing w:after="40"/>
            </w:pPr>
            <w:r>
              <w:rPr>
                <w:rFonts w:ascii="微软雅黑" w:hAnsi="微软雅黑" w:eastAsia="微软雅黑" w:cs="微软雅黑"/>
              </w:rPr>
              <w:t>截至周四</w:t>
            </w:r>
          </w:p>
        </w:tc>
        <w:tc>
          <w:tcPr>
            <w:tcW w:type="dxa" w:w="2268"/>
          </w:tcPr>
          <w:p>
            <w:pPr>
              <w:spacing w:after="40"/>
            </w:pPr>
            <w:r>
              <w:rPr>
                <w:rFonts w:ascii="微软雅黑" w:hAnsi="微软雅黑" w:eastAsia="微软雅黑" w:cs="微软雅黑"/>
              </w:rPr>
            </w:r>
            <w:hyperlink w:anchor="source-6867">
              <w:r>
                <w:rPr>
                  <w:rFonts w:ascii="微软雅黑" w:hAnsi="微软雅黑" w:eastAsia="微软雅黑" w:cs="微软雅黑"/>
                  <w:color w:val="087E89"/>
                </w:rPr>
                <w:t>2</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美国柴油价格年内累计涨幅</w:t>
            </w:r>
          </w:p>
        </w:tc>
        <w:tc>
          <w:tcPr>
            <w:tcW w:type="dxa" w:w="2268"/>
          </w:tcPr>
          <w:p>
            <w:pPr>
              <w:spacing w:after="40"/>
            </w:pPr>
            <w:r>
              <w:rPr>
                <w:rFonts w:ascii="微软雅黑" w:hAnsi="微软雅黑" w:eastAsia="微软雅黑" w:cs="微软雅黑"/>
              </w:rPr>
              <w:t>83%</w:t>
            </w:r>
          </w:p>
        </w:tc>
        <w:tc>
          <w:tcPr>
            <w:tcW w:type="dxa" w:w="2268"/>
          </w:tcPr>
          <w:p>
            <w:pPr>
              <w:spacing w:after="40"/>
            </w:pPr>
            <w:r>
              <w:rPr>
                <w:rFonts w:ascii="微软雅黑" w:hAnsi="微软雅黑" w:eastAsia="微软雅黑" w:cs="微软雅黑"/>
              </w:rPr>
              <w:t>年内</w:t>
            </w:r>
          </w:p>
        </w:tc>
        <w:tc>
          <w:tcPr>
            <w:tcW w:type="dxa" w:w="2268"/>
          </w:tcPr>
          <w:p>
            <w:pPr>
              <w:spacing w:after="40"/>
            </w:pPr>
            <w:r>
              <w:rPr>
                <w:rFonts w:ascii="微软雅黑" w:hAnsi="微软雅黑" w:eastAsia="微软雅黑" w:cs="微软雅黑"/>
              </w:rPr>
            </w:r>
            <w:hyperlink w:anchor="source-6867">
              <w:r>
                <w:rPr>
                  <w:rFonts w:ascii="微软雅黑" w:hAnsi="微软雅黑" w:eastAsia="微软雅黑" w:cs="微软雅黑"/>
                  <w:color w:val="087E89"/>
                </w:rPr>
                <w:t>2</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美国汽油价格年内累计涨幅</w:t>
            </w:r>
          </w:p>
        </w:tc>
        <w:tc>
          <w:tcPr>
            <w:tcW w:type="dxa" w:w="2268"/>
          </w:tcPr>
          <w:p>
            <w:pPr>
              <w:spacing w:after="40"/>
            </w:pPr>
            <w:r>
              <w:rPr>
                <w:rFonts w:ascii="微软雅黑" w:hAnsi="微软雅黑" w:eastAsia="微软雅黑" w:cs="微软雅黑"/>
              </w:rPr>
              <w:t>59%</w:t>
            </w:r>
          </w:p>
        </w:tc>
        <w:tc>
          <w:tcPr>
            <w:tcW w:type="dxa" w:w="2268"/>
          </w:tcPr>
          <w:p>
            <w:pPr>
              <w:spacing w:after="40"/>
            </w:pPr>
            <w:r>
              <w:rPr>
                <w:rFonts w:ascii="微软雅黑" w:hAnsi="微软雅黑" w:eastAsia="微软雅黑" w:cs="微软雅黑"/>
              </w:rPr>
              <w:t>年内</w:t>
            </w:r>
          </w:p>
        </w:tc>
        <w:tc>
          <w:tcPr>
            <w:tcW w:type="dxa" w:w="2268"/>
          </w:tcPr>
          <w:p>
            <w:pPr>
              <w:spacing w:after="40"/>
            </w:pPr>
            <w:r>
              <w:rPr>
                <w:rFonts w:ascii="微软雅黑" w:hAnsi="微软雅黑" w:eastAsia="微软雅黑" w:cs="微软雅黑"/>
              </w:rPr>
            </w:r>
            <w:hyperlink w:anchor="source-6867">
              <w:r>
                <w:rPr>
                  <w:rFonts w:ascii="微软雅黑" w:hAnsi="微软雅黑" w:eastAsia="微软雅黑" w:cs="微软雅黑"/>
                  <w:color w:val="087E89"/>
                </w:rPr>
                <w:t>2</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2026年全球煤炭需求预测</w:t>
            </w:r>
          </w:p>
        </w:tc>
        <w:tc>
          <w:tcPr>
            <w:tcW w:type="dxa" w:w="2268"/>
          </w:tcPr>
          <w:p>
            <w:pPr>
              <w:spacing w:after="40"/>
            </w:pPr>
            <w:r>
              <w:rPr>
                <w:rFonts w:ascii="微软雅黑" w:hAnsi="微软雅黑" w:eastAsia="微软雅黑" w:cs="微软雅黑"/>
              </w:rPr>
              <w:t>89.4亿吨</w:t>
            </w:r>
          </w:p>
        </w:tc>
        <w:tc>
          <w:tcPr>
            <w:tcW w:type="dxa" w:w="2268"/>
          </w:tcPr>
          <w:p>
            <w:pPr>
              <w:spacing w:after="40"/>
            </w:pPr>
            <w:r>
              <w:rPr>
                <w:rFonts w:ascii="微软雅黑" w:hAnsi="微软雅黑" w:eastAsia="微软雅黑" w:cs="微软雅黑"/>
              </w:rPr>
              <w:t>2026年预测</w:t>
            </w:r>
          </w:p>
        </w:tc>
        <w:tc>
          <w:tcPr>
            <w:tcW w:type="dxa" w:w="2268"/>
          </w:tcPr>
          <w:p>
            <w:pPr>
              <w:spacing w:after="40"/>
            </w:pPr>
            <w:r>
              <w:rPr>
                <w:rFonts w:ascii="微软雅黑" w:hAnsi="微软雅黑" w:eastAsia="微软雅黑" w:cs="微软雅黑"/>
              </w:rPr>
            </w:r>
            <w:hyperlink w:anchor="source-6678">
              <w:r>
                <w:rPr>
                  <w:rFonts w:ascii="微软雅黑" w:hAnsi="微软雅黑" w:eastAsia="微软雅黑" w:cs="微软雅黑"/>
                  <w:color w:val="087E89"/>
                </w:rPr>
                <w:t>3</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2026年同比增幅</w:t>
            </w:r>
          </w:p>
        </w:tc>
        <w:tc>
          <w:tcPr>
            <w:tcW w:type="dxa" w:w="2268"/>
          </w:tcPr>
          <w:p>
            <w:pPr>
              <w:spacing w:after="40"/>
            </w:pPr>
            <w:r>
              <w:rPr>
                <w:rFonts w:ascii="微软雅黑" w:hAnsi="微软雅黑" w:eastAsia="微软雅黑" w:cs="微软雅黑"/>
              </w:rPr>
              <w:t>1.2%</w:t>
            </w:r>
          </w:p>
        </w:tc>
        <w:tc>
          <w:tcPr>
            <w:tcW w:type="dxa" w:w="2268"/>
          </w:tcPr>
          <w:p>
            <w:pPr>
              <w:spacing w:after="40"/>
            </w:pPr>
            <w:r>
              <w:rPr>
                <w:rFonts w:ascii="微软雅黑" w:hAnsi="微软雅黑" w:eastAsia="微软雅黑" w:cs="微软雅黑"/>
              </w:rPr>
              <w:t>2026年预测</w:t>
            </w:r>
          </w:p>
        </w:tc>
        <w:tc>
          <w:tcPr>
            <w:tcW w:type="dxa" w:w="2268"/>
          </w:tcPr>
          <w:p>
            <w:pPr>
              <w:spacing w:after="40"/>
            </w:pPr>
            <w:r>
              <w:rPr>
                <w:rFonts w:ascii="微软雅黑" w:hAnsi="微软雅黑" w:eastAsia="微软雅黑" w:cs="微软雅黑"/>
              </w:rPr>
            </w:r>
            <w:hyperlink w:anchor="source-6678">
              <w:r>
                <w:rPr>
                  <w:rFonts w:ascii="微软雅黑" w:hAnsi="微软雅黑" w:eastAsia="微软雅黑" w:cs="微软雅黑"/>
                  <w:color w:val="087E89"/>
                </w:rPr>
                <w:t>3</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2025年全球煤炭需求</w:t>
            </w:r>
          </w:p>
        </w:tc>
        <w:tc>
          <w:tcPr>
            <w:tcW w:type="dxa" w:w="2268"/>
          </w:tcPr>
          <w:p>
            <w:pPr>
              <w:spacing w:after="40"/>
            </w:pPr>
            <w:r>
              <w:rPr>
                <w:rFonts w:ascii="微软雅黑" w:hAnsi="微软雅黑" w:eastAsia="微软雅黑" w:cs="微软雅黑"/>
              </w:rPr>
              <w:t>88.4亿吨</w:t>
            </w:r>
          </w:p>
        </w:tc>
        <w:tc>
          <w:tcPr>
            <w:tcW w:type="dxa" w:w="2268"/>
          </w:tcPr>
          <w:p>
            <w:pPr>
              <w:spacing w:after="40"/>
            </w:pPr>
            <w:r>
              <w:rPr>
                <w:rFonts w:ascii="微软雅黑" w:hAnsi="微软雅黑" w:eastAsia="微软雅黑" w:cs="微软雅黑"/>
              </w:rPr>
              <w:t>2025年</w:t>
            </w:r>
          </w:p>
        </w:tc>
        <w:tc>
          <w:tcPr>
            <w:tcW w:type="dxa" w:w="2268"/>
          </w:tcPr>
          <w:p>
            <w:pPr>
              <w:spacing w:after="40"/>
            </w:pPr>
            <w:r>
              <w:rPr>
                <w:rFonts w:ascii="微软雅黑" w:hAnsi="微软雅黑" w:eastAsia="微软雅黑" w:cs="微软雅黑"/>
              </w:rPr>
            </w:r>
            <w:hyperlink w:anchor="source-6678">
              <w:r>
                <w:rPr>
                  <w:rFonts w:ascii="微软雅黑" w:hAnsi="微软雅黑" w:eastAsia="微软雅黑" w:cs="微软雅黑"/>
                  <w:color w:val="087E89"/>
                </w:rPr>
                <w:t>3</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回应急限</w:t>
            </w:r>
          </w:p>
        </w:tc>
        <w:tc>
          <w:tcPr>
            <w:tcW w:type="dxa" w:w="2268"/>
          </w:tcPr>
          <w:p>
            <w:pPr>
              <w:spacing w:after="40"/>
            </w:pPr>
            <w:r>
              <w:rPr>
                <w:rFonts w:ascii="微软雅黑" w:hAnsi="微软雅黑" w:eastAsia="微软雅黑" w:cs="微软雅黑"/>
              </w:rPr>
              <w:t>两个月</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6818">
              <w:r>
                <w:rPr>
                  <w:rFonts w:ascii="微软雅黑" w:hAnsi="微软雅黑" w:eastAsia="微软雅黑" w:cs="微软雅黑"/>
                  <w:color w:val="087E89"/>
                </w:rPr>
                <w:t>4</w:t>
              </w:r>
            </w:hyperlink>
            <w:r>
              <w:rPr>
                <w:rFonts w:ascii="微软雅黑" w:hAnsi="微软雅黑" w:eastAsia="微软雅黑" w:cs="微软雅黑"/>
              </w:rPr>
            </w:r>
          </w:p>
        </w:tc>
      </w:tr>
    </w:tbl>
    <w:p>
      <w:pPr>
        <w:spacing w:after="120"/>
      </w:pPr>
    </w:p>
    <w:p>
      <w:pPr>
        <w:pStyle w:val="Heading2"/>
      </w:pPr>
      <w:r>
        <w:rPr>
          <w:rFonts w:ascii="微软雅黑" w:hAnsi="微软雅黑" w:eastAsia="微软雅黑" w:cs="微软雅黑"/>
        </w:rPr>
        <w:t>国际重点事件</w:t>
      </w:r>
    </w:p>
    <w:p>
      <w:pPr>
        <w:pStyle w:val="Heading3"/>
      </w:pPr>
      <w:r>
        <w:rPr>
          <w:rFonts w:ascii="微软雅黑" w:hAnsi="微软雅黑" w:eastAsia="微软雅黑" w:cs="微软雅黑"/>
        </w:rPr>
        <w:t>1. 南非公布能源定价政策草案以取代2008年框架</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南非电力与能源部公布能源定价政策草案，取代2008年制定的框架，为NERSA、Eskom、市政当局和其他持牌供应商的定价决定提供国家原则和规则。</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草案旨在实现定价路径确定、透明且成本反映的定价，并适应更具竞争力的市场，通过强化监督、合规与核查加强社会保护与问责。草案将消费者账单解捆，分项列示能源成本、网络费用、辅助服务以及市政附加费，以提高透明度、减少隐性收费并便于争议错误收费。</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账单解捆有望提高价格透明度，但议会警告若转向完全成本反映定价，消费者支付价格可能在数月内由目前最高约每单位5兰特升至约10兰特。</w:t>
      </w:r>
    </w:p>
    <w:p>
      <w:pPr>
        <w:ind w:firstLine="420"/>
      </w:pPr>
      <w:r>
        <w:rPr>
          <w:rFonts w:ascii="微软雅黑" w:hAnsi="微软雅黑" w:eastAsia="微软雅黑" w:cs="微软雅黑"/>
        </w:rPr>
        <w:t>来源：</w:t>
      </w:r>
      <w:hyperlink w:anchor="source-6657">
        <w:r>
          <w:rPr>
            <w:rFonts w:ascii="微软雅黑" w:hAnsi="微软雅黑" w:eastAsia="微软雅黑" w:cs="微软雅黑"/>
            <w:color w:val="087E89"/>
          </w:rPr>
          <w:t>9</w:t>
        </w:r>
      </w:hyperlink>
      <w:r>
        <w:rPr>
          <w:rFonts w:ascii="微软雅黑" w:hAnsi="微软雅黑" w:eastAsia="微软雅黑" w:cs="微软雅黑"/>
        </w:rPr>
      </w:r>
    </w:p>
    <w:p>
      <w:pPr>
        <w:pStyle w:val="Heading3"/>
      </w:pPr>
      <w:r>
        <w:rPr>
          <w:rFonts w:ascii="微软雅黑" w:hAnsi="微软雅黑" w:eastAsia="微软雅黑" w:cs="微软雅黑"/>
        </w:rPr>
        <w:t>2. 南非最高上诉法院裁定库西勒电站未完全遵守环境与用水许可</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南非最高上诉法院判决认定Eskom库西勒电站未完全遵守环境授权和用水许可条件，且监管部门未采取合理有效的执法措施。</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议会指出多个下游地表水和地下水监测点仍不符合用水许可条件，并关注煤场污染、浊度高、污染控制坝淤积及闭路水管理系统薄弱等问题。水与卫生部已合并库西勒用水许可，并承认既往执法措施未能实现持续合规。</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判决与监测点不合格表明Eskom在库西勒电站的环境与用水合规存在持续缺口，监管部门被认定执法措施不合理。</w:t>
      </w:r>
    </w:p>
    <w:p>
      <w:pPr>
        <w:ind w:firstLine="420"/>
      </w:pPr>
      <w:r>
        <w:rPr>
          <w:rFonts w:ascii="微软雅黑" w:hAnsi="微软雅黑" w:eastAsia="微软雅黑" w:cs="微软雅黑"/>
        </w:rPr>
        <w:t>来源：</w:t>
      </w:r>
      <w:hyperlink w:anchor="source-6658">
        <w:r>
          <w:rPr>
            <w:rFonts w:ascii="微软雅黑" w:hAnsi="微软雅黑" w:eastAsia="微软雅黑" w:cs="微软雅黑"/>
            <w:color w:val="087E89"/>
          </w:rPr>
          <w:t>23</w:t>
        </w:r>
      </w:hyperlink>
      <w:r>
        <w:rPr>
          <w:rFonts w:ascii="微软雅黑" w:hAnsi="微软雅黑" w:eastAsia="微软雅黑" w:cs="微软雅黑"/>
        </w:rPr>
      </w:r>
    </w:p>
    <w:p>
      <w:pPr>
        <w:pStyle w:val="Heading3"/>
      </w:pPr>
      <w:r>
        <w:rPr>
          <w:rFonts w:ascii="微软雅黑" w:hAnsi="微软雅黑" w:eastAsia="微软雅黑" w:cs="微软雅黑"/>
        </w:rPr>
        <w:t>3. 美柴油价格年内暴涨83%，成本传导或令核心通胀更顽固</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Apollo首席经济学家Torsten Slok指出，截至周四美国柴油平均价格年内累计上涨83%，达到每加仑6.50美元，同期汽油价格年内上涨59%。他强调柴油广泛应用于商品运输、零售供应链和数据中心建设等领域，相关需求弹性较低。</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Slok认为柴油价格上涨可能通过运输和商品价格渠道传导至核心CPI，使美联储更难将其视为暂时性冲击。他还估计AI相关经济活动为美国GDP增长贡献约1个百分点，相当于整体经济增长的约一半，并表示中东局势缓和带动油价和柴油价格回落，可能是美联储避免进一步加息的最大希望，但结果存在很大不确定性。</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来源支持的影响为：柴油价格涨势或通过运输和商品价格渠道传导至核心CPI，使美联储更难将其视为暂时性冲击。</w:t>
      </w:r>
    </w:p>
    <w:p>
      <w:pPr>
        <w:ind w:firstLine="420"/>
      </w:pPr>
      <w:r>
        <w:rPr>
          <w:rFonts w:ascii="微软雅黑" w:hAnsi="微软雅黑" w:eastAsia="微软雅黑" w:cs="微软雅黑"/>
        </w:rPr>
        <w:t>来源：</w:t>
      </w:r>
      <w:hyperlink w:anchor="source-6867">
        <w:r>
          <w:rPr>
            <w:rFonts w:ascii="微软雅黑" w:hAnsi="微软雅黑" w:eastAsia="微软雅黑" w:cs="微软雅黑"/>
            <w:color w:val="087E89"/>
          </w:rPr>
          <w:t>2</w:t>
        </w:r>
      </w:hyperlink>
      <w:r>
        <w:rPr>
          <w:rFonts w:ascii="微软雅黑" w:hAnsi="微软雅黑" w:eastAsia="微软雅黑" w:cs="微软雅黑"/>
        </w:rPr>
      </w:r>
    </w:p>
    <w:p>
      <w:pPr>
        <w:pStyle w:val="Heading3"/>
      </w:pPr>
      <w:r>
        <w:rPr>
          <w:rFonts w:ascii="微软雅黑" w:hAnsi="微软雅黑" w:eastAsia="微软雅黑" w:cs="微软雅黑"/>
        </w:rPr>
        <w:t>4. 美伊就分阶段重开霍尔木兹海峡展开谈判，卡塔尔斡旋</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美国与伊朗谈判代表在联合国大会间隙就分阶段协议进行磋商，内容包括伊朗重新开放霍尔木兹海峡、美国解除对伊朗港口的封锁。卡塔尔与巴基斯坦共同居中调停。伊朗外长阿拉格齐提出一项为期七天的方案，旨在结束冲突、重开海峡并重启核谈判。</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据报道，美方须满足伊朗所提七项条件方可重开海峡；伊朗总统佩泽什基安在联大期间表示伊朗不希望与美国发生战争，愿通过谈判达成协议。未具名美国官员称，正通过第三方进行“积极、建设性”谈判。霍尔木兹海峡承担和平时期全球约五分之一的石油和天然气运输。</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消息面一度支撑油价，但因分歧未实质化解，对供给前景的实际影响仍存不确定性。</w:t>
      </w:r>
    </w:p>
    <w:p>
      <w:pPr>
        <w:ind w:firstLine="420"/>
      </w:pPr>
      <w:r>
        <w:rPr>
          <w:rFonts w:ascii="微软雅黑" w:hAnsi="微软雅黑" w:eastAsia="微软雅黑" w:cs="微软雅黑"/>
        </w:rPr>
        <w:t>来源：</w:t>
      </w:r>
      <w:hyperlink w:anchor="source-6642">
        <w:r>
          <w:rPr>
            <w:rFonts w:ascii="微软雅黑" w:hAnsi="微软雅黑" w:eastAsia="微软雅黑" w:cs="微软雅黑"/>
            <w:color w:val="087E89"/>
          </w:rPr>
          <w:t>13</w:t>
        </w:r>
      </w:hyperlink>
      <w:r>
        <w:rPr>
          <w:rFonts w:ascii="微软雅黑" w:hAnsi="微软雅黑" w:eastAsia="微软雅黑" w:cs="微软雅黑"/>
        </w:rPr>
        <w:t xml:space="preserve"> </w:t>
      </w:r>
      <w:hyperlink w:anchor="source-6905">
        <w:r>
          <w:rPr>
            <w:rFonts w:ascii="微软雅黑" w:hAnsi="微软雅黑" w:eastAsia="微软雅黑" w:cs="微软雅黑"/>
            <w:color w:val="087E89"/>
          </w:rPr>
          <w:t>14</w:t>
        </w:r>
      </w:hyperlink>
      <w:r>
        <w:rPr>
          <w:rFonts w:ascii="微软雅黑" w:hAnsi="微软雅黑" w:eastAsia="微软雅黑" w:cs="微软雅黑"/>
        </w:rPr>
        <w:t xml:space="preserve"> </w:t>
      </w:r>
      <w:hyperlink w:anchor="source-6700">
        <w:r>
          <w:rPr>
            <w:rFonts w:ascii="微软雅黑" w:hAnsi="微软雅黑" w:eastAsia="微软雅黑" w:cs="微软雅黑"/>
            <w:color w:val="087E89"/>
          </w:rPr>
          <w:t>15</w:t>
        </w:r>
      </w:hyperlink>
      <w:r>
        <w:rPr>
          <w:rFonts w:ascii="微软雅黑" w:hAnsi="微软雅黑" w:eastAsia="微软雅黑" w:cs="微软雅黑"/>
        </w:rPr>
        <w:t xml:space="preserve"> </w:t>
      </w:r>
      <w:hyperlink w:anchor="source-6777">
        <w:r>
          <w:rPr>
            <w:rFonts w:ascii="微软雅黑" w:hAnsi="微软雅黑" w:eastAsia="微软雅黑" w:cs="微软雅黑"/>
            <w:color w:val="087E89"/>
          </w:rPr>
          <w:t>16</w:t>
        </w:r>
      </w:hyperlink>
      <w:r>
        <w:rPr>
          <w:rFonts w:ascii="微软雅黑" w:hAnsi="微软雅黑" w:eastAsia="微软雅黑" w:cs="微软雅黑"/>
        </w:rPr>
      </w:r>
    </w:p>
    <w:p>
      <w:pPr>
        <w:pStyle w:val="Heading3"/>
      </w:pPr>
      <w:r>
        <w:rPr>
          <w:rFonts w:ascii="微软雅黑" w:hAnsi="微软雅黑" w:eastAsia="微软雅黑" w:cs="微软雅黑"/>
        </w:rPr>
        <w:t>5. 欧洲高气价推煤电发电量预期跳升，美柴油出口禁令风险上升</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欧洲高气价推动发电企业重回煤炭，分析师预计未来六个月煤电发电量可能跃升约四分之一，以抵消气电发电量的类似降幅。同期，美国对欧洲柴油出口若被禁，将对欧洲能源供应构成“非常严峻”的威胁，因美国供应欧洲逾半数柴油。</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中东战事叠加高油价正推动欧洲消费者加速采用电动汽车，电动车销量空前增长。美国推动向巴尔干地区候选国大量出口美国天然气，欧盟官员担忧此举将加深欧盟候选国对天然气的依赖，并可能破坏欧盟气候目标。Fraunhofer ISI与ICCT联合报告显示，到2045年欧洲电池电动卡车充电需求将强劲增长，但高度集中在少数地点。</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来源支持的影响为：欧洲发电结构短期向煤炭回摆；同时，美国若实施柴油出口禁令将对欧洲供应构成“非常严峻”的威胁；天然气出口扩大或加深候选国对天然气依赖并冲击欧盟气候目标。</w:t>
      </w:r>
    </w:p>
    <w:p>
      <w:pPr>
        <w:ind w:firstLine="420"/>
      </w:pPr>
      <w:r>
        <w:rPr>
          <w:rFonts w:ascii="微软雅黑" w:hAnsi="微软雅黑" w:eastAsia="微软雅黑" w:cs="微软雅黑"/>
        </w:rPr>
        <w:t>来源：</w:t>
      </w:r>
      <w:hyperlink w:anchor="source-6851">
        <w:r>
          <w:rPr>
            <w:rFonts w:ascii="微软雅黑" w:hAnsi="微软雅黑" w:eastAsia="微软雅黑" w:cs="微软雅黑"/>
            <w:color w:val="087E89"/>
          </w:rPr>
          <w:t>24</w:t>
        </w:r>
      </w:hyperlink>
      <w:r>
        <w:rPr>
          <w:rFonts w:ascii="微软雅黑" w:hAnsi="微软雅黑" w:eastAsia="微软雅黑" w:cs="微软雅黑"/>
        </w:rPr>
      </w:r>
    </w:p>
    <w:p>
      <w:pPr>
        <w:pStyle w:val="Heading3"/>
      </w:pPr>
      <w:r>
        <w:rPr>
          <w:rFonts w:ascii="微软雅黑" w:hAnsi="微软雅黑" w:eastAsia="微软雅黑" w:cs="微软雅黑"/>
        </w:rPr>
        <w:t>6. 欧洲天然气协调小组推进冬季供气准备并确认供应稳定</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欧盟天然气协调小组召开会议，推进冬季供气准备工作。欧盟委员会与成员国确认欧盟天然气供应保持稳定，并确认在条例规定条件下受保护客户的供气得到保障。</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欧盟天然气协调小组召开会议以推进冬季供气准备工作。尽管储气水平低于历史同期，欧盟委员会与成员国仍确认欧盟天然气供应保持稳定。协调小组进一步确认，在条例规定条件下，受保护客户的供气得到保障。</w:t>
      </w:r>
    </w:p>
    <w:p>
      <w:pPr>
        <w:ind w:firstLine="420"/>
      </w:pPr>
      <w:r>
        <w:rPr>
          <w:rFonts w:ascii="微软雅黑" w:hAnsi="微软雅黑" w:eastAsia="微软雅黑" w:cs="微软雅黑"/>
        </w:rPr>
        <w:t>来源：</w:t>
      </w:r>
      <w:hyperlink w:anchor="source-6784">
        <w:r>
          <w:rPr>
            <w:rFonts w:ascii="微软雅黑" w:hAnsi="微软雅黑" w:eastAsia="微软雅黑" w:cs="微软雅黑"/>
            <w:color w:val="087E89"/>
          </w:rPr>
          <w:t>11</w:t>
        </w:r>
      </w:hyperlink>
      <w:r>
        <w:rPr>
          <w:rFonts w:ascii="微软雅黑" w:hAnsi="微软雅黑" w:eastAsia="微软雅黑" w:cs="微软雅黑"/>
        </w:rPr>
      </w:r>
    </w:p>
    <w:p>
      <w:pPr>
        <w:pStyle w:val="Heading3"/>
      </w:pPr>
      <w:r>
        <w:rPr>
          <w:rFonts w:ascii="微软雅黑" w:hAnsi="微软雅黑" w:eastAsia="微软雅黑" w:cs="微软雅黑"/>
        </w:rPr>
        <w:t>7. IEA上调2026年全球煤炭需求预测至历史新高</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国际能源署将2026年全球煤炭需求预测由此前的小幅下调修正为同比增长1.2%，达到89.4亿吨，再创历史新高。</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IEA修正后的2026年预测为89.4亿吨，同比增幅1.2%。2025年全球煤炭需求已上升0.3%至88.4亿吨，同样创历史新高，其中电力行业占全球煤炭消费量约三分之二。IEA将增长归因于中东冲突导致通过霍尔木兹海峡的液化天然气运输量骤降，天然气价格飙升，亚洲、欧洲等拥有闲置煤炭产能的国家转向增加燃煤发电。</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美国因电力需求、天然气价格和政策支持，煤炭消费结束20年下降趋势；其他地区的镍生产和煤化工扩张亦刺激需求。</w:t>
      </w:r>
    </w:p>
    <w:p>
      <w:pPr>
        <w:ind w:firstLine="420"/>
      </w:pPr>
      <w:r>
        <w:rPr>
          <w:rFonts w:ascii="微软雅黑" w:hAnsi="微软雅黑" w:eastAsia="微软雅黑" w:cs="微软雅黑"/>
        </w:rPr>
        <w:t>来源：</w:t>
      </w:r>
      <w:hyperlink w:anchor="source-6678">
        <w:r>
          <w:rPr>
            <w:rFonts w:ascii="微软雅黑" w:hAnsi="微软雅黑" w:eastAsia="微软雅黑" w:cs="微软雅黑"/>
            <w:color w:val="087E89"/>
          </w:rPr>
          <w:t>3</w:t>
        </w:r>
      </w:hyperlink>
      <w:r>
        <w:rPr>
          <w:rFonts w:ascii="微软雅黑" w:hAnsi="微软雅黑" w:eastAsia="微软雅黑" w:cs="微软雅黑"/>
        </w:rPr>
      </w:r>
    </w:p>
    <w:p>
      <w:pPr>
        <w:pStyle w:val="Heading3"/>
      </w:pPr>
      <w:r>
        <w:rPr>
          <w:rFonts w:ascii="微软雅黑" w:hAnsi="微软雅黑" w:eastAsia="微软雅黑" w:cs="微软雅黑"/>
        </w:rPr>
        <w:t>8. 意大利参议院通过法案重启核电以推动工业脱碳</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意大利参议院批准政府重启核电的法案，计划部署先进模块化反应堆支持工业脱碳与能源安全。立法同时规定政府须在12个月内出台实施法令，处理现有设施退役并设立独立监管机构。</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政府以自上次公投以来技术与安全水平改善为由推动重启。意大利仍高度依赖能源进口，包括从邻国核电设施进口电力。政府估算核电到2050年可占能源结构至少11%，对应节省170亿欧元脱碳成本；国家能源与气候计划认为该比例可能达22%。反对党普遍反对该法案，部分担忧新增反应堆用地问题。</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若实施可为意大利提供低碳基荷电力，减少对进口电力的依赖，但法案仍面临反对阻力及落地法令、用地等执行不确定性。</w:t>
      </w:r>
    </w:p>
    <w:p>
      <w:pPr>
        <w:ind w:firstLine="420"/>
      </w:pPr>
      <w:r>
        <w:rPr>
          <w:rFonts w:ascii="微软雅黑" w:hAnsi="微软雅黑" w:eastAsia="微软雅黑" w:cs="微软雅黑"/>
        </w:rPr>
        <w:t>来源：</w:t>
      </w:r>
      <w:hyperlink w:anchor="source-6898">
        <w:r>
          <w:rPr>
            <w:rFonts w:ascii="微软雅黑" w:hAnsi="微软雅黑" w:eastAsia="微软雅黑" w:cs="微软雅黑"/>
            <w:color w:val="087E89"/>
          </w:rPr>
          <w:t>7</w:t>
        </w:r>
      </w:hyperlink>
      <w:r>
        <w:rPr>
          <w:rFonts w:ascii="微软雅黑" w:hAnsi="微软雅黑" w:eastAsia="微软雅黑" w:cs="微软雅黑"/>
        </w:rPr>
      </w:r>
    </w:p>
    <w:p>
      <w:pPr>
        <w:pStyle w:val="Heading3"/>
      </w:pPr>
      <w:r>
        <w:rPr>
          <w:rFonts w:ascii="微软雅黑" w:hAnsi="微软雅黑" w:eastAsia="微软雅黑" w:cs="微软雅黑"/>
        </w:rPr>
        <w:t>9. 克罗地亚推进电力市场改革并就核电开展谈判</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克罗地亚经济部准备与潜在核电技术供应商和伙伴国开展非约束性谈判，并已向议会提交电力市场法律修正案，建立灵活性服务、电池储能与动态定价框架，同时保护弱势用户免遭断电。</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克罗地亚与斯洛文尼亚共享一座核电站，目前核电约满足16%的电力需求。修正案将推动可再生能源共享和长期购电协议，允许能源危机期间对小企业实施临时价格干预，并延长因电网接入受阻的可再生能源项目期限。</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修正案若通过可强化电力系统灵活性与储能部署，并对小型用户在能源危机期间提供价格保护。</w:t>
      </w:r>
    </w:p>
    <w:p>
      <w:pPr>
        <w:ind w:firstLine="420"/>
      </w:pPr>
      <w:r>
        <w:rPr>
          <w:rFonts w:ascii="微软雅黑" w:hAnsi="微软雅黑" w:eastAsia="微软雅黑" w:cs="微软雅黑"/>
        </w:rPr>
        <w:t>来源：</w:t>
      </w:r>
      <w:hyperlink w:anchor="source-6850">
        <w:r>
          <w:rPr>
            <w:rFonts w:ascii="微软雅黑" w:hAnsi="微软雅黑" w:eastAsia="微软雅黑" w:cs="微软雅黑"/>
            <w:color w:val="087E89"/>
          </w:rPr>
          <w:t>17</w:t>
        </w:r>
      </w:hyperlink>
      <w:r>
        <w:rPr>
          <w:rFonts w:ascii="微软雅黑" w:hAnsi="微软雅黑" w:eastAsia="微软雅黑" w:cs="微软雅黑"/>
        </w:rPr>
      </w:r>
    </w:p>
    <w:p>
      <w:pPr>
        <w:pStyle w:val="Heading3"/>
      </w:pPr>
      <w:r>
        <w:rPr>
          <w:rFonts w:ascii="微软雅黑" w:hAnsi="微软雅黑" w:eastAsia="微软雅黑" w:cs="微软雅黑"/>
        </w:rPr>
        <w:t>10. Atomic Eagle将在《矿业公约》执行后30天内向尼日尔支付500万美元</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Atomic Eagle将在《矿业公约》执行后30天内向尼日尔支付500万美元初始款项，为尼日尔铀项目复工扫清道路。</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协议关键条件为《矿业公约》的执行，初始款项金额为500万美元，时间窗口为公约执行后30天内。</w:t>
      </w:r>
    </w:p>
    <w:p>
      <w:pPr>
        <w:ind w:firstLine="420"/>
      </w:pPr>
      <w:r>
        <w:rPr>
          <w:rFonts w:ascii="微软雅黑" w:hAnsi="微软雅黑" w:eastAsia="微软雅黑" w:cs="微软雅黑"/>
        </w:rPr>
        <w:t>来源：</w:t>
      </w:r>
      <w:hyperlink w:anchor="source-6779">
        <w:r>
          <w:rPr>
            <w:rFonts w:ascii="微软雅黑" w:hAnsi="微软雅黑" w:eastAsia="微软雅黑" w:cs="微软雅黑"/>
            <w:color w:val="087E89"/>
          </w:rPr>
          <w:t>25</w:t>
        </w:r>
      </w:hyperlink>
      <w:r>
        <w:rPr>
          <w:rFonts w:ascii="微软雅黑" w:hAnsi="微软雅黑" w:eastAsia="微软雅黑" w:cs="微软雅黑"/>
        </w:rPr>
      </w:r>
    </w:p>
    <w:p>
      <w:pPr>
        <w:pStyle w:val="Heading3"/>
      </w:pPr>
      <w:r>
        <w:rPr>
          <w:rFonts w:ascii="微软雅黑" w:hAnsi="微软雅黑" w:eastAsia="微软雅黑" w:cs="微软雅黑"/>
        </w:rPr>
        <w:t>11. 印度上半年新增50.6 GW光伏组件与9.7 GW电池产能</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2026年上半年印度新增太阳能组件产能50.6 GW、电池产能9.7 GW。Mercom指出电池供应不足导致合规组件价格上涨、项目进度放缓，名义电池产能因新线爬产被高估。</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新增产能集中于组件环节，电池环节相对滞后；电池紧缺已传导至组件价格与项目交付节奏。Mercom认为名义电池产能因新生产线爬产被高估，实际有效产出低于公布数字。</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电池供应瓶颈可能延缓印度光伏项目并网进度并推高组件价格。</w:t>
      </w:r>
    </w:p>
    <w:p>
      <w:pPr>
        <w:ind w:firstLine="420"/>
      </w:pPr>
      <w:r>
        <w:rPr>
          <w:rFonts w:ascii="微软雅黑" w:hAnsi="微软雅黑" w:eastAsia="微软雅黑" w:cs="微软雅黑"/>
        </w:rPr>
        <w:t>来源：</w:t>
      </w:r>
      <w:hyperlink w:anchor="source-6876">
        <w:r>
          <w:rPr>
            <w:rFonts w:ascii="微软雅黑" w:hAnsi="微软雅黑" w:eastAsia="微软雅黑" w:cs="微软雅黑"/>
            <w:color w:val="087E89"/>
          </w:rPr>
          <w:t>8</w:t>
        </w:r>
      </w:hyperlink>
      <w:r>
        <w:rPr>
          <w:rFonts w:ascii="微软雅黑" w:hAnsi="微软雅黑" w:eastAsia="微软雅黑" w:cs="微软雅黑"/>
        </w:rPr>
      </w:r>
    </w:p>
    <w:p>
      <w:pPr>
        <w:pStyle w:val="Heading3"/>
      </w:pPr>
      <w:r>
        <w:rPr>
          <w:rFonts w:ascii="微软雅黑" w:hAnsi="微软雅黑" w:eastAsia="微软雅黑" w:cs="微软雅黑"/>
        </w:rPr>
        <w:t>12. ESR拟收购Aquila Clean Energy APAC全部股权</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新加坡不动产与数据中心企业ESR与德国汉堡Aquila Group签署协议，将收购其旗下亚太清洁能源平台Aquila Clean Energy APAC的全部股权。</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标的资产组合约1.6吉瓦，覆盖澳大利亚、新西兰、韩国、日本及中国台湾，涵盖在运、在建及高级开发阶段的太阳能、风电和电池储能资产。交易需满足惯例交割条件及适用审批，预计2027年第一季度完成。ESR拟与标的现有管理团队合作，依托其亚太平台加速业务扩张与投资方案规模化。</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ESR将清洁能源与物流地产、数据中心业务定位为日益互联的领域，旨在为资本合作伙伴提供更广泛的不动产投资解决方案。</w:t>
      </w:r>
    </w:p>
    <w:p>
      <w:pPr>
        <w:ind w:firstLine="420"/>
      </w:pPr>
      <w:r>
        <w:rPr>
          <w:rFonts w:ascii="微软雅黑" w:hAnsi="微软雅黑" w:eastAsia="微软雅黑" w:cs="微软雅黑"/>
        </w:rPr>
        <w:t>来源：</w:t>
      </w:r>
      <w:hyperlink w:anchor="source-6842">
        <w:r>
          <w:rPr>
            <w:rFonts w:ascii="微软雅黑" w:hAnsi="微软雅黑" w:eastAsia="微软雅黑" w:cs="微软雅黑"/>
            <w:color w:val="087E89"/>
          </w:rPr>
          <w:t>21</w:t>
        </w:r>
      </w:hyperlink>
      <w:r>
        <w:rPr>
          <w:rFonts w:ascii="微软雅黑" w:hAnsi="微软雅黑" w:eastAsia="微软雅黑" w:cs="微软雅黑"/>
        </w:rPr>
        <w:t xml:space="preserve"> </w:t>
      </w:r>
      <w:hyperlink w:anchor="source-6726">
        <w:r>
          <w:rPr>
            <w:rFonts w:ascii="微软雅黑" w:hAnsi="微软雅黑" w:eastAsia="微软雅黑" w:cs="微软雅黑"/>
            <w:color w:val="087E89"/>
          </w:rPr>
          <w:t>22</w:t>
        </w:r>
      </w:hyperlink>
      <w:r>
        <w:rPr>
          <w:rFonts w:ascii="微软雅黑" w:hAnsi="微软雅黑" w:eastAsia="微软雅黑" w:cs="微软雅黑"/>
        </w:rPr>
      </w:r>
    </w:p>
    <w:p>
      <w:pPr>
        <w:pStyle w:val="Heading3"/>
      </w:pPr>
      <w:r>
        <w:rPr>
          <w:rFonts w:ascii="微软雅黑" w:hAnsi="微软雅黑" w:eastAsia="微软雅黑" w:cs="微软雅黑"/>
        </w:rPr>
        <w:t>13. 德奥卢启动21亿欧元e-SAF补贴计划弥合价格差</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德国、奥地利和卢森堡共同启动总额21亿欧元（约24.2亿美元）的e-SAF资助计划，以弥合可持续航空燃料生产商与买家之间的价格差距。其中德国出资最多，达20亿欧元（约22.8亿美元）。补贴的e-SAF量将按各国初始出资比例进行供应与销售。</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该计划由德国、奥地利和卢森堡三国联合发起，总规模21亿欧元（约合24.2亿美元），定向支持e-SAF产业链。其中德国承担20亿欧元（约22.8亿美元），是出资最多的国家。资金将用于补贴生产商与买家之间的价差，补贴量按照三国出资比例在供应与销售两端进行分配，具体补贴机制与执行细则尚未在材料中披露。</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该计划为欧洲e-SAF产业提供大规模财政支撑，有助于加快可持续航空燃料商业化落地，但对实际产能、需求拉动幅度及对航司成本的影响尚待后续实施细则验证。</w:t>
      </w:r>
    </w:p>
    <w:p>
      <w:pPr>
        <w:ind w:firstLine="420"/>
      </w:pPr>
      <w:r>
        <w:rPr>
          <w:rFonts w:ascii="微软雅黑" w:hAnsi="微软雅黑" w:eastAsia="微软雅黑" w:cs="微软雅黑"/>
        </w:rPr>
        <w:t>来源：</w:t>
      </w:r>
      <w:hyperlink w:anchor="source-6805">
        <w:r>
          <w:rPr>
            <w:rFonts w:ascii="微软雅黑" w:hAnsi="微软雅黑" w:eastAsia="微软雅黑" w:cs="微软雅黑"/>
            <w:color w:val="087E89"/>
          </w:rPr>
          <w:t>5</w:t>
        </w:r>
      </w:hyperlink>
      <w:r>
        <w:rPr>
          <w:rFonts w:ascii="微软雅黑" w:hAnsi="微软雅黑" w:eastAsia="微软雅黑" w:cs="微软雅黑"/>
        </w:rPr>
        <w:t xml:space="preserve"> </w:t>
      </w:r>
      <w:hyperlink w:anchor="source-6875">
        <w:r>
          <w:rPr>
            <w:rFonts w:ascii="微软雅黑" w:hAnsi="微软雅黑" w:eastAsia="微软雅黑" w:cs="微软雅黑"/>
            <w:color w:val="087E89"/>
          </w:rPr>
          <w:t>6</w:t>
        </w:r>
      </w:hyperlink>
      <w:r>
        <w:rPr>
          <w:rFonts w:ascii="微软雅黑" w:hAnsi="微软雅黑" w:eastAsia="微软雅黑" w:cs="微软雅黑"/>
        </w:rPr>
      </w:r>
    </w:p>
    <w:p>
      <w:pPr>
        <w:pStyle w:val="Heading3"/>
      </w:pPr>
      <w:r>
        <w:rPr>
          <w:rFonts w:ascii="微软雅黑" w:hAnsi="微软雅黑" w:eastAsia="微软雅黑" w:cs="微软雅黑"/>
        </w:rPr>
        <w:t>14. BDI呼吁碳价与对转型先行者支持挂钩</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德国工业联合会（BDI）表态称，碳定价必须与对工业转型先行者的支持相结合，并配套合理监管框架，才能成功推进欧盟工业转型。BDI同时警告，欧盟在产业政策中将气候中和、安全与韧性置于增长与繁荣之上的做法存在风险。</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BDI指出，欧盟工业转型面临的投资需求与产业竞争力下降之间的张力日益加剧，部分原因是市场启动假设未能兑现，例如氢能基础设施建设进展缓慢。BDI呼吁短期纾困措施并对能源转型进行结构性改革，包括降低电力税费，并提议推广“摊销账户”工具——企业在客户少的初期获得政府支持贷款用于建设氢能管网等基础设施，待客户增加、收入稳定后再偿还。BDI还提到欧盟拟引入的ETS 2将覆盖建筑与交通排放，计划2028年全面生效。</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BDI的表态代表德国工业界对欧盟碳定价路径与产业政策的集中反馈，可能影响欧盟下一阶段的气候与产业政策组合设计，以及对氢能、电网等转型基础设施的资金安排。</w:t>
      </w:r>
    </w:p>
    <w:p>
      <w:pPr>
        <w:ind w:firstLine="420"/>
      </w:pPr>
      <w:r>
        <w:rPr>
          <w:rFonts w:ascii="微软雅黑" w:hAnsi="微软雅黑" w:eastAsia="微软雅黑" w:cs="微软雅黑"/>
        </w:rPr>
        <w:t>来源：</w:t>
      </w:r>
      <w:hyperlink w:anchor="source-6819">
        <w:r>
          <w:rPr>
            <w:rFonts w:ascii="微软雅黑" w:hAnsi="微软雅黑" w:eastAsia="微软雅黑" w:cs="微软雅黑"/>
            <w:color w:val="087E89"/>
          </w:rPr>
          <w:t>18</w:t>
        </w:r>
      </w:hyperlink>
      <w:r>
        <w:rPr>
          <w:rFonts w:ascii="微软雅黑" w:hAnsi="微软雅黑" w:eastAsia="微软雅黑" w:cs="微软雅黑"/>
        </w:rPr>
      </w:r>
    </w:p>
    <w:p>
      <w:pPr>
        <w:pStyle w:val="Heading3"/>
      </w:pPr>
      <w:r>
        <w:rPr>
          <w:rFonts w:ascii="微软雅黑" w:hAnsi="微软雅黑" w:eastAsia="微软雅黑" w:cs="微软雅黑"/>
        </w:rPr>
        <w:t>15. 欧盟就成员国能源指令转化不力启动执法程序</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欧盟委员会正在采取行动，确保欧盟指令在成员国层面得到完整、及时的转化。若相关成员国未在两个月期限内作出满意回应或完成通报，委员会可能升级程序，发布有理有据意见。</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欧盟委员会针对成员国对欧盟指令的转化情况启动执法行动。委员会指出，若成员国未在两个月期限内作出满意回应或完成通报，将可能升级程序，发布“有理有据意见”（reasoned opinion）。具体涉及哪些指令、哪些成员国以及能源领域具体内容，材料未详细列出。</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若进入“有理有据意见”阶段，相关成员国将面临进一步法律压力，可能影响其国内能源立法与项目落地节奏。</w:t>
      </w:r>
    </w:p>
    <w:p>
      <w:pPr>
        <w:ind w:firstLine="420"/>
      </w:pPr>
      <w:r>
        <w:rPr>
          <w:rFonts w:ascii="微软雅黑" w:hAnsi="微软雅黑" w:eastAsia="微软雅黑" w:cs="微软雅黑"/>
        </w:rPr>
        <w:t>来源：</w:t>
      </w:r>
      <w:hyperlink w:anchor="source-6818">
        <w:r>
          <w:rPr>
            <w:rFonts w:ascii="微软雅黑" w:hAnsi="微软雅黑" w:eastAsia="微软雅黑" w:cs="微软雅黑"/>
            <w:color w:val="087E89"/>
          </w:rPr>
          <w:t>4</w:t>
        </w:r>
      </w:hyperlink>
      <w:r>
        <w:rPr>
          <w:rFonts w:ascii="微软雅黑" w:hAnsi="微软雅黑" w:eastAsia="微软雅黑" w:cs="微软雅黑"/>
        </w:rPr>
      </w:r>
    </w:p>
    <w:p>
      <w:pPr>
        <w:pStyle w:val="Heading3"/>
      </w:pPr>
      <w:r>
        <w:rPr>
          <w:rFonts w:ascii="微软雅黑" w:hAnsi="微软雅黑" w:eastAsia="微软雅黑" w:cs="微软雅黑"/>
        </w:rPr>
        <w:t>16. 2026世界新能源汽车大会聚焦全面市场化阶段</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2026世界新能源汽车大会于9月22日至24日在海南海口举办。会议召开之际，全球与中国新能源汽车销量数据进一步披露，市场渗透率持续提升。</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据披露，2026年上半年全球新能源汽车销量达1123.4万辆，同比增长14%，市场渗透率提升至24%；全球累计销量突破9400万辆，其中中国累计销量超6200万辆。2026年1至8月中国新能源汽车销量达1065万辆，市场渗透率攀升至52.4%。2026世界新能源汽车大会于9月22日至24日在海南海口举办。</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数据印证全球与中国新能源汽车进入全面市场化阶段，中国作为产业链重要基石的地位得到强化。</w:t>
      </w:r>
    </w:p>
    <w:p>
      <w:pPr>
        <w:ind w:firstLine="420"/>
      </w:pPr>
      <w:r>
        <w:rPr>
          <w:rFonts w:ascii="微软雅黑" w:hAnsi="微软雅黑" w:eastAsia="微软雅黑" w:cs="微软雅黑"/>
        </w:rPr>
        <w:t>来源：</w:t>
      </w:r>
      <w:hyperlink w:anchor="source-6679">
        <w:r>
          <w:rPr>
            <w:rFonts w:ascii="微软雅黑" w:hAnsi="微软雅黑" w:eastAsia="微软雅黑" w:cs="微软雅黑"/>
            <w:color w:val="087E89"/>
          </w:rPr>
          <w:t>20</w:t>
        </w:r>
      </w:hyperlink>
      <w:r>
        <w:rPr>
          <w:rFonts w:ascii="微软雅黑" w:hAnsi="微软雅黑" w:eastAsia="微软雅黑" w:cs="微软雅黑"/>
        </w:rPr>
      </w:r>
    </w:p>
    <w:p>
      <w:pPr>
        <w:pStyle w:val="Heading2"/>
      </w:pPr>
      <w:r>
        <w:rPr>
          <w:rFonts w:ascii="微软雅黑" w:hAnsi="微软雅黑" w:eastAsia="微软雅黑" w:cs="微软雅黑"/>
        </w:rPr>
        <w:t>中国重点事件</w:t>
      </w:r>
    </w:p>
    <w:p>
      <w:pPr>
        <w:pStyle w:val="Heading3"/>
      </w:pPr>
      <w:r>
        <w:rPr>
          <w:rFonts w:ascii="微软雅黑" w:hAnsi="微软雅黑" w:eastAsia="微软雅黑" w:cs="微软雅黑"/>
        </w:rPr>
        <w:t>17. 第八届中国—欧佩克高级别对话会在北京举行</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第八届中国—欧佩克高级别对话会于9月23日在北京举行，由中国国家能源局局长王宏志与欧佩克秘书长海瑟姆·盖斯共同主持。双方围绕全球能源市场、能源转型及深化合作等议题深入交流，并达成广泛共识。</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会议由中国国家能源局规划司、油气司、国际司以及中国石油、中国石化有关负责同志参会。王宏志表示，中方愿深化油气政策协调、加强能源转型合作、协同参与全球能源治理变革，共同维护全球能源市场长期稳定。盖斯表示，欧中高级别对话已开展二十余年，期待伙伴关系持续深化。</w:t>
      </w:r>
    </w:p>
    <w:p>
      <w:pPr>
        <w:ind w:firstLine="420"/>
      </w:pPr>
      <w:r>
        <w:rPr>
          <w:rFonts w:ascii="微软雅黑" w:hAnsi="微软雅黑" w:eastAsia="微软雅黑" w:cs="微软雅黑"/>
        </w:rPr>
        <w:t>来源：</w:t>
      </w:r>
      <w:hyperlink w:anchor="source-6708">
        <w:r>
          <w:rPr>
            <w:rFonts w:ascii="微软雅黑" w:hAnsi="微软雅黑" w:eastAsia="微软雅黑" w:cs="微软雅黑"/>
            <w:color w:val="087E89"/>
          </w:rPr>
          <w:t>12</w:t>
        </w:r>
      </w:hyperlink>
      <w:r>
        <w:rPr>
          <w:rFonts w:ascii="微软雅黑" w:hAnsi="微软雅黑" w:eastAsia="微软雅黑" w:cs="微软雅黑"/>
        </w:rPr>
      </w:r>
    </w:p>
    <w:p>
      <w:pPr>
        <w:pStyle w:val="Heading3"/>
      </w:pPr>
      <w:r>
        <w:rPr>
          <w:rFonts w:ascii="微软雅黑" w:hAnsi="微软雅黑" w:eastAsia="微软雅黑" w:cs="微软雅黑"/>
        </w:rPr>
        <w:t>18. 古瑞瓦特上调逆变器及储能产品价格 涨幅最高约10%</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中国光伏与储能企业古瑞瓦特宣布自10月8日起，对组串逆变器、混合与储能逆变器、工商储柜及户用储能系统提价约5%至10%。</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根据古瑞瓦特官方公告，公司决定自10月8日起上调部分产品出厂价格。具体涉及组串逆变器、混合与储能逆变器、工商储柜以及户用储能系统等品类，提价幅度约为5%至10%。公告未披露各细分品类的具体调价幅度及本次调价的成本驱动因素。</w:t>
      </w:r>
    </w:p>
    <w:p>
      <w:pPr>
        <w:ind w:firstLine="420"/>
      </w:pPr>
      <w:r>
        <w:rPr>
          <w:rFonts w:ascii="微软雅黑" w:hAnsi="微软雅黑" w:eastAsia="微软雅黑" w:cs="微软雅黑"/>
        </w:rPr>
        <w:t>来源：</w:t>
      </w:r>
      <w:hyperlink w:anchor="source-6845">
        <w:r>
          <w:rPr>
            <w:rFonts w:ascii="微软雅黑" w:hAnsi="微软雅黑" w:eastAsia="微软雅黑" w:cs="微软雅黑"/>
            <w:color w:val="087E89"/>
          </w:rPr>
          <w:t>10</w:t>
        </w:r>
      </w:hyperlink>
      <w:r>
        <w:rPr>
          <w:rFonts w:ascii="微软雅黑" w:hAnsi="微软雅黑" w:eastAsia="微软雅黑" w:cs="微软雅黑"/>
        </w:rPr>
      </w:r>
    </w:p>
    <w:p>
      <w:pPr>
        <w:pStyle w:val="Heading3"/>
      </w:pPr>
      <w:r>
        <w:rPr>
          <w:rFonts w:ascii="微软雅黑" w:hAnsi="微软雅黑" w:eastAsia="微软雅黑" w:cs="微软雅黑"/>
        </w:rPr>
        <w:t>19. 阳江帆石2吉瓦海上风电项目全面投运，规模化部署18兆瓦机组</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中广核位于广东阳江的帆石海上风电项目全面投运，是18兆瓦海上风电机组首次大规模应用。项目由帆石一、帆石二两个1吉瓦海上风电场组成，共安装131台风电机组，包括33台18兆瓦机组。</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项目位于阳江市阳东区南鹏岛以南海域，场址距岸最远约81公里，水深可达53米。18兆瓦机组转轮直径292米，扫风面积约6.6万平方米；据中广核介绍，满负荷运行时每转一圈可发电约43千瓦时，单台机组年发电量最高可达5600万千瓦时。全面投运后预计每年向电网供电超66亿千瓦时，中广核估算每年可节约标准煤约192万吨、减排二氧化碳约510万吨。</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项目全面投运后，阳江市海上风电装机突破8吉瓦，成为中国海上风电装机规模最大的地级市。</w:t>
      </w:r>
    </w:p>
    <w:p>
      <w:pPr>
        <w:ind w:firstLine="420"/>
      </w:pPr>
      <w:r>
        <w:rPr>
          <w:rFonts w:ascii="微软雅黑" w:hAnsi="微软雅黑" w:eastAsia="微软雅黑" w:cs="微软雅黑"/>
        </w:rPr>
        <w:t>来源：</w:t>
      </w:r>
      <w:hyperlink w:anchor="source-6879">
        <w:r>
          <w:rPr>
            <w:rFonts w:ascii="微软雅黑" w:hAnsi="微软雅黑" w:eastAsia="微软雅黑" w:cs="微软雅黑"/>
            <w:color w:val="087E89"/>
          </w:rPr>
          <w:t>1</w:t>
        </w:r>
      </w:hyperlink>
      <w:r>
        <w:rPr>
          <w:rFonts w:ascii="微软雅黑" w:hAnsi="微软雅黑" w:eastAsia="微软雅黑" w:cs="微软雅黑"/>
        </w:rPr>
      </w:r>
    </w:p>
    <w:p>
      <w:pPr>
        <w:pStyle w:val="Heading3"/>
      </w:pPr>
      <w:r>
        <w:rPr>
          <w:rFonts w:ascii="微软雅黑" w:hAnsi="微软雅黑" w:eastAsia="微软雅黑" w:cs="微软雅黑"/>
        </w:rPr>
        <w:t>20. 大湾区氢能综合应用试点城市群工作部署会召开，五大试点中率先启动</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9月22日，大湾区氢能综合应用试点城市群工作部署会在广州召开，是全国五大试点城市群中首个召开专题部署会的城市群。该试点由工信部、财政部、国家发改委联合启动，试点期4年，中央财政“以奖代补”最高16亿元。</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大湾区城市群由广州牵头，联合广东佛山、阳江、福建厦门、漳州、湖北武汉、黄石、十堰、随州、湖南长沙、海南儋州共11个城市参与，韶关、江门、湛江3市配合，香港开展外缘协同。试点期内将推广燃料电池汽车1.6万辆、新建加氢站100座，并构建京港澳跨省氢长廊、广湛氢能高速、汉襄十氢能走廊、沿海氢能经济走廊四大交通走廊。同日召开广州市氢能城市群综合应用促进会筹备会议，由广东云韬氢能科技牵头联合广汽领程、广东新型储能国家研究院等单位发起，拟设国内首支氢能综合应用试点城市群产业基金，目标总规模10亿元，按4∶3∶3分三期实缴，首期实缴4亿元。</w:t>
      </w:r>
    </w:p>
    <w:p>
      <w:pPr>
        <w:ind w:firstLine="420"/>
      </w:pPr>
      <w:r>
        <w:rPr>
          <w:rFonts w:ascii="微软雅黑" w:hAnsi="微软雅黑" w:eastAsia="微软雅黑" w:cs="微软雅黑"/>
        </w:rPr>
        <w:t>来源：</w:t>
      </w:r>
      <w:hyperlink w:anchor="source-6730">
        <w:r>
          <w:rPr>
            <w:rFonts w:ascii="微软雅黑" w:hAnsi="微软雅黑" w:eastAsia="微软雅黑" w:cs="微软雅黑"/>
            <w:color w:val="087E89"/>
          </w:rPr>
          <w:t>19</w:t>
        </w:r>
      </w:hyperlink>
      <w:r>
        <w:rPr>
          <w:rFonts w:ascii="微软雅黑" w:hAnsi="微软雅黑" w:eastAsia="微软雅黑" w:cs="微软雅黑"/>
        </w:rPr>
      </w:r>
    </w:p>
    <w:p>
      <w:pPr>
        <w:pStyle w:val="Heading2"/>
      </w:pPr>
      <w:r>
        <w:rPr>
          <w:rFonts w:ascii="微软雅黑" w:hAnsi="微软雅黑" w:eastAsia="微软雅黑" w:cs="微软雅黑"/>
        </w:rPr>
        <w:t>风险与后续观察</w:t>
      </w:r>
    </w:p>
    <w:p>
      <w:pPr>
        <w:pStyle w:val="ListBullet"/>
      </w:pPr>
      <w:r>
        <w:rPr>
          <w:rFonts w:ascii="微软雅黑" w:hAnsi="微软雅黑" w:eastAsia="微软雅黑" w:cs="微软雅黑"/>
        </w:rPr>
        <w:t xml:space="preserve">中东局势是否能带动柴油价格进一步回落；美联储对核心通胀走势的判断与政策回应。 </w:t>
      </w:r>
      <w:hyperlink w:anchor="source-6867">
        <w:r>
          <w:rPr>
            <w:rFonts w:ascii="微软雅黑" w:hAnsi="微软雅黑" w:eastAsia="微软雅黑" w:cs="微软雅黑"/>
            <w:color w:val="087E89"/>
          </w:rPr>
          <w:t>2</w:t>
        </w:r>
      </w:hyperlink>
      <w:r>
        <w:rPr>
          <w:rFonts w:ascii="微软雅黑" w:hAnsi="微软雅黑" w:eastAsia="微软雅黑" w:cs="微软雅黑"/>
        </w:rPr>
      </w:r>
    </w:p>
    <w:p>
      <w:pPr>
        <w:pStyle w:val="ListBullet"/>
      </w:pPr>
      <w:r>
        <w:rPr>
          <w:rFonts w:ascii="微软雅黑" w:hAnsi="微软雅黑" w:eastAsia="微软雅黑" w:cs="微软雅黑"/>
        </w:rPr>
        <w:t xml:space="preserve">后续通报进度以及是否升级至“有理有据意见”阶段。 </w:t>
      </w:r>
      <w:hyperlink w:anchor="source-6818">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三国e-SAF补贴的具体分配机制、合格生产商与买家认定标准以及实际供应启动时间。 </w:t>
      </w:r>
      <w:hyperlink w:anchor="source-6805">
        <w:r>
          <w:rPr>
            <w:rFonts w:ascii="微软雅黑" w:hAnsi="微软雅黑" w:eastAsia="微软雅黑" w:cs="微软雅黑"/>
            <w:color w:val="087E89"/>
          </w:rPr>
          <w:t>5</w:t>
        </w:r>
      </w:hyperlink>
      <w:r>
        <w:rPr>
          <w:rFonts w:ascii="微软雅黑" w:hAnsi="微软雅黑" w:eastAsia="微软雅黑" w:cs="微软雅黑"/>
        </w:rPr>
        <w:t xml:space="preserve"> </w:t>
      </w:r>
      <w:hyperlink w:anchor="source-6875">
        <w:r>
          <w:rPr>
            <w:rFonts w:ascii="微软雅黑" w:hAnsi="微软雅黑" w:eastAsia="微软雅黑" w:cs="微软雅黑"/>
            <w:color w:val="087E89"/>
          </w:rPr>
          <w:t>6</w:t>
        </w:r>
      </w:hyperlink>
      <w:r>
        <w:rPr>
          <w:rFonts w:ascii="微软雅黑" w:hAnsi="微软雅黑" w:eastAsia="微软雅黑" w:cs="微软雅黑"/>
        </w:rPr>
      </w:r>
    </w:p>
    <w:p>
      <w:pPr>
        <w:pStyle w:val="ListBullet"/>
      </w:pPr>
      <w:r>
        <w:rPr>
          <w:rFonts w:ascii="微软雅黑" w:hAnsi="微软雅黑" w:eastAsia="微软雅黑" w:cs="微软雅黑"/>
        </w:rPr>
        <w:t xml:space="preserve">12个月内实施法令的细则；独立监管机构设立进展；新增反应堆选址与社会接受度。 </w:t>
      </w:r>
      <w:hyperlink w:anchor="source-6898">
        <w:r>
          <w:rPr>
            <w:rFonts w:ascii="微软雅黑" w:hAnsi="微软雅黑" w:eastAsia="微软雅黑" w:cs="微软雅黑"/>
            <w:color w:val="087E89"/>
          </w:rPr>
          <w:t>7</w:t>
        </w:r>
      </w:hyperlink>
      <w:r>
        <w:rPr>
          <w:rFonts w:ascii="微软雅黑" w:hAnsi="微软雅黑" w:eastAsia="微软雅黑" w:cs="微软雅黑"/>
        </w:rPr>
      </w:r>
    </w:p>
    <w:p>
      <w:pPr>
        <w:pStyle w:val="ListBullet"/>
      </w:pPr>
      <w:r>
        <w:rPr>
          <w:rFonts w:ascii="微软雅黑" w:hAnsi="微软雅黑" w:eastAsia="微软雅黑" w:cs="微软雅黑"/>
        </w:rPr>
        <w:t xml:space="preserve">电池产能爬产的实际进度与对组件价格、项目并网的影响仍待观察。 </w:t>
      </w:r>
      <w:hyperlink w:anchor="source-6876">
        <w:r>
          <w:rPr>
            <w:rFonts w:ascii="微软雅黑" w:hAnsi="微软雅黑" w:eastAsia="微软雅黑" w:cs="微软雅黑"/>
            <w:color w:val="087E89"/>
          </w:rPr>
          <w:t>8</w:t>
        </w:r>
      </w:hyperlink>
      <w:r>
        <w:rPr>
          <w:rFonts w:ascii="微软雅黑" w:hAnsi="微软雅黑" w:eastAsia="微软雅黑" w:cs="微软雅黑"/>
        </w:rPr>
      </w:r>
    </w:p>
    <w:p>
      <w:pPr>
        <w:pStyle w:val="ListBullet"/>
      </w:pPr>
      <w:r>
        <w:rPr>
          <w:rFonts w:ascii="微软雅黑" w:hAnsi="微软雅黑" w:eastAsia="微软雅黑" w:cs="微软雅黑"/>
        </w:rPr>
        <w:t xml:space="preserve">议会电力与能源组合委员会指出，草案方向受欢迎，但若不提供清晰的零售价格路径，可能无法让家庭和企业获得更便宜、更预期的电力。 </w:t>
      </w:r>
      <w:hyperlink w:anchor="source-6657">
        <w:r>
          <w:rPr>
            <w:rFonts w:ascii="微软雅黑" w:hAnsi="微软雅黑" w:eastAsia="微软雅黑" w:cs="微软雅黑"/>
            <w:color w:val="087E89"/>
          </w:rPr>
          <w:t>9</w:t>
        </w:r>
      </w:hyperlink>
      <w:r>
        <w:rPr>
          <w:rFonts w:ascii="微软雅黑" w:hAnsi="微软雅黑" w:eastAsia="微软雅黑" w:cs="微软雅黑"/>
        </w:rPr>
      </w:r>
    </w:p>
    <w:p>
      <w:pPr>
        <w:pStyle w:val="Heading2"/>
      </w:pPr>
      <w:r>
        <w:rPr>
          <w:rFonts w:ascii="微软雅黑" w:hAnsi="微软雅黑" w:eastAsia="微软雅黑" w:cs="微软雅黑"/>
        </w:rPr>
        <w:t>资料覆盖说明</w:t>
      </w:r>
    </w:p>
    <w:p>
      <w:pPr>
        <w:ind w:firstLine="420"/>
      </w:pPr>
      <w:r>
        <w:rPr>
          <w:rFonts w:ascii="微软雅黑" w:hAnsi="微软雅黑" w:eastAsia="微软雅黑" w:cs="微软雅黑"/>
        </w:rPr>
        <w:t>本期采集快照包含 125 篇文章，形成 123 篇有效能源材料；正文引用 25 篇来源，整理 20 个重点事件。</w:t>
      </w:r>
    </w:p>
    <w:p>
      <w:pPr>
        <w:ind w:firstLine="420"/>
      </w:pPr>
      <w:r>
        <w:rPr>
          <w:rFonts w:ascii="微软雅黑" w:hAnsi="微软雅黑" w:eastAsia="微软雅黑" w:cs="微软雅黑"/>
        </w:rPr>
        <w:t>按报道发布时间归档。历史数据、计划和预测不代表当日新发生或已经实现；来源样本不等于完整市场统计。</w:t>
      </w:r>
    </w:p>
    <w:p>
      <w:pPr>
        <w:pStyle w:val="Heading2"/>
      </w:pPr>
      <w:r>
        <w:rPr>
          <w:rFonts w:ascii="微软雅黑" w:hAnsi="微软雅黑" w:eastAsia="微软雅黑" w:cs="微软雅黑"/>
        </w:rPr>
        <w:t>资料来源</w:t>
      </w:r>
    </w:p>
    <w:p>
      <w:pPr>
        <w:spacing w:after="0" w:line="20" w:lineRule="exact"/>
      </w:pPr>
      <w:bookmarkStart w:id="1" w:name="source-6879"/>
      <w:bookmarkEnd w:id="1" w:name="source-6879"/>
    </w:p>
    <w:p>
      <w:pPr>
        <w:pStyle w:val="ListBullet"/>
      </w:pPr>
      <w:r>
        <w:rPr>
          <w:rFonts w:ascii="微软雅黑" w:hAnsi="微软雅黑" w:eastAsia="微软雅黑" w:cs="微软雅黑"/>
        </w:rPr>
        <w:t>[1] OffshoreWIND.biz｜</w:t>
      </w:r>
      <w:hyperlink r:id="rId11">
        <w:r>
          <w:rPr>
            <w:rFonts w:ascii="微软雅黑" w:hAnsi="微软雅黑" w:eastAsia="微软雅黑" w:cs="微软雅黑"/>
            <w:color w:val="087E89"/>
          </w:rPr>
          <w:t>中国阳江帆石海上风电场全面投运，配备18兆瓦机组</w:t>
        </w:r>
      </w:hyperlink>
      <w:r>
        <w:rPr>
          <w:rFonts w:ascii="微软雅黑" w:hAnsi="微软雅黑" w:eastAsia="微软雅黑" w:cs="微软雅黑"/>
        </w:rPr>
      </w:r>
    </w:p>
    <w:p>
      <w:pPr>
        <w:spacing w:after="0" w:line="20" w:lineRule="exact"/>
      </w:pPr>
      <w:bookmarkStart w:id="2" w:name="source-6867"/>
      <w:bookmarkEnd w:id="2" w:name="source-6867"/>
    </w:p>
    <w:p>
      <w:pPr>
        <w:pStyle w:val="ListBullet"/>
      </w:pPr>
      <w:r>
        <w:rPr>
          <w:rFonts w:ascii="微软雅黑" w:hAnsi="微软雅黑" w:eastAsia="微软雅黑" w:cs="微软雅黑"/>
        </w:rPr>
        <w:t>[2] 智通财经｜</w:t>
      </w:r>
      <w:hyperlink r:id="rId12">
        <w:r>
          <w:rPr>
            <w:rFonts w:ascii="微软雅黑" w:hAnsi="微软雅黑" w:eastAsia="微软雅黑" w:cs="微软雅黑"/>
            <w:color w:val="087E89"/>
          </w:rPr>
          <w:t>美国柴油价格年内暴涨83%！Apollo首席经济学家警告：成本传导或令核心通胀更顽固 美联储难以视而不见</w:t>
        </w:r>
      </w:hyperlink>
      <w:r>
        <w:rPr>
          <w:rFonts w:ascii="微软雅黑" w:hAnsi="微软雅黑" w:eastAsia="微软雅黑" w:cs="微软雅黑"/>
        </w:rPr>
      </w:r>
    </w:p>
    <w:p>
      <w:pPr>
        <w:spacing w:after="0" w:line="20" w:lineRule="exact"/>
      </w:pPr>
      <w:bookmarkStart w:id="3" w:name="source-6678"/>
      <w:bookmarkEnd w:id="3" w:name="source-6678"/>
    </w:p>
    <w:p>
      <w:pPr>
        <w:pStyle w:val="ListBullet"/>
      </w:pPr>
      <w:r>
        <w:rPr>
          <w:rFonts w:ascii="微软雅黑" w:hAnsi="微软雅黑" w:eastAsia="微软雅黑" w:cs="微软雅黑"/>
        </w:rPr>
        <w:t>[3] 经济日报｜</w:t>
      </w:r>
      <w:hyperlink r:id="rId13">
        <w:r>
          <w:rPr>
            <w:rFonts w:ascii="微软雅黑" w:hAnsi="微软雅黑" w:eastAsia="微软雅黑" w:cs="微软雅黑"/>
            <w:color w:val="087E89"/>
          </w:rPr>
          <w:t>中东冲突推高全球煤炭需求</w:t>
        </w:r>
      </w:hyperlink>
      <w:r>
        <w:rPr>
          <w:rFonts w:ascii="微软雅黑" w:hAnsi="微软雅黑" w:eastAsia="微软雅黑" w:cs="微软雅黑"/>
        </w:rPr>
      </w:r>
    </w:p>
    <w:p>
      <w:pPr>
        <w:spacing w:after="0" w:line="20" w:lineRule="exact"/>
      </w:pPr>
      <w:bookmarkStart w:id="4" w:name="source-6818"/>
      <w:bookmarkEnd w:id="4" w:name="source-6818"/>
    </w:p>
    <w:p>
      <w:pPr>
        <w:pStyle w:val="ListBullet"/>
      </w:pPr>
      <w:r>
        <w:rPr>
          <w:rFonts w:ascii="微软雅黑" w:hAnsi="微软雅黑" w:eastAsia="微软雅黑" w:cs="微软雅黑"/>
        </w:rPr>
        <w:t>[4] 欧盟委员会｜</w:t>
      </w:r>
      <w:hyperlink r:id="rId14">
        <w:r>
          <w:rPr>
            <w:rFonts w:ascii="微软雅黑" w:hAnsi="微软雅黑" w:eastAsia="微软雅黑" w:cs="微软雅黑"/>
            <w:color w:val="087E89"/>
          </w:rPr>
          <w:t>欧盟委员会采取行动，确保欧盟指令得到完整、及时的转化——关于能源的关键决定</w:t>
        </w:r>
      </w:hyperlink>
      <w:r>
        <w:rPr>
          <w:rFonts w:ascii="微软雅黑" w:hAnsi="微软雅黑" w:eastAsia="微软雅黑" w:cs="微软雅黑"/>
        </w:rPr>
      </w:r>
    </w:p>
    <w:p>
      <w:pPr>
        <w:spacing w:after="0" w:line="20" w:lineRule="exact"/>
      </w:pPr>
      <w:bookmarkStart w:id="5" w:name="source-6805"/>
      <w:bookmarkEnd w:id="5" w:name="source-6805"/>
    </w:p>
    <w:p>
      <w:pPr>
        <w:pStyle w:val="ListBullet"/>
      </w:pPr>
      <w:r>
        <w:rPr>
          <w:rFonts w:ascii="微软雅黑" w:hAnsi="微软雅黑" w:eastAsia="微软雅黑" w:cs="微软雅黑"/>
        </w:rPr>
        <w:t>[5] 欧洲氢能协会｜</w:t>
      </w:r>
      <w:hyperlink r:id="rId15">
        <w:r>
          <w:rPr>
            <w:rFonts w:ascii="微软雅黑" w:hAnsi="微软雅黑" w:eastAsia="微软雅黑" w:cs="微软雅黑"/>
            <w:color w:val="087E89"/>
          </w:rPr>
          <w:t>氢能欧洲</w:t>
        </w:r>
      </w:hyperlink>
      <w:r>
        <w:rPr>
          <w:rFonts w:ascii="微软雅黑" w:hAnsi="微软雅黑" w:eastAsia="微软雅黑" w:cs="微软雅黑"/>
        </w:rPr>
      </w:r>
    </w:p>
    <w:p>
      <w:pPr>
        <w:spacing w:after="0" w:line="20" w:lineRule="exact"/>
      </w:pPr>
      <w:bookmarkStart w:id="6" w:name="source-6875"/>
      <w:bookmarkEnd w:id="6" w:name="source-6875"/>
    </w:p>
    <w:p>
      <w:pPr>
        <w:pStyle w:val="ListBullet"/>
      </w:pPr>
      <w:r>
        <w:rPr>
          <w:rFonts w:ascii="微软雅黑" w:hAnsi="微软雅黑" w:eastAsia="微软雅黑" w:cs="微软雅黑"/>
        </w:rPr>
        <w:t>[6] 光伏杂志国际版｜</w:t>
      </w:r>
      <w:hyperlink r:id="rId16">
        <w:r>
          <w:rPr>
            <w:rFonts w:ascii="微软雅黑" w:hAnsi="微软雅黑" w:eastAsia="微软雅黑" w:cs="微软雅黑"/>
            <w:color w:val="087E89"/>
          </w:rPr>
          <w:t>氢能速递：德国、奥地利和卢森堡启动21.2亿欧元（€2.12 billion）可持续航空燃料计划</w:t>
        </w:r>
      </w:hyperlink>
      <w:r>
        <w:rPr>
          <w:rFonts w:ascii="微软雅黑" w:hAnsi="微软雅黑" w:eastAsia="微软雅黑" w:cs="微软雅黑"/>
        </w:rPr>
      </w:r>
    </w:p>
    <w:p>
      <w:pPr>
        <w:spacing w:after="0" w:line="20" w:lineRule="exact"/>
      </w:pPr>
      <w:bookmarkStart w:id="7" w:name="source-6898"/>
      <w:bookmarkEnd w:id="7" w:name="source-6898"/>
    </w:p>
    <w:p>
      <w:pPr>
        <w:pStyle w:val="ListBullet"/>
      </w:pPr>
      <w:r>
        <w:rPr>
          <w:rFonts w:ascii="微软雅黑" w:hAnsi="微软雅黑" w:eastAsia="微软雅黑" w:cs="微软雅黑"/>
        </w:rPr>
        <w:t>[7] ccarbon.info｜</w:t>
      </w:r>
      <w:hyperlink r:id="rId17">
        <w:r>
          <w:rPr>
            <w:rFonts w:ascii="微软雅黑" w:hAnsi="微软雅黑" w:eastAsia="微软雅黑" w:cs="微软雅黑"/>
            <w:color w:val="087E89"/>
          </w:rPr>
          <w:t>意大利参议院批准政府重启核电计划</w:t>
        </w:r>
      </w:hyperlink>
      <w:r>
        <w:rPr>
          <w:rFonts w:ascii="微软雅黑" w:hAnsi="微软雅黑" w:eastAsia="微软雅黑" w:cs="微软雅黑"/>
        </w:rPr>
      </w:r>
    </w:p>
    <w:p>
      <w:pPr>
        <w:spacing w:after="0" w:line="20" w:lineRule="exact"/>
      </w:pPr>
      <w:bookmarkStart w:id="8" w:name="source-6876"/>
      <w:bookmarkEnd w:id="8" w:name="source-6876"/>
    </w:p>
    <w:p>
      <w:pPr>
        <w:pStyle w:val="ListBullet"/>
      </w:pPr>
      <w:r>
        <w:rPr>
          <w:rFonts w:ascii="微软雅黑" w:hAnsi="微软雅黑" w:eastAsia="微软雅黑" w:cs="微软雅黑"/>
        </w:rPr>
        <w:t>[8] 光伏杂志国际版｜</w:t>
      </w:r>
      <w:hyperlink r:id="rId18">
        <w:r>
          <w:rPr>
            <w:rFonts w:ascii="微软雅黑" w:hAnsi="微软雅黑" w:eastAsia="微软雅黑" w:cs="微软雅黑"/>
            <w:color w:val="087E89"/>
          </w:rPr>
          <w:t>印度上半年新增50.6 GW光伏组件和9.7 GW电池制造产能</w:t>
        </w:r>
      </w:hyperlink>
      <w:r>
        <w:rPr>
          <w:rFonts w:ascii="微软雅黑" w:hAnsi="微软雅黑" w:eastAsia="微软雅黑" w:cs="微软雅黑"/>
        </w:rPr>
      </w:r>
    </w:p>
    <w:p>
      <w:pPr>
        <w:spacing w:after="0" w:line="20" w:lineRule="exact"/>
      </w:pPr>
      <w:bookmarkStart w:id="9" w:name="source-6657"/>
      <w:bookmarkEnd w:id="9" w:name="source-6657"/>
    </w:p>
    <w:p>
      <w:pPr>
        <w:pStyle w:val="ListBullet"/>
      </w:pPr>
      <w:r>
        <w:rPr>
          <w:rFonts w:ascii="微软雅黑" w:hAnsi="微软雅黑" w:eastAsia="微软雅黑" w:cs="微软雅黑"/>
        </w:rPr>
        <w:t>[9] Green Building Africa｜</w:t>
      </w:r>
      <w:hyperlink r:id="rId19">
        <w:r>
          <w:rPr>
            <w:rFonts w:ascii="微软雅黑" w:hAnsi="微软雅黑" w:eastAsia="微软雅黑" w:cs="微软雅黑"/>
            <w:color w:val="087E89"/>
          </w:rPr>
          <w:t>Eskom董事长任期将届满，国会力推更简明、更低廉的电费账单</w:t>
        </w:r>
      </w:hyperlink>
      <w:r>
        <w:rPr>
          <w:rFonts w:ascii="微软雅黑" w:hAnsi="微软雅黑" w:eastAsia="微软雅黑" w:cs="微软雅黑"/>
        </w:rPr>
      </w:r>
    </w:p>
    <w:p>
      <w:pPr>
        <w:spacing w:after="0" w:line="20" w:lineRule="exact"/>
      </w:pPr>
      <w:bookmarkStart w:id="10" w:name="source-6845"/>
      <w:bookmarkEnd w:id="10" w:name="source-6845"/>
    </w:p>
    <w:p>
      <w:pPr>
        <w:pStyle w:val="ListBullet"/>
      </w:pPr>
      <w:r>
        <w:rPr>
          <w:rFonts w:ascii="微软雅黑" w:hAnsi="微软雅黑" w:eastAsia="微软雅黑" w:cs="微软雅黑"/>
        </w:rPr>
        <w:t>[10] 光伏杂志国际版｜</w:t>
      </w:r>
      <w:hyperlink r:id="rId20">
        <w:r>
          <w:rPr>
            <w:rFonts w:ascii="微软雅黑" w:hAnsi="微软雅黑" w:eastAsia="微软雅黑" w:cs="微软雅黑"/>
            <w:color w:val="087E89"/>
          </w:rPr>
          <w:t>中国光伏产业简报：古瑞瓦特上调逆变器、储能电池价格，涨幅最高达10%</w:t>
        </w:r>
      </w:hyperlink>
      <w:r>
        <w:rPr>
          <w:rFonts w:ascii="微软雅黑" w:hAnsi="微软雅黑" w:eastAsia="微软雅黑" w:cs="微软雅黑"/>
        </w:rPr>
      </w:r>
    </w:p>
    <w:p>
      <w:pPr>
        <w:spacing w:after="0" w:line="20" w:lineRule="exact"/>
      </w:pPr>
      <w:bookmarkStart w:id="11" w:name="source-6784"/>
      <w:bookmarkEnd w:id="11" w:name="source-6784"/>
    </w:p>
    <w:p>
      <w:pPr>
        <w:pStyle w:val="ListBullet"/>
      </w:pPr>
      <w:r>
        <w:rPr>
          <w:rFonts w:ascii="微软雅黑" w:hAnsi="微软雅黑" w:eastAsia="微软雅黑" w:cs="微软雅黑"/>
        </w:rPr>
        <w:t>[11] 欧盟委员会｜</w:t>
      </w:r>
      <w:hyperlink r:id="rId21">
        <w:r>
          <w:rPr>
            <w:rFonts w:ascii="微软雅黑" w:hAnsi="微软雅黑" w:eastAsia="微软雅黑" w:cs="微软雅黑"/>
            <w:color w:val="087E89"/>
          </w:rPr>
          <w:t>天然气协调小组继续开展冬季准备工作</w:t>
        </w:r>
      </w:hyperlink>
      <w:r>
        <w:rPr>
          <w:rFonts w:ascii="微软雅黑" w:hAnsi="微软雅黑" w:eastAsia="微软雅黑" w:cs="微软雅黑"/>
        </w:rPr>
      </w:r>
    </w:p>
    <w:p>
      <w:pPr>
        <w:spacing w:after="0" w:line="20" w:lineRule="exact"/>
      </w:pPr>
      <w:bookmarkStart w:id="12" w:name="source-6708"/>
      <w:bookmarkEnd w:id="12" w:name="source-6708"/>
    </w:p>
    <w:p>
      <w:pPr>
        <w:pStyle w:val="ListBullet"/>
      </w:pPr>
      <w:r>
        <w:rPr>
          <w:rFonts w:ascii="微软雅黑" w:hAnsi="微软雅黑" w:eastAsia="微软雅黑" w:cs="微软雅黑"/>
        </w:rPr>
        <w:t>[12] 国家能源局｜</w:t>
      </w:r>
      <w:hyperlink r:id="rId22">
        <w:r>
          <w:rPr>
            <w:rFonts w:ascii="微软雅黑" w:hAnsi="微软雅黑" w:eastAsia="微软雅黑" w:cs="微软雅黑"/>
            <w:color w:val="087E89"/>
          </w:rPr>
          <w:t>第八届中国—欧佩克高级别对话会成功举行</w:t>
        </w:r>
      </w:hyperlink>
      <w:r>
        <w:rPr>
          <w:rFonts w:ascii="微软雅黑" w:hAnsi="微软雅黑" w:eastAsia="微软雅黑" w:cs="微软雅黑"/>
        </w:rPr>
      </w:r>
    </w:p>
    <w:p>
      <w:pPr>
        <w:spacing w:after="0" w:line="20" w:lineRule="exact"/>
      </w:pPr>
      <w:bookmarkStart w:id="13" w:name="source-6642"/>
      <w:bookmarkEnd w:id="13" w:name="source-6642"/>
    </w:p>
    <w:p>
      <w:pPr>
        <w:pStyle w:val="ListBullet"/>
      </w:pPr>
      <w:r>
        <w:rPr>
          <w:rFonts w:ascii="微软雅黑" w:hAnsi="微软雅黑" w:eastAsia="微软雅黑" w:cs="微软雅黑"/>
        </w:rPr>
        <w:t>[13] The Edge Malaysia等｜</w:t>
      </w:r>
      <w:hyperlink r:id="rId23">
        <w:r>
          <w:rPr>
            <w:rFonts w:ascii="微软雅黑" w:hAnsi="微软雅黑" w:eastAsia="微软雅黑" w:cs="微软雅黑"/>
            <w:color w:val="087E89"/>
          </w:rPr>
          <w:t>据报道，美国与伊朗正在探讨分阶段达成协议，油价企稳</w:t>
        </w:r>
      </w:hyperlink>
      <w:r>
        <w:rPr>
          <w:rFonts w:ascii="微软雅黑" w:hAnsi="微软雅黑" w:eastAsia="微软雅黑" w:cs="微软雅黑"/>
        </w:rPr>
      </w:r>
    </w:p>
    <w:p>
      <w:pPr>
        <w:spacing w:after="0" w:line="20" w:lineRule="exact"/>
      </w:pPr>
      <w:bookmarkStart w:id="14" w:name="source-6905"/>
      <w:bookmarkEnd w:id="14" w:name="source-6905"/>
    </w:p>
    <w:p>
      <w:pPr>
        <w:pStyle w:val="ListBullet"/>
      </w:pPr>
      <w:r>
        <w:rPr>
          <w:rFonts w:ascii="微软雅黑" w:hAnsi="微软雅黑" w:eastAsia="微软雅黑" w:cs="微软雅黑"/>
        </w:rPr>
        <w:t>[14] Anadolu Agency｜</w:t>
      </w:r>
      <w:hyperlink r:id="rId24">
        <w:r>
          <w:rPr>
            <w:rFonts w:ascii="微软雅黑" w:hAnsi="微软雅黑" w:eastAsia="微软雅黑" w:cs="微软雅黑"/>
            <w:color w:val="087E89"/>
          </w:rPr>
          <w:t>原油价格本周或涨跌互现，美伊外交与霍尔木兹不确定性重塑供应前景</w:t>
        </w:r>
      </w:hyperlink>
      <w:r>
        <w:rPr>
          <w:rFonts w:ascii="微软雅黑" w:hAnsi="微软雅黑" w:eastAsia="微软雅黑" w:cs="微软雅黑"/>
        </w:rPr>
      </w:r>
    </w:p>
    <w:p>
      <w:pPr>
        <w:spacing w:after="0" w:line="20" w:lineRule="exact"/>
      </w:pPr>
      <w:bookmarkStart w:id="15" w:name="source-6700"/>
      <w:bookmarkEnd w:id="15" w:name="source-6700"/>
    </w:p>
    <w:p>
      <w:pPr>
        <w:pStyle w:val="ListBullet"/>
      </w:pPr>
      <w:r>
        <w:rPr>
          <w:rFonts w:ascii="微软雅黑" w:hAnsi="微软雅黑" w:eastAsia="微软雅黑" w:cs="微软雅黑"/>
        </w:rPr>
        <w:t>[15] 汇通财经｜</w:t>
      </w:r>
      <w:hyperlink r:id="rId25">
        <w:r>
          <w:rPr>
            <w:rFonts w:ascii="微软雅黑" w:hAnsi="微软雅黑" w:eastAsia="微软雅黑" w:cs="微软雅黑"/>
            <w:color w:val="087E89"/>
          </w:rPr>
          <w:t>原油交易提醒：美伊谈判释放缓和信号，WTI原油冲高回落</w:t>
        </w:r>
      </w:hyperlink>
      <w:r>
        <w:rPr>
          <w:rFonts w:ascii="微软雅黑" w:hAnsi="微软雅黑" w:eastAsia="微软雅黑" w:cs="微软雅黑"/>
        </w:rPr>
      </w:r>
    </w:p>
    <w:p>
      <w:pPr>
        <w:spacing w:after="0" w:line="20" w:lineRule="exact"/>
      </w:pPr>
      <w:bookmarkStart w:id="16" w:name="source-6777"/>
      <w:bookmarkEnd w:id="16" w:name="source-6777"/>
    </w:p>
    <w:p>
      <w:pPr>
        <w:pStyle w:val="ListBullet"/>
      </w:pPr>
      <w:r>
        <w:rPr>
          <w:rFonts w:ascii="微软雅黑" w:hAnsi="微软雅黑" w:eastAsia="微软雅黑" w:cs="微软雅黑"/>
        </w:rPr>
        <w:t>[16] Anadolu Agency｜</w:t>
      </w:r>
      <w:hyperlink r:id="rId26">
        <w:r>
          <w:rPr>
            <w:rFonts w:ascii="微软雅黑" w:hAnsi="微软雅黑" w:eastAsia="微软雅黑" w:cs="微软雅黑"/>
            <w:color w:val="087E89"/>
          </w:rPr>
          <w:t>美国与伊朗释放外交信号、美中贸易紧张局势缓和 油价下跌</w:t>
        </w:r>
      </w:hyperlink>
      <w:r>
        <w:rPr>
          <w:rFonts w:ascii="微软雅黑" w:hAnsi="微软雅黑" w:eastAsia="微软雅黑" w:cs="微软雅黑"/>
        </w:rPr>
      </w:r>
    </w:p>
    <w:p>
      <w:pPr>
        <w:spacing w:after="0" w:line="20" w:lineRule="exact"/>
      </w:pPr>
      <w:bookmarkStart w:id="17" w:name="source-6850"/>
      <w:bookmarkEnd w:id="17" w:name="source-6850"/>
    </w:p>
    <w:p>
      <w:pPr>
        <w:pStyle w:val="ListBullet"/>
      </w:pPr>
      <w:r>
        <w:rPr>
          <w:rFonts w:ascii="微软雅黑" w:hAnsi="微软雅黑" w:eastAsia="微软雅黑" w:cs="微软雅黑"/>
        </w:rPr>
        <w:t>[17] 清洁能源通讯社 · 克罗地亚报道 | 26年9月｜</w:t>
      </w:r>
      <w:hyperlink r:id="rId27">
        <w:r>
          <w:rPr>
            <w:rFonts w:ascii="微软雅黑" w:hAnsi="微软雅黑" w:eastAsia="微软雅黑" w:cs="微软雅黑"/>
            <w:color w:val="087E89"/>
          </w:rPr>
          <w:t>查看原文</w:t>
        </w:r>
      </w:hyperlink>
      <w:r>
        <w:rPr>
          <w:rFonts w:ascii="微软雅黑" w:hAnsi="微软雅黑" w:eastAsia="微软雅黑" w:cs="微软雅黑"/>
        </w:rPr>
      </w:r>
    </w:p>
    <w:p>
      <w:pPr>
        <w:spacing w:after="0" w:line="20" w:lineRule="exact"/>
      </w:pPr>
      <w:bookmarkStart w:id="18" w:name="source-6819"/>
      <w:bookmarkEnd w:id="18" w:name="source-6819"/>
    </w:p>
    <w:p>
      <w:pPr>
        <w:pStyle w:val="ListBullet"/>
      </w:pPr>
      <w:r>
        <w:rPr>
          <w:rFonts w:ascii="微软雅黑" w:hAnsi="微软雅黑" w:eastAsia="微软雅黑" w:cs="微软雅黑"/>
        </w:rPr>
        <w:t>[18] 清洁能源通讯社｜</w:t>
      </w:r>
      <w:hyperlink r:id="rId28">
        <w:r>
          <w:rPr>
            <w:rFonts w:ascii="微软雅黑" w:hAnsi="微软雅黑" w:eastAsia="微软雅黑" w:cs="微软雅黑"/>
            <w:color w:val="087E89"/>
          </w:rPr>
          <w:t>欧洲必须将碳定价与对转型先行者的支持相结合——德国工业界</w:t>
        </w:r>
      </w:hyperlink>
      <w:r>
        <w:rPr>
          <w:rFonts w:ascii="微软雅黑" w:hAnsi="微软雅黑" w:eastAsia="微软雅黑" w:cs="微软雅黑"/>
        </w:rPr>
      </w:r>
    </w:p>
    <w:p>
      <w:pPr>
        <w:spacing w:after="0" w:line="20" w:lineRule="exact"/>
      </w:pPr>
      <w:bookmarkStart w:id="19" w:name="source-6730"/>
      <w:bookmarkEnd w:id="19" w:name="source-6730"/>
    </w:p>
    <w:p>
      <w:pPr>
        <w:pStyle w:val="ListBullet"/>
      </w:pPr>
      <w:r>
        <w:rPr>
          <w:rFonts w:ascii="微软雅黑" w:hAnsi="微软雅黑" w:eastAsia="微软雅黑" w:cs="微软雅黑"/>
        </w:rPr>
        <w:t>[19] 科技日报｜</w:t>
      </w:r>
      <w:hyperlink r:id="rId29">
        <w:r>
          <w:rPr>
            <w:rFonts w:ascii="微软雅黑" w:hAnsi="微软雅黑" w:eastAsia="微软雅黑" w:cs="微软雅黑"/>
            <w:color w:val="087E89"/>
          </w:rPr>
          <w:t>大湾区氢能综合应用试点城市群工作部署会召开</w:t>
        </w:r>
      </w:hyperlink>
      <w:r>
        <w:rPr>
          <w:rFonts w:ascii="微软雅黑" w:hAnsi="微软雅黑" w:eastAsia="微软雅黑" w:cs="微软雅黑"/>
        </w:rPr>
      </w:r>
    </w:p>
    <w:p>
      <w:pPr>
        <w:spacing w:after="0" w:line="20" w:lineRule="exact"/>
      </w:pPr>
      <w:bookmarkStart w:id="20" w:name="source-6679"/>
      <w:bookmarkEnd w:id="20" w:name="source-6679"/>
    </w:p>
    <w:p>
      <w:pPr>
        <w:pStyle w:val="ListBullet"/>
      </w:pPr>
      <w:r>
        <w:rPr>
          <w:rFonts w:ascii="微软雅黑" w:hAnsi="微软雅黑" w:eastAsia="微软雅黑" w:cs="微软雅黑"/>
        </w:rPr>
        <w:t>[20] 科技日报｜</w:t>
      </w:r>
      <w:hyperlink r:id="rId30">
        <w:r>
          <w:rPr>
            <w:rFonts w:ascii="微软雅黑" w:hAnsi="微软雅黑" w:eastAsia="微软雅黑" w:cs="微软雅黑"/>
            <w:color w:val="087E89"/>
          </w:rPr>
          <w:t>全球新能源汽车迈入全面市场化新阶段  中国成为产业链重要基石</w:t>
        </w:r>
      </w:hyperlink>
      <w:r>
        <w:rPr>
          <w:rFonts w:ascii="微软雅黑" w:hAnsi="微软雅黑" w:eastAsia="微软雅黑" w:cs="微软雅黑"/>
        </w:rPr>
      </w:r>
    </w:p>
    <w:p>
      <w:pPr>
        <w:spacing w:after="0" w:line="20" w:lineRule="exact"/>
      </w:pPr>
      <w:bookmarkStart w:id="21" w:name="source-6842"/>
      <w:bookmarkEnd w:id="21" w:name="source-6842"/>
    </w:p>
    <w:p>
      <w:pPr>
        <w:pStyle w:val="ListBullet"/>
      </w:pPr>
      <w:r>
        <w:rPr>
          <w:rFonts w:ascii="微软雅黑" w:hAnsi="微软雅黑" w:eastAsia="微软雅黑" w:cs="微软雅黑"/>
        </w:rPr>
        <w:t>[21] The Battery Magazine｜</w:t>
      </w:r>
      <w:hyperlink r:id="rId31">
        <w:r>
          <w:rPr>
            <w:rFonts w:ascii="微软雅黑" w:hAnsi="微软雅黑" w:eastAsia="微软雅黑" w:cs="微软雅黑"/>
            <w:color w:val="087E89"/>
          </w:rPr>
          <w:t>ESR 通过 Aquila 交易推动清洁能源布局</w:t>
        </w:r>
      </w:hyperlink>
      <w:r>
        <w:rPr>
          <w:rFonts w:ascii="微软雅黑" w:hAnsi="微软雅黑" w:eastAsia="微软雅黑" w:cs="微软雅黑"/>
        </w:rPr>
      </w:r>
    </w:p>
    <w:p>
      <w:pPr>
        <w:spacing w:after="0" w:line="20" w:lineRule="exact"/>
      </w:pPr>
      <w:bookmarkStart w:id="22" w:name="source-6726"/>
      <w:bookmarkEnd w:id="22" w:name="source-6726"/>
    </w:p>
    <w:p>
      <w:pPr>
        <w:pStyle w:val="ListBullet"/>
      </w:pPr>
      <w:r>
        <w:rPr>
          <w:rFonts w:ascii="微软雅黑" w:hAnsi="微软雅黑" w:eastAsia="微软雅黑" w:cs="微软雅黑"/>
        </w:rPr>
        <w:t>[22] Energy-Storage.news｜</w:t>
      </w:r>
      <w:hyperlink r:id="rId32">
        <w:r>
          <w:rPr>
            <w:rFonts w:ascii="微软雅黑" w:hAnsi="微软雅黑" w:eastAsia="微软雅黑" w:cs="微软雅黑"/>
            <w:color w:val="087E89"/>
          </w:rPr>
          <w:t>ESR收购Aquila Clean Energy APAC，推进亚太地区可再生能源与储能整合</w:t>
        </w:r>
      </w:hyperlink>
      <w:r>
        <w:rPr>
          <w:rFonts w:ascii="微软雅黑" w:hAnsi="微软雅黑" w:eastAsia="微软雅黑" w:cs="微软雅黑"/>
        </w:rPr>
      </w:r>
    </w:p>
    <w:p>
      <w:pPr>
        <w:spacing w:after="0" w:line="20" w:lineRule="exact"/>
      </w:pPr>
      <w:bookmarkStart w:id="23" w:name="source-6658"/>
      <w:bookmarkEnd w:id="23" w:name="source-6658"/>
    </w:p>
    <w:p>
      <w:pPr>
        <w:pStyle w:val="ListBullet"/>
      </w:pPr>
      <w:r>
        <w:rPr>
          <w:rFonts w:ascii="微软雅黑" w:hAnsi="微软雅黑" w:eastAsia="微软雅黑" w:cs="微软雅黑"/>
        </w:rPr>
        <w:t>[23] Green Building Africa｜</w:t>
      </w:r>
      <w:hyperlink r:id="rId33">
        <w:r>
          <w:rPr>
            <w:rFonts w:ascii="微软雅黑" w:hAnsi="微软雅黑" w:eastAsia="微软雅黑" w:cs="微软雅黑"/>
            <w:color w:val="087E89"/>
          </w:rPr>
          <w:t>南非议会呼吁在埃斯科姆库西勒电站加强环境合规</w:t>
        </w:r>
      </w:hyperlink>
      <w:r>
        <w:rPr>
          <w:rFonts w:ascii="微软雅黑" w:hAnsi="微软雅黑" w:eastAsia="微软雅黑" w:cs="微软雅黑"/>
        </w:rPr>
      </w:r>
    </w:p>
    <w:p>
      <w:pPr>
        <w:spacing w:after="0" w:line="20" w:lineRule="exact"/>
      </w:pPr>
      <w:bookmarkStart w:id="24" w:name="source-6851"/>
      <w:bookmarkEnd w:id="24" w:name="source-6851"/>
    </w:p>
    <w:p>
      <w:pPr>
        <w:pStyle w:val="ListBullet"/>
      </w:pPr>
      <w:r>
        <w:rPr>
          <w:rFonts w:ascii="微软雅黑" w:hAnsi="微软雅黑" w:eastAsia="微软雅黑" w:cs="微软雅黑"/>
        </w:rPr>
        <w:t>[24] 清洁能源通讯社 · In brief | 9月25日'26｜</w:t>
      </w:r>
      <w:hyperlink r:id="rId34">
        <w:r>
          <w:rPr>
            <w:rFonts w:ascii="微软雅黑" w:hAnsi="微软雅黑" w:eastAsia="微软雅黑" w:cs="微软雅黑"/>
            <w:color w:val="087E89"/>
          </w:rPr>
          <w:t>查看原文</w:t>
        </w:r>
      </w:hyperlink>
      <w:r>
        <w:rPr>
          <w:rFonts w:ascii="微软雅黑" w:hAnsi="微软雅黑" w:eastAsia="微软雅黑" w:cs="微软雅黑"/>
        </w:rPr>
      </w:r>
    </w:p>
    <w:p>
      <w:pPr>
        <w:spacing w:after="0" w:line="20" w:lineRule="exact"/>
      </w:pPr>
      <w:bookmarkStart w:id="25" w:name="source-6779"/>
      <w:bookmarkEnd w:id="25" w:name="source-6779"/>
    </w:p>
    <w:p>
      <w:pPr>
        <w:pStyle w:val="ListBullet"/>
      </w:pPr>
      <w:r>
        <w:rPr>
          <w:rFonts w:ascii="微软雅黑" w:hAnsi="微软雅黑" w:eastAsia="微软雅黑" w:cs="微软雅黑"/>
        </w:rPr>
        <w:t>[25] 世界核新闻｜</w:t>
      </w:r>
      <w:hyperlink r:id="rId35">
        <w:r>
          <w:rPr>
            <w:rFonts w:ascii="微软雅黑" w:hAnsi="微软雅黑" w:eastAsia="微软雅黑" w:cs="微软雅黑"/>
            <w:color w:val="087E89"/>
          </w:rPr>
          <w:t>协议为尼日尔铀项目复工扫清道路</w:t>
        </w:r>
      </w:hyperlink>
      <w:r>
        <w:rPr>
          <w:rFonts w:ascii="微软雅黑" w:hAnsi="微软雅黑" w:eastAsia="微软雅黑" w:cs="微软雅黑"/>
        </w:rPr>
      </w:r>
    </w:p>
    <w:sectPr w:rsidR="00FC693F" w:rsidRPr="0006063C" w:rsidSect="00034616">
      <w:footerReference w:type="default" r:id="rId10"/>
      <w:pgSz w:w="11906" w:h="16838"/>
      <w:pgMar w:top="1361" w:right="1417" w:bottom="1247" w:left="1417"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微软雅黑" w:hAnsi="微软雅黑" w:eastAsia="微软雅黑" w:cs="微软雅黑"/>
      </w:rPr>
      <w:t xml:space="preserve">ENYINFO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微软雅黑" w:hAnsi="微软雅黑" w:hint="default" w:eastAsia="微软雅黑" w:cs="微软雅黑"/>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微软雅黑" w:hAnsi="微软雅黑" w:hint="default" w:eastAsia="微软雅黑" w:cs="微软雅黑"/>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微软雅黑" w:hAnsi="微软雅黑" w:hint="default" w:eastAsia="微软雅黑" w:cs="微软雅黑"/>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微软雅黑" w:hAnsi="微软雅黑" w:hint="default" w:eastAsia="微软雅黑" w:cs="微软雅黑"/>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8" w:lineRule="auto" w:after="180"/>
    </w:pPr>
    <w:rPr>
      <w:rFonts w:ascii="微软雅黑" w:hAnsi="微软雅黑" w:eastAsia="微软雅黑" w:cs="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HeaderChar">
    <w:name w:val="Header Char"/>
    <w:basedOn w:val="DefaultParagraphFont"/>
    <w:link w:val="Header"/>
    <w:uiPriority w:val="99"/>
    <w:rsid w:val="00E618BF"/>
    <w:rPr>
      <w:rFonts w:ascii="微软雅黑" w:hAnsi="微软雅黑" w:eastAsia="微软雅黑" w:cs="微软雅黑"/>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FooterChar">
    <w:name w:val="Footer Char"/>
    <w:basedOn w:val="DefaultParagraphFont"/>
    <w:link w:val="Footer"/>
    <w:uiPriority w:val="99"/>
    <w:rsid w:val="00E618B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15495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15495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15495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154957"/>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154957"/>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微软雅黑" w:hAnsi="微软雅黑" w:eastAsia="微软雅黑" w:cs="微软雅黑"/>
      <w:color w:val="000000"/>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val="0"/>
      <w:iCs/>
      <w:color w:val="536976"/>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微软雅黑" w:hAnsi="微软雅黑" w:eastAsia="微软雅黑" w:cs="微软雅黑"/>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hyperlink" Target="https://www.offshorewind.biz/2026/09/25/offshore-wind-farm-featuring-18-mw-turbines-goes-online-in-china" TargetMode="External"/><Relationship Id="rId12" Type="http://schemas.openxmlformats.org/officeDocument/2006/relationships/hyperlink" Target="https://www.zhitongcaijing.com/content/detail/1501076.html" TargetMode="External"/><Relationship Id="rId13" Type="http://schemas.openxmlformats.org/officeDocument/2006/relationships/hyperlink" Target="http://www.ce.cn/cysc/newmain/yc/jsxw/202609/t20260925_3235404.shtml" TargetMode="External"/><Relationship Id="rId14" Type="http://schemas.openxmlformats.org/officeDocument/2006/relationships/hyperlink" Target="https://energy.ec.europa.eu/news/commission-takes-action-ensure-complete-and-timely-transposition-eu-directives-key-decisions-energy-2026-09-25_en" TargetMode="External"/><Relationship Id="rId15" Type="http://schemas.openxmlformats.org/officeDocument/2006/relationships/hyperlink" Target="https://hydrogeneurope.eu/germany-leads-e2-1bn-push-to-unlock-e-saf-investment/" TargetMode="External"/><Relationship Id="rId16" Type="http://schemas.openxmlformats.org/officeDocument/2006/relationships/hyperlink" Target="https://www.pv-magazine.com/2026/09/25/the-hydrogen-stream-germany-austria-and-luxembourg-launch-e2-12-billion-program-for-sustainable-aviation-fuel/" TargetMode="External"/><Relationship Id="rId17" Type="http://schemas.openxmlformats.org/officeDocument/2006/relationships/hyperlink" Target="https://www.ccarbon.info/news/italian-senate-approves-government-plan-to-restart-nuclear-power/" TargetMode="External"/><Relationship Id="rId18" Type="http://schemas.openxmlformats.org/officeDocument/2006/relationships/hyperlink" Target="https://www.pv-magazine.com/2026/09/25/india-added-50-6-gw-of-solar-module-and-9-7-gw-of-cell-manufacturing-capacity-in-1h-2026-says-mercom/" TargetMode="External"/><Relationship Id="rId19" Type="http://schemas.openxmlformats.org/officeDocument/2006/relationships/hyperlink" Target="https://www.greenbuildingafrica.co.za/eskom-chair-tenure-ending-as-parliament-presses-for-simpler-cheaper-electricity-bills/" TargetMode="External"/><Relationship Id="rId20" Type="http://schemas.openxmlformats.org/officeDocument/2006/relationships/hyperlink" Target="https://www.pv-magazine.com/2026/09/25/chinese-pv-industry-brief-growatt-raises-inverter-battery-prices-by-up-to-10/" TargetMode="External"/><Relationship Id="rId21" Type="http://schemas.openxmlformats.org/officeDocument/2006/relationships/hyperlink" Target="https://energy.ec.europa.eu/news/gas-coordination-group-continues-work-winter-preparedness-2026-09-25_en" TargetMode="External"/><Relationship Id="rId22" Type="http://schemas.openxmlformats.org/officeDocument/2006/relationships/hyperlink" Target="https://www.nea.gov.cn/20260925/7129dad3b7c1464d9b9785858b8483fe/c.html" TargetMode="External"/><Relationship Id="rId23" Type="http://schemas.openxmlformats.org/officeDocument/2006/relationships/hyperlink" Target="https://theedgemalaysia.com/node/819309" TargetMode="External"/><Relationship Id="rId24" Type="http://schemas.openxmlformats.org/officeDocument/2006/relationships/hyperlink" Target="https://www.aa.com.tr/en/energy/oil/oil-prices-set-for-mixed-week-as-us-iran-diplomacy-hormuz-uncertainty-reshape-supply-outlook/59867" TargetMode="External"/><Relationship Id="rId25" Type="http://schemas.openxmlformats.org/officeDocument/2006/relationships/hyperlink" Target="https://www.fx678.com/C/20260925/202609250944099066.html" TargetMode="External"/><Relationship Id="rId26" Type="http://schemas.openxmlformats.org/officeDocument/2006/relationships/hyperlink" Target="https://www.aa.com.tr/en/energy/oil/oil-prices-fall-on-us-iran-diplomatic-signals-easing-us-china-trade-tensions/59851" TargetMode="External"/><Relationship Id="rId27" Type="http://schemas.openxmlformats.org/officeDocument/2006/relationships/hyperlink" Target="https://www.cleanenergywire.org/news/dispatch-croatia-september-26" TargetMode="External"/><Relationship Id="rId28" Type="http://schemas.openxmlformats.org/officeDocument/2006/relationships/hyperlink" Target="https://www.cleanenergywire.org/news/europe-must-accompany-carbon-pricing-support-first-movers-transition-german-industry" TargetMode="External"/><Relationship Id="rId29" Type="http://schemas.openxmlformats.org/officeDocument/2006/relationships/hyperlink" Target="https://www.stdaily.com/web/gdxw/2026-09/25/content_588076.html" TargetMode="External"/><Relationship Id="rId30" Type="http://schemas.openxmlformats.org/officeDocument/2006/relationships/hyperlink" Target="https://www.stdaily.com/web/gdxw/2026-09/25/content_587873.html" TargetMode="External"/><Relationship Id="rId31" Type="http://schemas.openxmlformats.org/officeDocument/2006/relationships/hyperlink" Target="https://www.thebatterymagazine.com/esr-makes-clean-energy-push-with-aquila-deal/" TargetMode="External"/><Relationship Id="rId32" Type="http://schemas.openxmlformats.org/officeDocument/2006/relationships/hyperlink" Target="https://www.energy-storage.news/esr-to-acquire-aquila-clean-energy-apac-in-asia-pacific-renewables-and-energy-storage-consolidation/" TargetMode="External"/><Relationship Id="rId33" Type="http://schemas.openxmlformats.org/officeDocument/2006/relationships/hyperlink" Target="https://www.greenbuildingafrica.co.za/south-african-parliament-calls-for-stronger-environmental-compliance-at-eskoms-kusile-power-station/" TargetMode="External"/><Relationship Id="rId34" Type="http://schemas.openxmlformats.org/officeDocument/2006/relationships/hyperlink" Target="https://www.cleanenergywire.org/news/brief-25-september-26" TargetMode="External"/><Relationship Id="rId35" Type="http://schemas.openxmlformats.org/officeDocument/2006/relationships/hyperlink" Target="https://www.world-nuclear-news.org/articles/agreement-clears-way-for-resumption-of-niger-uranium-proje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ajorFont>
      <a:min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2026年9月25日 每日能源报告</dc:title>
  <dc:subject/>
  <dc:creator>北京百看科技有限公司</dc:creator>
  <cp:keywords/>
  <dc:description>generated by python-docx</dc:description>
  <cp:lastModifiedBy/>
  <cp:revision>1</cp:revision>
  <dcterms:created xsi:type="dcterms:W3CDTF">2013-12-23T23:15:00Z</dcterms:created>
  <dcterms:modified xsi:type="dcterms:W3CDTF">2013-12-23T23:15:00Z</dcterms:modified>
  <cp:category/>
</cp:coreProperties>
</file>