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发布日：2026-10-30（北京时间）。</w:t>
      </w:r>
    </w:p>
    <w:p>
      <w:pPr>
        <w:ind w:firstLine="420"/>
      </w:pPr>
      <w:r>
        <w:rPr>
          <w:rFonts w:ascii="微软雅黑" w:hAnsi="微软雅黑" w:eastAsia="微软雅黑" w:cs="微软雅黑"/>
        </w:rPr>
        <w:t>信息覆盖时段：2026-10-29 04:00 至 2026-10-30 04:00（不含），Asia/Shanghai。</w:t>
      </w:r>
    </w:p>
    <w:p>
      <w:pPr/>
      <w:r>
        <w:rPr>
          <w:rFonts w:ascii="微软雅黑" w:hAnsi="微软雅黑" w:eastAsia="微软雅黑" w:cs="微软雅黑"/>
        </w:rPr>
        <w:t>统计区间：2026-10-29 04:00 至 2026-10-30 04:00（结束时刻不含，北京时间）</w:t>
      </w:r>
    </w:p>
    <w:p>
      <w:pPr>
        <w:ind w:firstLine="420"/>
      </w:pPr>
      <w:r>
        <w:rPr>
          <w:rFonts w:ascii="微软雅黑" w:hAnsi="微软雅黑" w:eastAsia="微软雅黑" w:cs="微软雅黑"/>
        </w:rPr>
        <w:t>资料更新截止：2026-10-30 09:14（北京时间）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卡塔尔能源与Woodside签20年长约，购入300万吨/年美国LNG </w:t>
      </w:r>
      <w:hyperlink w:anchor="source-30467">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NRC就帕迪尤卡激光浓缩厂发布最终环评并建议发证 </w:t>
      </w:r>
      <w:hyperlink w:anchor="source-3085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Aker BP完成Yggdrasil与Valhall PWP上部模块安装 </w:t>
      </w:r>
      <w:hyperlink w:anchor="source-3068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中电联预测2026年底全国装机43亿千瓦，非化石能源占63%左右 </w:t>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欧洲三个月内释放4200万桶石油储备，一半为柴油 </w:t>
      </w:r>
      <w:hyperlink w:anchor="source-30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0634">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卡塔尔能源与Woodside能源签署的美国路易斯安那LNG项目（Golden Pass LNG）长期采购量</w:t>
            </w:r>
          </w:p>
        </w:tc>
        <w:tc>
          <w:tcPr>
            <w:tcW w:type="dxa" w:w="2268"/>
          </w:tcPr>
          <w:p>
            <w:pPr>
              <w:spacing w:after="40"/>
            </w:pPr>
            <w:r>
              <w:rPr>
                <w:rFonts w:ascii="微软雅黑" w:hAnsi="微软雅黑" w:eastAsia="微软雅黑" w:cs="微软雅黑"/>
              </w:rPr>
              <w:t>300万吨/年（MTPA）</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0467">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帕迪尤卡激光浓缩厂(PLEF)获准生产的铀产品铀-235丰度上限（LEU与LEU+）</w:t>
            </w:r>
          </w:p>
        </w:tc>
        <w:tc>
          <w:tcPr>
            <w:tcW w:type="dxa" w:w="2268"/>
          </w:tcPr>
          <w:p>
            <w:pPr>
              <w:spacing w:after="40"/>
            </w:pPr>
            <w:r>
              <w:rPr>
                <w:rFonts w:ascii="微软雅黑" w:hAnsi="微软雅黑" w:eastAsia="微软雅黑" w:cs="微软雅黑"/>
              </w:rPr>
              <w:t>LEU最高5%、LEU+最高8%</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0853">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Aker BP本季度净产量</w:t>
            </w:r>
          </w:p>
        </w:tc>
        <w:tc>
          <w:tcPr>
            <w:tcW w:type="dxa" w:w="2268"/>
          </w:tcPr>
          <w:p>
            <w:pPr>
              <w:spacing w:after="40"/>
            </w:pPr>
            <w:r>
              <w:rPr>
                <w:rFonts w:ascii="微软雅黑" w:hAnsi="微软雅黑" w:eastAsia="微软雅黑" w:cs="微软雅黑"/>
              </w:rPr>
              <w:t>平均374,000桶油当量/日（boed）</w:t>
            </w:r>
          </w:p>
        </w:tc>
        <w:tc>
          <w:tcPr>
            <w:tcW w:type="dxa" w:w="2268"/>
          </w:tcPr>
          <w:p>
            <w:pPr>
              <w:spacing w:after="40"/>
            </w:pPr>
            <w:r>
              <w:rPr>
                <w:rFonts w:ascii="微软雅黑" w:hAnsi="微软雅黑" w:eastAsia="微软雅黑" w:cs="微软雅黑"/>
              </w:rPr>
              <w:t>本季度</w:t>
            </w:r>
          </w:p>
        </w:tc>
        <w:tc>
          <w:tcPr>
            <w:tcW w:type="dxa" w:w="2268"/>
          </w:tcPr>
          <w:p>
            <w:pPr>
              <w:spacing w:after="40"/>
            </w:pPr>
            <w:r>
              <w:rPr>
                <w:rFonts w:ascii="微软雅黑" w:hAnsi="微软雅黑" w:eastAsia="微软雅黑" w:cs="微软雅黑"/>
              </w:rPr>
            </w:r>
            <w:hyperlink w:anchor="source-3068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Aker BP本季度净销售量</w:t>
            </w:r>
          </w:p>
        </w:tc>
        <w:tc>
          <w:tcPr>
            <w:tcW w:type="dxa" w:w="2268"/>
          </w:tcPr>
          <w:p>
            <w:pPr>
              <w:spacing w:after="40"/>
            </w:pPr>
            <w:r>
              <w:rPr>
                <w:rFonts w:ascii="微软雅黑" w:hAnsi="微软雅黑" w:eastAsia="微软雅黑" w:cs="微软雅黑"/>
              </w:rPr>
              <w:t>396,000 boed，环比增长5%</w:t>
            </w:r>
          </w:p>
        </w:tc>
        <w:tc>
          <w:tcPr>
            <w:tcW w:type="dxa" w:w="2268"/>
          </w:tcPr>
          <w:p>
            <w:pPr>
              <w:spacing w:after="40"/>
            </w:pPr>
            <w:r>
              <w:rPr>
                <w:rFonts w:ascii="微软雅黑" w:hAnsi="微软雅黑" w:eastAsia="微软雅黑" w:cs="微软雅黑"/>
              </w:rPr>
              <w:t>本季度</w:t>
            </w:r>
          </w:p>
        </w:tc>
        <w:tc>
          <w:tcPr>
            <w:tcW w:type="dxa" w:w="2268"/>
          </w:tcPr>
          <w:p>
            <w:pPr>
              <w:spacing w:after="40"/>
            </w:pPr>
            <w:r>
              <w:rPr>
                <w:rFonts w:ascii="微软雅黑" w:hAnsi="微软雅黑" w:eastAsia="微软雅黑" w:cs="微软雅黑"/>
              </w:rPr>
            </w:r>
            <w:hyperlink w:anchor="source-3068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Aker BP全年产量指引</w:t>
            </w:r>
          </w:p>
        </w:tc>
        <w:tc>
          <w:tcPr>
            <w:tcW w:type="dxa" w:w="2268"/>
          </w:tcPr>
          <w:p>
            <w:pPr>
              <w:spacing w:after="40"/>
            </w:pPr>
            <w:r>
              <w:rPr>
                <w:rFonts w:ascii="微软雅黑" w:hAnsi="微软雅黑" w:eastAsia="微软雅黑" w:cs="微软雅黑"/>
              </w:rPr>
              <w:t>380,000至400,000 boed</w:t>
            </w:r>
          </w:p>
        </w:tc>
        <w:tc>
          <w:tcPr>
            <w:tcW w:type="dxa" w:w="2268"/>
          </w:tcPr>
          <w:p>
            <w:pPr>
              <w:spacing w:after="40"/>
            </w:pPr>
            <w:r>
              <w:rPr>
                <w:rFonts w:ascii="微软雅黑" w:hAnsi="微软雅黑" w:eastAsia="微软雅黑" w:cs="微软雅黑"/>
              </w:rPr>
              <w:t>全年</w:t>
            </w:r>
          </w:p>
        </w:tc>
        <w:tc>
          <w:tcPr>
            <w:tcW w:type="dxa" w:w="2268"/>
          </w:tcPr>
          <w:p>
            <w:pPr>
              <w:spacing w:after="40"/>
            </w:pPr>
            <w:r>
              <w:rPr>
                <w:rFonts w:ascii="微软雅黑" w:hAnsi="微软雅黑" w:eastAsia="微软雅黑" w:cs="微软雅黑"/>
              </w:rPr>
            </w:r>
            <w:hyperlink w:anchor="source-3068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中国全社会用电量</w:t>
            </w:r>
          </w:p>
        </w:tc>
        <w:tc>
          <w:tcPr>
            <w:tcW w:type="dxa" w:w="2268"/>
          </w:tcPr>
          <w:p>
            <w:pPr>
              <w:spacing w:after="40"/>
            </w:pPr>
            <w:r>
              <w:rPr>
                <w:rFonts w:ascii="微软雅黑" w:hAnsi="微软雅黑" w:eastAsia="微软雅黑" w:cs="微软雅黑"/>
              </w:rPr>
              <w:t>8.07万亿千瓦时，同比增长3.9%</w:t>
            </w:r>
          </w:p>
        </w:tc>
        <w:tc>
          <w:tcPr>
            <w:tcW w:type="dxa" w:w="2268"/>
          </w:tcPr>
          <w:p>
            <w:pPr>
              <w:spacing w:after="40"/>
            </w:pPr>
            <w:r>
              <w:rPr>
                <w:rFonts w:ascii="微软雅黑" w:hAnsi="微软雅黑" w:eastAsia="微软雅黑" w:cs="微软雅黑"/>
              </w:rPr>
              <w:t>2026年前三季度</w:t>
            </w:r>
          </w:p>
        </w:tc>
        <w:tc>
          <w:tcPr>
            <w:tcW w:type="dxa" w:w="2268"/>
          </w:tcPr>
          <w:p>
            <w:pPr>
              <w:spacing w:after="40"/>
            </w:pPr>
            <w:r>
              <w:rPr>
                <w:rFonts w:ascii="微软雅黑" w:hAnsi="微软雅黑" w:eastAsia="微软雅黑" w:cs="微软雅黑"/>
              </w:rPr>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中国全国发电装机容量</w:t>
            </w:r>
          </w:p>
        </w:tc>
        <w:tc>
          <w:tcPr>
            <w:tcW w:type="dxa" w:w="2268"/>
          </w:tcPr>
          <w:p>
            <w:pPr>
              <w:spacing w:after="40"/>
            </w:pPr>
            <w:r>
              <w:rPr>
                <w:rFonts w:ascii="微软雅黑" w:hAnsi="微软雅黑" w:eastAsia="微软雅黑" w:cs="微软雅黑"/>
              </w:rPr>
              <w:t>43亿千瓦左右</w:t>
            </w:r>
          </w:p>
        </w:tc>
        <w:tc>
          <w:tcPr>
            <w:tcW w:type="dxa" w:w="2268"/>
          </w:tcPr>
          <w:p>
            <w:pPr>
              <w:spacing w:after="40"/>
            </w:pPr>
            <w:r>
              <w:rPr>
                <w:rFonts w:ascii="微软雅黑" w:hAnsi="微软雅黑" w:eastAsia="微软雅黑" w:cs="微软雅黑"/>
              </w:rPr>
              <w:t>2026年底（预测）</w:t>
            </w:r>
          </w:p>
        </w:tc>
        <w:tc>
          <w:tcPr>
            <w:tcW w:type="dxa" w:w="2268"/>
          </w:tcPr>
          <w:p>
            <w:pPr>
              <w:spacing w:after="40"/>
            </w:pPr>
            <w:r>
              <w:rPr>
                <w:rFonts w:ascii="微软雅黑" w:hAnsi="微软雅黑" w:eastAsia="微软雅黑" w:cs="微软雅黑"/>
              </w:rPr>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中国非化石能源发电装机及占总装机比重</w:t>
            </w:r>
          </w:p>
        </w:tc>
        <w:tc>
          <w:tcPr>
            <w:tcW w:type="dxa" w:w="2268"/>
          </w:tcPr>
          <w:p>
            <w:pPr>
              <w:spacing w:after="40"/>
            </w:pPr>
            <w:r>
              <w:rPr>
                <w:rFonts w:ascii="微软雅黑" w:hAnsi="微软雅黑" w:eastAsia="微软雅黑" w:cs="微软雅黑"/>
              </w:rPr>
              <w:t>约27亿千瓦，占63%左右</w:t>
            </w:r>
          </w:p>
        </w:tc>
        <w:tc>
          <w:tcPr>
            <w:tcW w:type="dxa" w:w="2268"/>
          </w:tcPr>
          <w:p>
            <w:pPr>
              <w:spacing w:after="40"/>
            </w:pPr>
            <w:r>
              <w:rPr>
                <w:rFonts w:ascii="微软雅黑" w:hAnsi="微软雅黑" w:eastAsia="微软雅黑" w:cs="微软雅黑"/>
              </w:rPr>
              <w:t>2026年底（预测）</w:t>
            </w:r>
          </w:p>
        </w:tc>
        <w:tc>
          <w:tcPr>
            <w:tcW w:type="dxa" w:w="2268"/>
          </w:tcPr>
          <w:p>
            <w:pPr>
              <w:spacing w:after="40"/>
            </w:pPr>
            <w:r>
              <w:rPr>
                <w:rFonts w:ascii="微软雅黑" w:hAnsi="微软雅黑" w:eastAsia="微软雅黑" w:cs="微软雅黑"/>
              </w:rPr>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欧洲紧急石油储备三个月释放总量</w:t>
            </w:r>
          </w:p>
        </w:tc>
        <w:tc>
          <w:tcPr>
            <w:tcW w:type="dxa" w:w="2268"/>
          </w:tcPr>
          <w:p>
            <w:pPr>
              <w:spacing w:after="40"/>
            </w:pPr>
            <w:r>
              <w:rPr>
                <w:rFonts w:ascii="微软雅黑" w:hAnsi="微软雅黑" w:eastAsia="微软雅黑" w:cs="微软雅黑"/>
              </w:rPr>
              <w:t>4200万桶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0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0634">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欧洲此次释储折合日均释放量</w:t>
            </w:r>
          </w:p>
        </w:tc>
        <w:tc>
          <w:tcPr>
            <w:tcW w:type="dxa" w:w="2268"/>
          </w:tcPr>
          <w:p>
            <w:pPr>
              <w:spacing w:after="40"/>
            </w:pPr>
            <w:r>
              <w:rPr>
                <w:rFonts w:ascii="微软雅黑" w:hAnsi="微软雅黑" w:eastAsia="微软雅黑" w:cs="微软雅黑"/>
              </w:rPr>
              <w:t>约46万桶/日</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0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0634">
              <w:r>
                <w:rPr>
                  <w:rFonts w:ascii="微软雅黑" w:hAnsi="微软雅黑" w:eastAsia="微软雅黑" w:cs="微软雅黑"/>
                  <w:color w:val="087E89"/>
                </w:rPr>
                <w:t>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欧洲三个月内释放4200万桶石油储备，一半为柴油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法国经济部长罗兰·莱斯屈尔表示，为赶在冬季来临前压低燃料价格，欧洲将在未来三个月内释放4200万桶紧急石油储备，其中一半为柴油。法国份额含1000万桶柴油，将在未来几天内以成本价进入市场。这是法国首次专门为压低油价释放战略储备，属G7四个月内释放至多1亿桶计划及IEA协调的4亿桶紧急释放总量之内，并非额外一轮抛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国的份额包含1000万桶柴油，将在数日内开始进入市场、按成本价供应，预计可使柴油价格每升下降12至18欧分，最早下周见效，该批柴油约占法国柴油战略储备总量的五分之一，投放后不再补库。整体释储折合三个月内日均约46万桶，其中柴油约23万桶/日。此举是七国集团10月达成的四个月内释放至多1亿桶计划的一部分，计入IEA协调的4亿桶总量，IEA治理委员会10月15日声明将加速释放剩余储备、尽快投放逾2000万桶柴油，部分成员国实际释放量已超过3月承诺的4亿桶。IEA测算中东成品油出口至今不足战前一半，柴油留有约60万桶/日缺口；柴油裂解价差由冲突前每桶20—40美元升至10月约100美元。欧盟能源专员约根森称过去二十年以关停炼厂为主的炼油战略是错误，次日欧盟部长会议在卢森堡举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明确的影响包括：法国1000万桶柴油按成本价供应预计使柴油价格每升降价12至18欧分，最早下周即可见价格反应；分销商被鼓励最早自11月1日起宣传降价，偏远地区小型分销商可获无息贷款。IEA称欧洲释储的23万桶/日柴油仅属对百万桶量级缺口的边际补充。</w:t>
      </w:r>
    </w:p>
    <w:p>
      <w:pPr>
        <w:ind w:firstLine="420"/>
      </w:pPr>
      <w:r>
        <w:rPr>
          <w:rFonts w:ascii="微软雅黑" w:hAnsi="微软雅黑" w:eastAsia="微软雅黑" w:cs="微软雅黑"/>
        </w:rPr>
        <w:t>来源：</w:t>
      </w:r>
      <w:hyperlink w:anchor="source-30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0634">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2. 卡塔尔能源与Woodside签20年长约，购入300万吨/年美国LNG</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卡塔尔能源（QatarEnergy）与Woodside Energy (LA) Investments LLC签署长期销售与采购协议（SPA），购买美国墨西哥湾沿岸在建的路易斯安那LNG项目300万吨/年LNG，交货以船上交货（FOB）方式执行。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协议预计自2030年开始供货，供货期20年。签约仪式由卡塔尔能源总裁兼首席执行官兼能源事务国务大臣Saad Sherida Al-Kaabi和Woodside Energy首席执行官兼董事总经理Liz Westcott出席。Al-Kaabi表示新增气量使卡塔尔能源成为美国LNG的最大买家，并使其在满足全球不断增长的LNG需求方面处于更有利位置；他称Golden Pass LNG项目以及不断扩大的美国LNG采购组合强化了卡塔尔能源在LNG行业的领导地位。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Al-Kaabi表示Golden Pass LNG项目及扩大的美国LNG采购组合强化了卡塔尔能源在LNG行业的领导地位，并支持其长期增长与多元化战略。</w:t>
      </w:r>
    </w:p>
    <w:p>
      <w:pPr>
        <w:ind w:firstLine="420"/>
      </w:pPr>
      <w:r>
        <w:rPr>
          <w:rFonts w:ascii="微软雅黑" w:hAnsi="微软雅黑" w:eastAsia="微软雅黑" w:cs="微软雅黑"/>
        </w:rPr>
        <w:t>来源：</w:t>
      </w:r>
      <w:hyperlink w:anchor="source-30467">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3. GE Vernova拟90亿美元收购Trench Group，燃气轮机订单预留放缓</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GE Vernova将以90亿美元收购高压电网设备制造商Trench Group，双方预计2027年末完成交易；同时公司称第三季度燃气轮机订单和机组预留协议放缓，已签约燃气轮机容量仅增加6 GW。</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CEO斯科特·斯特拉齐克称公司第三季度交出“强劲的财务业绩”，尽管燃气轮机订单和机组预留协议放缓。已签约燃气轮机容量从上季度116 GW增至122 GW，仅增加6 GW，而2026年早些时候为两位数吉瓦的季度增幅。公司预计下季度整体订单积压将超过2000亿美元，到年底至少有130 GW燃气发电设备处于合同状态；目前已开始接受2032年交付的机组预留，需求约80%来自“传统客户”、20%来自数据中心客户。Trench拥有800多家公用事业和超大规模客户，交易包括约50亿美元订单积压和框架协议。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设备价格结构优化与航改型燃机占比提升推动第三季度定价较2025年第四季度高出逾20%，2026全年订单定价预计同比上涨50%。Trench交易包含约50亿美元订单积压和框架协议，部分延伸至下一个十年。</w:t>
      </w:r>
    </w:p>
    <w:p>
      <w:pPr>
        <w:ind w:firstLine="420"/>
      </w:pPr>
      <w:r>
        <w:rPr>
          <w:rFonts w:ascii="微软雅黑" w:hAnsi="微软雅黑" w:eastAsia="微软雅黑" w:cs="微软雅黑"/>
        </w:rPr>
        <w:t>来源：</w:t>
      </w:r>
      <w:hyperlink w:anchor="source-30775">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4. 9月原煤产量降幅收窄、煤炭进口同比转降</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国内原煤产量降幅收窄、日均产量创5月以来最高，而煤炭进口量同比转为下降。国家统计局数据显示9月全国规上工业原煤产量3.9亿吨，同比下降6.8%，降幅较8月收窄0.9个百分点；海关总署数据显示9月进口煤炭4336.9万吨，同比下降5.7%，但较8月环比增长3.0%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统计局数据显示，9月全国规上工业原煤产量3.9亿吨，同比下降6.8%，降幅比8月收窄0.9个百分点，日均产量1284万吨，为5月以来最高；1至9月累计产量34.5亿吨，同比下降3.5%。分省看，山西9月煤炭产量7882.6万吨，同比减少31.3%，连续第4个月减产超三成，6月至9月同比累计减产14238.9万吨。海关总署数据显示，9月全国进口煤炭4336.9万吨，较去年同期4600.3万吨减少263.4万吨、下降5.7%，较8月4209.2万吨增加127.7万吨、增长3.0%；1至9月累计进口35354.3万吨，同比增长2.2%。</w:t>
      </w:r>
    </w:p>
    <w:p>
      <w:pPr>
        <w:ind w:firstLine="420"/>
      </w:pPr>
      <w:r>
        <w:rPr>
          <w:rFonts w:ascii="微软雅黑" w:hAnsi="微软雅黑" w:eastAsia="微软雅黑" w:cs="微软雅黑"/>
        </w:rPr>
        <w:t>来源：</w:t>
      </w:r>
      <w:hyperlink w:anchor="source-3039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5. NRC就帕迪尤卡激光浓缩厂发布最终环评并建议发证</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美国核管会（NRC）已就Global Laser Enrichment（GLE）拟建的帕迪尤卡激光浓缩厂（PLEF）发布最终环境影响声明（FEIS），建议发放建设与运行许可证。这是环境审查阶段的结论，并不等于已获正式许可。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美国核管会（NRC）已就Global Laser Enrichment拟建的帕迪尤卡激光浓缩厂（PLEF）发布最终环境影响声明（FEIS），建议发放建设与运行许可证。项目将采用下一代SILEX激光浓缩技术，对2013年停止的遗留运营留存的厂内贫铀尾料进行再浓缩，生产天然品位铀；许可将授权生产标准LEU（铀-235丰度最高5%）及LEU+（最高8%）。环境审查认定建设与运行在地表水、生态、交通和社会经济四方面的影响属“较小”至“中等”，其中社会经济影响大多为正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许可将授权生产标准LEU与LEU+，后者为旨在改善核电经济性的新型燃料等级。</w:t>
      </w:r>
    </w:p>
    <w:p>
      <w:pPr>
        <w:ind w:firstLine="420"/>
      </w:pPr>
      <w:r>
        <w:rPr>
          <w:rFonts w:ascii="微软雅黑" w:hAnsi="微软雅黑" w:eastAsia="微软雅黑" w:cs="微软雅黑"/>
        </w:rPr>
        <w:t>来源：</w:t>
      </w:r>
      <w:hyperlink w:anchor="source-30853">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桑迪亚将与能源部核安全副部长联合发布核技术新举措</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桑迪亚国家实验室领导层将与美国能源部核安全副部长布兰登·威廉姆斯共同举行新闻发布会，宣布一项聚焦与研究机构及区域伙伴合作、推进支撑国家能源需求技术的新举措，并表彰桑迪亚对先进核能研究的贡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闻发布会定于2026年10月30日（星期五）上午10时（山地时间）在新墨西哥州阿尔伯克基市东尤班克大道601号国家核科学与历史博物馆一层大厅（邮编87123）举行。美国能源部核安全副部长布兰登·威廉姆斯将与桑迪亚领导层共同出席并发表讲话，重点介绍该实验室的研究及其对美国能源未来的贡献；桑迪亚出席人员包括负责综合安全任务的副实验室主任黛博拉·弗林克。该举措将聚焦与研究机构及区域伙伴合作，推进支撑国家能源需求的技术。</w:t>
      </w:r>
    </w:p>
    <w:p>
      <w:pPr>
        <w:ind w:firstLine="420"/>
      </w:pPr>
      <w:r>
        <w:rPr>
          <w:rFonts w:ascii="微软雅黑" w:hAnsi="微软雅黑" w:eastAsia="微软雅黑" w:cs="微软雅黑"/>
        </w:rPr>
        <w:t>来源：</w:t>
      </w:r>
      <w:hyperlink w:anchor="source-30087">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7. 澳大利亚拟要求数据中心证明确定电源否则可被断电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气候变化与能源部长克里斯·鲍恩向能源市场委员会（AEMC）提出电力市场规则变更请求，拟修订《国家电力规则》：若数据中心无法证明拥有足够的确定电源合同，监管机构AER可要求其削减负荷或被切断电网连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则变更请求称，新增负荷规模可能对可靠性、系统安全和批发电价造成风险，除非有足够的发电、储能和可靠的需求侧灵活性支撑。受约束的合格数据中心须具备反映其用电规模与特性的可接受确定化安排，将新增需求与新增发电和储能挂钩，并辅以可靠的需求侧灵活性；可通过同一区域发电与储能运营商出售的购电协议、cap合同、容量代购协议组合及表后储能、需求响应证明确定度。Transgrid正就接入8 GW数据中心负荷深入谈判，该规模相当于新南威尔士州平均每日7.5 GW至10 GW峰谷之间的全部需求；AEMO 2026年综合系统计划“渐进变革”情景预测到2030年数据中心负荷增至约三倍，占国家电力市场用电量6%；墨尔本都会区收到超过18 GW大型负荷并网咨询。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来源称缺乏适当安排时，满足数据中心需求所产生的成本和风险可能由电力消费者承担；该规则变更意在推动数据中心所在同一辖区新增可再生能源发电、储能和需求灵活性投资提前落地。</w:t>
      </w:r>
    </w:p>
    <w:p>
      <w:pPr>
        <w:ind w:firstLine="420"/>
      </w:pPr>
      <w:r>
        <w:rPr>
          <w:rFonts w:ascii="微软雅黑" w:hAnsi="微软雅黑" w:eastAsia="微软雅黑" w:cs="微软雅黑"/>
        </w:rPr>
        <w:t>来源：</w:t>
      </w:r>
      <w:hyperlink w:anchor="source-30326">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8. ENGIE宣布印度Khaba与Khavda两座光伏项目全面投运</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ENGIE宣布印度两个大型太阳能项目全面投运：位于拉贾斯坦邦巴尔默的Khaba项目（装机250 MW）和位于古吉拉特邦卡奇沼泽的Khavda项目（200 MW），合计新增450 MW光伏容量。ENGIE表示印度是其关键增长市场。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Khaba项目位于拉贾斯坦邦巴尔默（Barmer），装机250 MW，由ENGIE全资子公司Khaba Renewable Energy Private Limited开发，预计每年发电约650 GWh可再生电力，每年可避免排放近180 000吨二氧化碳。Khavda项目位于古吉拉特邦卡奇沼泽（Rann de Kutch）的Khavda Renewable Energy Park内，由Enren II Energy Private Limited开发，年产电量约350 GWh，并依据25年购电协议（PPA）向Gujarat Urja Vikas Nigam Limited供电。两个项目建设期间动用的劳动力中约80%为当地招聘。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ENGIE在印度已有约2 GW容量处于运营或建设中，策略是将可再生电力生产与灵活性解决方案结合，以应对可靠、低碳电力需求增长。</w:t>
      </w:r>
    </w:p>
    <w:p>
      <w:pPr>
        <w:ind w:firstLine="420"/>
      </w:pPr>
      <w:r>
        <w:rPr>
          <w:rFonts w:ascii="微软雅黑" w:hAnsi="微软雅黑" w:eastAsia="微软雅黑" w:cs="微软雅黑"/>
        </w:rPr>
        <w:t>来源：</w:t>
      </w:r>
      <w:hyperlink w:anchor="source-30773">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9. 印度联邦政府决定推动更多漂浮式光伏项目并给予投资激励</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印度联邦政府决定推动更多漂浮式光伏项目，并通过投资和激励措施支持这一目标。2026年印度已投运的漂浮式光伏装机约为700 MW。</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印度联邦政府决定推动更多漂浮式光伏项目，并通过投资和激励措施支持这一目标。2026年印度已投运的漂浮式光伏装机约为700 MW。政府方面的决定与激励措施面向更多漂浮式光伏项目，报道未列出具体项目名单、投运时间或资金规模。</w:t>
      </w:r>
    </w:p>
    <w:p>
      <w:pPr>
        <w:ind w:firstLine="420"/>
      </w:pPr>
      <w:r>
        <w:rPr>
          <w:rFonts w:ascii="微软雅黑" w:hAnsi="微软雅黑" w:eastAsia="微软雅黑" w:cs="微软雅黑"/>
        </w:rPr>
        <w:t>来源：</w:t>
      </w:r>
      <w:hyperlink w:anchor="source-30759">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10. Aker BP完成Yggdrasil与Valhall PWP上部模块安装</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Aker BP表示第三季度是其项目史上最重要的季度之一，两个最大的挪威开发项目海上安装进入投产前最后阶段：Yggdrasil项目的Hugin B和Munin上部模块本季度完成安装，主要水下组件已就位；Valhall PWP-Fenris项目的Valhall PWP上部模块也已安装完成，两个项目按计划推进。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在Yggdrasil项目，Hugin B和Munin上部模块于本季度完成安装，所有主要水下组件现已就位，海上连接与调试工作正在进行中；属于Valhall PWP-Fenris项目的Valhall PWP上部模块也已安装完成。本季度净产量平均374,000桶油当量/日（boed），反映计划内检修影响；净销售量环比增长5%至396,000 boed；公司重申全年产量指引380,000至400,000 boed。</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CEO Karl Johnny Hersvik称已进入面向两个项目明年夏天投产的最后阶段，并称提前投产“证明了我们的执行能力，以及通过现有基础设施开发新资源的价值”。</w:t>
      </w:r>
    </w:p>
    <w:p>
      <w:pPr>
        <w:ind w:firstLine="420"/>
      </w:pPr>
      <w:r>
        <w:rPr>
          <w:rFonts w:ascii="微软雅黑" w:hAnsi="微软雅黑" w:eastAsia="微软雅黑" w:cs="微软雅黑"/>
        </w:rPr>
        <w:t>来源：</w:t>
      </w:r>
      <w:hyperlink w:anchor="source-30687">
        <w:r>
          <w:rPr>
            <w:rFonts w:ascii="微软雅黑" w:hAnsi="微软雅黑" w:eastAsia="微软雅黑" w:cs="微软雅黑"/>
            <w:color w:val="087E89"/>
          </w:rPr>
          <w:t>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11. 第17届新疆矿博会与第22届新疆煤博会定于2027年7月15—17日举办</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丝路矿业合作论坛暨第17届中国新疆国际矿业与装备博览会、第22届中国新疆国际煤炭工业博览会定于2027年7月15日—17日在乌鲁木齐新疆国际会展中心举办，总展示面积13.5万平方米。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丝路矿业合作论坛暨第17届中国新疆国际矿业与装备博览会、第22届中国新疆国际煤炭工业博览会定于2027年7月15日—17日在乌鲁木齐新疆国际会展中心举办，展会总展示面积达13.5万平方米。大会立足“十五五”时期矿业高质量发展需求，拟邀哈萨克斯坦、乌兹别克斯坦、吉尔吉斯斯坦、塔吉克斯坦、蒙古国、俄罗斯、印度尼西亚等多国矿业、煤炭行业机构采购团；2026年大会举办的中国-中亚采购对接大会中，境外43家采购企业、国内233家装备制造企业现场对接。展览设置绿色矿山与生态修复、智慧数字矿山、矿用无人驾驶、矿用机器人、煤化工、矿山光储充一体化、算电一体化等板块，会期配套举办中亚国际能源产业博览会暨电力装备博览会、新疆现代煤化工产业链发展大会等。除乌鲁木齐主会场外，计划2027年在乌兹别克斯坦塔什干、吉尔吉斯斯坦比什凯克、哈萨克斯坦阿斯塔纳举办专场采购对接会议，并在哈密、和田、喀什、克州、伊犁等地开展实地资源对接活动。</w:t>
      </w:r>
    </w:p>
    <w:p>
      <w:pPr>
        <w:ind w:firstLine="420"/>
      </w:pPr>
      <w:r>
        <w:rPr>
          <w:rFonts w:ascii="微软雅黑" w:hAnsi="微软雅黑" w:eastAsia="微软雅黑" w:cs="微软雅黑"/>
        </w:rPr>
        <w:t>来源：</w:t>
      </w:r>
      <w:hyperlink w:anchor="source-30517">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12. 中国石油前三季度归母净利润同比增长21.9%，业绩创历史同期最好水平</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中国石油10月28日晚发布2026年三季报，前三季度按国际财务报告准则营业收入23,210.64亿元，同比增长7.0%；归母净利润1,557.76亿元，同比增长21.9%，经营业绩再创历史同期最好水平。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按国际财务报告准则，前三季度营业收入人民币23,210.64亿元，同比增长7.0%；归属于母公司股东的净利润人民币1,557.76亿元，同比增长21.9%；按中国企业会计准则归母净利润为1557.73亿元，同比增长21.9%，业绩为历史同期最好水平。前三季度油气和新能源业务经营利润1520.23亿元，同比增长19.7%；炼油化工和新材料业务经营利润231.32亿元，同比增长42.4%；销售业务经营利润145.00亿元，同比增长24.7%。</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公司称正应对新能源替代加速、成品油需求下降等市场变化，大力发展车用LNG加注、充换电和非油业务。</w:t>
      </w:r>
    </w:p>
    <w:p>
      <w:pPr>
        <w:ind w:firstLine="420"/>
      </w:pPr>
      <w:r>
        <w:rPr>
          <w:rFonts w:ascii="微软雅黑" w:hAnsi="微软雅黑" w:eastAsia="微软雅黑" w:cs="微软雅黑"/>
        </w:rPr>
        <w:t>来源：</w:t>
      </w:r>
      <w:hyperlink w:anchor="source-30519">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3015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13. 哥伦比亚产气递减，LNG进口占比持续上升</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随着国内产量持续下降，哥伦比亚液化天然气（LNG）进口增加，LNG进口已占该国天然气供应的更大比重；主要产气田自2022年以来持续递减，尚无大型发现投产接替。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随着国内产量持续下降，哥伦比亚LNG进口增加，已占该国天然气供应的更大比重。主要产气田Cusiana、Cupiagua、Pauto Sur以及近海的Guajira气田自2022年以来持续递减，尚无大型发现投产接替。据哥伦比亚国家碳氢化合物局数据，2022年至2025年间证实储量下降39%至1.7万亿立方英尺。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LNG进口在哥伦比亚天然气供应中所占比重上升。</w:t>
      </w:r>
    </w:p>
    <w:p>
      <w:pPr>
        <w:ind w:firstLine="420"/>
      </w:pPr>
      <w:r>
        <w:rPr>
          <w:rFonts w:ascii="微软雅黑" w:hAnsi="微软雅黑" w:eastAsia="微软雅黑" w:cs="微软雅黑"/>
        </w:rPr>
        <w:t>来源：</w:t>
      </w:r>
      <w:hyperlink w:anchor="source-30640">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14. 山西推进煤矿复产增产保供，停产影响产能收窄至3600万吨以下</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国家发展改革委、国家能源局等部门在山西召开加快煤矿复产增产保供工作推进会。三部委《关于做好煤炭安全稳产稳供工作的通知》指出，符合安全生产条件的，经省级人民政府同意，今年12月底前单月可按照不高于设计（核定）能力的1/12组织剩余月份生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5・22矿难后山西大规模停产，最高影响产能达1.56亿吨，此后随多轮复产工作推进持续回落，目前已收窄至3600万吨以下。山西已连续4个月原煤产量同比降幅超30%；10月以来产量进一步恢复，三超一隐蔽行为、外包人员等受到明显抑制，产量同比仍有较大差距。政策向产量转化仍需观察：民营煤矿相对谨慎、增产意愿不足，部分国有大矿完成核定产能任务、工作面衔接等客观条件受限，复产煤矿整体产量仍相对偏低。</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山西大规模停产对晋中南炼焦煤核心产区影响较为直接。</w:t>
      </w:r>
    </w:p>
    <w:p>
      <w:pPr>
        <w:ind w:firstLine="420"/>
      </w:pPr>
      <w:r>
        <w:rPr>
          <w:rFonts w:ascii="微软雅黑" w:hAnsi="微软雅黑" w:eastAsia="微软雅黑" w:cs="微软雅黑"/>
        </w:rPr>
        <w:t>来源：</w:t>
      </w:r>
      <w:hyperlink w:anchor="source-30678">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15. 山东建成“五交四直一环网”特高压交直流混联大电网</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自10年前锡盟—山东1000千伏特高压交流输变电工程投运、2014年11月4日开工以来，山东特高压建设体量领跑全国；2020年1月4日山东—河北1000千伏交流环网投运后电网接纳外电能力升至2700万千瓦以上，2025年5月8日陇东—山东±800千伏直流投运后形成“五交四直一环网”国内规模最大省域交直流混联大电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2014年5月16日国家能源局批准建设“四交四直”8项特高压工程，其中“两交一直”3项落点山东（锡盟—山东、榆横—潍坊1000千伏交流，上海庙—山东±800千伏直流），另有晋北—江苏、锡盟—泰州两条±800千伏直流过境山东；该次批复中山东所占规模最大、投资最多。2014年11月4日锡盟—山东1000千伏特高压交流输变电工程开工，被称为“特高压入鲁第一工程”；2015年榆横—潍坊、上海庙—山东相继开工，新建交流线路长度、新增变电容量约占国网同期特高压交流工程的三分之一，新建直流线路长度、新增换流容量约占同期特高压直流工程的四分之一。2020年1月4日山东—河北1000千伏特高压交流环网工程建成投运，山东电网建成“五交三直一环网”，接纳外电能力跃升至2700万千瓦以上。2025年5月8日陇东—山东±800千伏直流工程建成投运后，山东建成“五交四直一环网”国内规模最大省域交直流混联大电网，特高压站点数量全国第一。2025年8月24日锡盟—山东工程累计输送电量突破1000亿千瓦时，助力京津冀鲁地区每年节约燃煤2240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2025年山东共接纳省外来电1685.9亿千瓦时，占全省全社会用电量的19.4%，接近两成；锡盟—山东工程助力京津冀鲁地区每年节约燃煤2240万吨。</w:t>
      </w:r>
    </w:p>
    <w:p>
      <w:pPr>
        <w:ind w:firstLine="420"/>
      </w:pPr>
      <w:r>
        <w:rPr>
          <w:rFonts w:ascii="微软雅黑" w:hAnsi="微软雅黑" w:eastAsia="微软雅黑" w:cs="微软雅黑"/>
        </w:rPr>
        <w:t>来源：</w:t>
      </w:r>
      <w:hyperlink w:anchor="source-3032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16. 中电联预测2026年底全国装机43亿千瓦，非化石能源占63%左右</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电力企业联合会10月29日发布《2026年三季度全国电力供需形势分析预测报告》，预计2026年底全国发电装机容量达43亿千瓦左右，非化石能源发电装机约27亿千瓦、占总装机63%左右；预测四季度电力消费增速较三季度明显回升，迎峰度冬全国电力供需形势总体平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称前三季度全社会用电量8.07万亿千瓦时，同比增长3.9%；新增发电装机2.5亿千瓦，其中风电和太阳能合计新增1.7亿千瓦，占新增总容量67.8%。截至9月底全国全口径发电装机41.3亿千瓦，同比增长11.2%，非化石能源发电装机25.9亿千瓦，同比增长14.4%，占比逾62%。报告预计2026年全年新增装机有望超3.5亿千瓦，到年底全国发电装机约43亿千瓦，非化石能源装机约27亿千瓦、占比约63%，风光装机达总装机一半，煤电占比降至31%左右；预测四季度电力消费增速较三季度明显回升，全年用电量约10.8万亿千瓦时，同比增长4%至4.5%。</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报告指出迎峰度冬期间全国电力供需形势总体平衡，若出现大面积寒潮天气、一次能源供应紧张等极端情况，局地高峰时段可能出现电力供需偏紧。</w:t>
      </w:r>
    </w:p>
    <w:p>
      <w:pPr>
        <w:ind w:firstLine="420"/>
      </w:pPr>
      <w:r>
        <w:rPr>
          <w:rFonts w:ascii="微软雅黑" w:hAnsi="微软雅黑" w:eastAsia="微软雅黑" w:cs="微软雅黑"/>
        </w:rPr>
        <w:t>来源：</w:t>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17. 9月全国核发绿证3.26亿个，交易5843万个同比减少10.23%</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国家能源局发布2026年9月全国可再生能源绿色电力证书核发及交易数据：当月核发绿证3.26亿个，环比减少8.01%，涉及项目439.71万个；全国交易绿证5843万个，同比减少10.23%。</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9月国家能源局核发绿证3.26亿个，环比减少8.01%，涉及可再生能源发电项目439.71万个；其中可交易绿证1.97亿个，占比60.45%；2026年8月可再生能源电量对应绿证3.06亿个，占比93.95%。9月全国交易绿证5843万个，环比减少3.49%、同比减少10.23%；其中绿色电力交易绿证1898万个，环比减少25.61%、同比减少9.56%，单独交易绿证3945万个，环比增长12.63%、同比减少10.55%。按电量生产年划分：2024年绿证交易202万个、平均0.56元/个；2025年交易1299万个、平均1.60元/个；2026年交易2443万个、平均6.16元/个。</w:t>
      </w:r>
    </w:p>
    <w:p>
      <w:pPr>
        <w:ind w:firstLine="420"/>
      </w:pPr>
      <w:r>
        <w:rPr>
          <w:rFonts w:ascii="微软雅黑" w:hAnsi="微软雅黑" w:eastAsia="微软雅黑" w:cs="微软雅黑"/>
        </w:rPr>
        <w:t>来源：</w:t>
      </w:r>
      <w:hyperlink w:anchor="source-30384">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18. 国家能源局：9月核发绿证3.26亿个，交易5843万个环比减少</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国家能源局发布2026年9月全国可再生能源绿色电力证书核发及交易数据：当月核发绿证3.26亿个，环比减少8.01%；全国交易绿证5843万个，环比减少3.49%、同比减少10.23%，其中单独交易绿证环比增长12.63%。</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9月，国家能源局核发绿证3.26亿个，环比减少8.01%，涉及可再生能源发电项目439.71万个，其中可交易绿证1.97亿个，占比60.45%；对应2026年8月可再生能源电量的绿证为3.06亿个，占比93.95%。当月全国交易绿证5843万个，环比减少3.49%，同比减少10.23%；其中绿色电力交易绿证1898万个，环比减少25.61%，同比减少9.56%；单独交易绿证3945万个，环比增长12.63%，同比减少10.55%。按电量生产年划分：2024年绿证交易202万个，平均价格0.56元/个；2025年绿证交易1299万个，平均价格1.60元/个；2026年绿证交易2443万个，平均价格6.16元/个。</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不同电量生产年绿证平均价格差异明显：2024年0.56元/个、2025年1.60元/个、2026年6.16元/个。</w:t>
      </w:r>
    </w:p>
    <w:p>
      <w:pPr>
        <w:ind w:firstLine="420"/>
      </w:pPr>
      <w:r>
        <w:rPr>
          <w:rFonts w:ascii="微软雅黑" w:hAnsi="微软雅黑" w:eastAsia="微软雅黑" w:cs="微软雅黑"/>
        </w:rPr>
        <w:t>来源：</w:t>
      </w:r>
      <w:hyperlink w:anchor="source-30512">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19. 上海华声电气获评2026年度优质光伏EPC/投资企业</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上海华声电气集团在2026世界太阳能光伏&amp;储能产业博览会颁奖盛典上获评“2026年度优质光伏EPC/投资企业”称号，其工商业分布式光伏投建营一体化业务布局覆盖上海、川渝、华南等地。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上海华声电气集团在2026世界太阳能光伏&amp;储能产业博览会颁奖盛典上获评“2026年度优质光伏EPC/投资企业”称号。本届博览会以“技术协同、光储融合”为核心方向，集中展示TOPCon、HJT、钙钛矿等高效光伏电池技术、长时储能系统、液冷储能方案、AI智慧能源运维等成果；同期举办的光储行业高质量发展大会围绕“十五五”新型电力系统构建、分布式光伏规模化落地、海外市场战略布局等议题研讨。华声电气业务布局覆盖上海、川渝、华南等全国多地，采用标准化管控，打造投建营一体化服务模式，覆盖勘测、方案定制、施工、并网交付及后期运维，并为制造、酒店、医院、学校、产业园等客户提供定制化光伏解决方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公司表示可通过EMC合同能源管理等合作模式帮助客户降本增效。</w:t>
      </w:r>
    </w:p>
    <w:p>
      <w:pPr>
        <w:ind w:firstLine="420"/>
      </w:pPr>
      <w:r>
        <w:rPr>
          <w:rFonts w:ascii="微软雅黑" w:hAnsi="微软雅黑" w:eastAsia="微软雅黑" w:cs="微软雅黑"/>
        </w:rPr>
        <w:t>来源：</w:t>
      </w:r>
      <w:hyperlink w:anchor="source-30899">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20. 中科院南京地质古生物所发布精时古地理平台</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科学院南京地质古生物研究所科研团队研发的精时古地理平台发布，该平台针对油气资源勘探开发，集多元数据管理、精时地层对比、沉积相智能判识、古地理定量重建、图件自动生成、三维地质建模与资源量评价等功能于一体，旨在解决传统古地理研究数据整合难度大、时间分辨率低、制图效率差等瓶颈问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平台以四川盆地及周缘页岩气主力产层五峰组—龙马溪组黑色页岩为先导性研究对象，系统梳理整合三千余篇文献资料，收录上千条剖面与钻井数据，建立高精度地层对比框架，完成一系列“十万年级”、连续动态的岩相古地理图、烃源岩厚度分布图和古地形图，以及五峰组—龙马溪组空间分布和古环境、油气地质指标等的三维地质建模。成果揭示优质烃源岩时空分布规律、沉积中心演变迁移过程及高有机质富集的古地理控制作用。目前相关地层划分对比和古地理重建成果已逐步在涪陵、长宁、威远等页岩气田推广应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相关地层划分对比和古地理重建成果已逐步在涪陵、长宁、威远等页岩气田推广应用，为页岩气区块评价和井位部署提供科学依据。</w:t>
      </w:r>
    </w:p>
    <w:p>
      <w:pPr>
        <w:ind w:firstLine="420"/>
      </w:pPr>
      <w:r>
        <w:rPr>
          <w:rFonts w:ascii="微软雅黑" w:hAnsi="微软雅黑" w:eastAsia="微软雅黑" w:cs="微软雅黑"/>
        </w:rPr>
        <w:t>来源：</w:t>
      </w:r>
      <w:hyperlink w:anchor="source-30341">
        <w:r>
          <w:rPr>
            <w:rFonts w:ascii="微软雅黑" w:hAnsi="微软雅黑" w:eastAsia="微软雅黑" w:cs="微软雅黑"/>
            <w:color w:val="087E89"/>
          </w:rPr>
          <w:t>17</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供货预计自2030年开始，协议所述美国LNG项目仍在建；协议反映卡塔尔能源对LNG在全球能源结构中长期作用的持续信心。 </w:t>
      </w:r>
      <w:hyperlink w:anchor="source-30467">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正式许可决定前最后一关为最终安全评价报告（SER），NRC预计于2026年底前出具。 </w:t>
      </w:r>
      <w:hyperlink w:anchor="source-3085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两个项目仍有望在明年夏天实现首次投产，尚未实现投产；海上连接与调试工作仍在进行中。 </w:t>
      </w:r>
      <w:hyperlink w:anchor="source-3068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若出现大面积寒潮、一次能源供应紧张等极端情况，局地高峰时段电力供需可能偏紧；风光装机达总装机一半、煤电占比降至31%左右均为报告预测值，尚待实际数据验证。 </w:t>
      </w:r>
      <w:hyperlink w:anchor="source-30641">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065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IEA指出中东成品油出口不足战前一半、柴油缺口约60万桶/日，叠加俄罗斯7月柴油出口禁令与炼厂遭袭，俄柴油出口已从常年70万—90万桶/日降至10万—20万桶/日；欧洲仍保留进一步释放储备的可能，是否再释放未定；拟议放宽技术性要求让在运营炼厂提产尚待欧盟部长会议决定。 </w:t>
      </w:r>
      <w:hyperlink w:anchor="source-30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0634">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金融罚款按日、按月或其他周期累计的方式仍需进一步设计；若罚款不足以形成威慑，AER权力可辅以“削减负荷”处罚。 </w:t>
      </w:r>
      <w:hyperlink w:anchor="source-30326">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468 篇文章，形成 333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17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30467"/>
      <w:bookmarkEnd w:id="1" w:name="source-30467"/>
    </w:p>
    <w:p>
      <w:pPr>
        <w:pStyle w:val="ListBullet"/>
      </w:pPr>
      <w:r>
        <w:rPr>
          <w:rFonts w:ascii="微软雅黑" w:hAnsi="微软雅黑" w:eastAsia="微软雅黑" w:cs="微软雅黑"/>
        </w:rPr>
        <w:t>[1] 卡塔尔能源｜</w:t>
      </w:r>
      <w:hyperlink r:id="rId11">
        <w:r>
          <w:rPr>
            <w:rFonts w:ascii="微软雅黑" w:hAnsi="微软雅黑" w:eastAsia="微软雅黑" w:cs="微软雅黑"/>
            <w:color w:val="087E89"/>
          </w:rPr>
          <w:t>卡塔尔能源将从Woodside Energy购买300万吨/年美国LNG，为期20年</w:t>
        </w:r>
      </w:hyperlink>
      <w:r>
        <w:rPr>
          <w:rFonts w:ascii="微软雅黑" w:hAnsi="微软雅黑" w:eastAsia="微软雅黑" w:cs="微软雅黑"/>
        </w:rPr>
      </w:r>
    </w:p>
    <w:p>
      <w:pPr>
        <w:spacing w:after="0" w:line="20" w:lineRule="exact"/>
      </w:pPr>
      <w:bookmarkStart w:id="2" w:name="source-30853"/>
      <w:bookmarkEnd w:id="2" w:name="source-30853"/>
    </w:p>
    <w:p>
      <w:pPr>
        <w:pStyle w:val="ListBullet"/>
      </w:pPr>
      <w:r>
        <w:rPr>
          <w:rFonts w:ascii="微软雅黑" w:hAnsi="微软雅黑" w:eastAsia="微软雅黑" w:cs="微软雅黑"/>
        </w:rPr>
        <w:t>[2] Nuclear Engineering International｜</w:t>
      </w:r>
      <w:hyperlink r:id="rId12">
        <w:r>
          <w:rPr>
            <w:rFonts w:ascii="微软雅黑" w:hAnsi="微软雅黑" w:eastAsia="微软雅黑" w:cs="微软雅黑"/>
            <w:color w:val="087E89"/>
          </w:rPr>
          <w:t>帕迪尤卡项目向许可审批推进</w:t>
        </w:r>
      </w:hyperlink>
      <w:r>
        <w:rPr>
          <w:rFonts w:ascii="微软雅黑" w:hAnsi="微软雅黑" w:eastAsia="微软雅黑" w:cs="微软雅黑"/>
        </w:rPr>
      </w:r>
    </w:p>
    <w:p>
      <w:pPr>
        <w:spacing w:after="0" w:line="20" w:lineRule="exact"/>
      </w:pPr>
      <w:bookmarkStart w:id="3" w:name="source-30687"/>
      <w:bookmarkEnd w:id="3" w:name="source-30687"/>
    </w:p>
    <w:p>
      <w:pPr>
        <w:pStyle w:val="ListBullet"/>
      </w:pPr>
      <w:r>
        <w:rPr>
          <w:rFonts w:ascii="微软雅黑" w:hAnsi="微软雅黑" w:eastAsia="微软雅黑" w:cs="微软雅黑"/>
        </w:rPr>
        <w:t>[3] World Oil｜</w:t>
      </w:r>
      <w:hyperlink r:id="rId13">
        <w:r>
          <w:rPr>
            <w:rFonts w:ascii="微软雅黑" w:hAnsi="微软雅黑" w:eastAsia="微软雅黑" w:cs="微软雅黑"/>
            <w:color w:val="087E89"/>
          </w:rPr>
          <w:t>Aker BP在2027年投产前完成Yggdrasil、Valhall PWP上部模块安装</w:t>
        </w:r>
      </w:hyperlink>
      <w:r>
        <w:rPr>
          <w:rFonts w:ascii="微软雅黑" w:hAnsi="微软雅黑" w:eastAsia="微软雅黑" w:cs="微软雅黑"/>
        </w:rPr>
      </w:r>
    </w:p>
    <w:p>
      <w:pPr>
        <w:spacing w:after="0" w:line="20" w:lineRule="exact"/>
      </w:pPr>
      <w:bookmarkStart w:id="4" w:name="source-30641"/>
      <w:bookmarkEnd w:id="4" w:name="source-30641"/>
    </w:p>
    <w:p>
      <w:pPr>
        <w:pStyle w:val="ListBullet"/>
      </w:pPr>
      <w:r>
        <w:rPr>
          <w:rFonts w:ascii="微软雅黑" w:hAnsi="微软雅黑" w:eastAsia="微软雅黑" w:cs="微软雅黑"/>
        </w:rPr>
        <w:t>[4] 财联社｜</w:t>
      </w:r>
      <w:hyperlink r:id="rId14">
        <w:r>
          <w:rPr>
            <w:rFonts w:ascii="微软雅黑" w:hAnsi="微软雅黑" w:eastAsia="微软雅黑" w:cs="微软雅黑"/>
            <w:color w:val="087E89"/>
          </w:rPr>
          <w:t>中电联：到2026年底全国发电装机容量将达到43亿千瓦左右</w:t>
        </w:r>
      </w:hyperlink>
      <w:r>
        <w:rPr>
          <w:rFonts w:ascii="微软雅黑" w:hAnsi="微软雅黑" w:eastAsia="微软雅黑" w:cs="微软雅黑"/>
        </w:rPr>
      </w:r>
    </w:p>
    <w:p>
      <w:pPr>
        <w:spacing w:after="0" w:line="20" w:lineRule="exact"/>
      </w:pPr>
      <w:bookmarkStart w:id="5" w:name="source-30658"/>
      <w:bookmarkEnd w:id="5" w:name="source-30658"/>
    </w:p>
    <w:p>
      <w:pPr>
        <w:pStyle w:val="ListBullet"/>
      </w:pPr>
      <w:r>
        <w:rPr>
          <w:rFonts w:ascii="微软雅黑" w:hAnsi="微软雅黑" w:eastAsia="微软雅黑" w:cs="微软雅黑"/>
        </w:rPr>
        <w:t>[5] 中国新闻网｜</w:t>
      </w:r>
      <w:hyperlink r:id="rId15">
        <w:r>
          <w:rPr>
            <w:rFonts w:ascii="微软雅黑" w:hAnsi="微软雅黑" w:eastAsia="微软雅黑" w:cs="微软雅黑"/>
            <w:color w:val="087E89"/>
          </w:rPr>
          <w:t>报告：2026年底中国非化石能源发电装机占比料约为63%</w:t>
        </w:r>
      </w:hyperlink>
      <w:r>
        <w:rPr>
          <w:rFonts w:ascii="微软雅黑" w:hAnsi="微软雅黑" w:eastAsia="微软雅黑" w:cs="微软雅黑"/>
        </w:rPr>
      </w:r>
    </w:p>
    <w:p>
      <w:pPr>
        <w:spacing w:after="0" w:line="20" w:lineRule="exact"/>
      </w:pPr>
      <w:bookmarkStart w:id="6" w:name="source-30858"/>
      <w:bookmarkEnd w:id="6" w:name="source-30858"/>
    </w:p>
    <w:p>
      <w:pPr>
        <w:pStyle w:val="ListBullet"/>
      </w:pPr>
      <w:r>
        <w:rPr>
          <w:rFonts w:ascii="微软雅黑" w:hAnsi="微软雅黑" w:eastAsia="微软雅黑" w:cs="微软雅黑"/>
        </w:rPr>
        <w:t>[6] 汇通财经｜</w:t>
      </w:r>
      <w:hyperlink r:id="rId16">
        <w:r>
          <w:rPr>
            <w:rFonts w:ascii="微软雅黑" w:hAnsi="微软雅黑" w:eastAsia="微软雅黑" w:cs="微软雅黑"/>
            <w:color w:val="087E89"/>
          </w:rPr>
          <w:t>欧洲将释放4200万桶石油</w:t>
        </w:r>
      </w:hyperlink>
      <w:r>
        <w:rPr>
          <w:rFonts w:ascii="微软雅黑" w:hAnsi="微软雅黑" w:eastAsia="微软雅黑" w:cs="微软雅黑"/>
        </w:rPr>
      </w:r>
    </w:p>
    <w:p>
      <w:pPr>
        <w:spacing w:after="0" w:line="20" w:lineRule="exact"/>
      </w:pPr>
      <w:bookmarkStart w:id="7" w:name="source-30634"/>
      <w:bookmarkEnd w:id="7" w:name="source-30634"/>
    </w:p>
    <w:p>
      <w:pPr>
        <w:pStyle w:val="ListBullet"/>
      </w:pPr>
      <w:r>
        <w:rPr>
          <w:rFonts w:ascii="微软雅黑" w:hAnsi="微软雅黑" w:eastAsia="微软雅黑" w:cs="微软雅黑"/>
        </w:rPr>
        <w:t>[7] Interfax｜</w:t>
      </w:r>
      <w:hyperlink r:id="rId17">
        <w:r>
          <w:rPr>
            <w:rFonts w:ascii="微软雅黑" w:hAnsi="微软雅黑" w:eastAsia="微软雅黑" w:cs="微软雅黑"/>
            <w:color w:val="087E89"/>
          </w:rPr>
          <w:t>欧洲将在三个月内向市场投放4200万桶石油储备</w:t>
        </w:r>
      </w:hyperlink>
      <w:r>
        <w:rPr>
          <w:rFonts w:ascii="微软雅黑" w:hAnsi="微软雅黑" w:eastAsia="微软雅黑" w:cs="微软雅黑"/>
        </w:rPr>
      </w:r>
    </w:p>
    <w:p>
      <w:pPr>
        <w:spacing w:after="0" w:line="20" w:lineRule="exact"/>
      </w:pPr>
      <w:bookmarkStart w:id="8" w:name="source-30512"/>
      <w:bookmarkEnd w:id="8" w:name="source-30512"/>
    </w:p>
    <w:p>
      <w:pPr>
        <w:pStyle w:val="ListBullet"/>
      </w:pPr>
      <w:r>
        <w:rPr>
          <w:rFonts w:ascii="微软雅黑" w:hAnsi="微软雅黑" w:eastAsia="微软雅黑" w:cs="微软雅黑"/>
        </w:rPr>
        <w:t>[8] 央视新闻等｜</w:t>
      </w:r>
      <w:hyperlink r:id="rId18">
        <w:r>
          <w:rPr>
            <w:rFonts w:ascii="微软雅黑" w:hAnsi="微软雅黑" w:eastAsia="微软雅黑" w:cs="微软雅黑"/>
            <w:color w:val="087E89"/>
          </w:rPr>
          <w:t>国家能源局：9月核发绿证3.26亿个</w:t>
        </w:r>
      </w:hyperlink>
      <w:r>
        <w:rPr>
          <w:rFonts w:ascii="微软雅黑" w:hAnsi="微软雅黑" w:eastAsia="微软雅黑" w:cs="微软雅黑"/>
        </w:rPr>
      </w:r>
    </w:p>
    <w:p>
      <w:pPr>
        <w:spacing w:after="0" w:line="20" w:lineRule="exact"/>
      </w:pPr>
      <w:bookmarkStart w:id="9" w:name="source-30399"/>
      <w:bookmarkEnd w:id="9" w:name="source-30399"/>
    </w:p>
    <w:p>
      <w:pPr>
        <w:pStyle w:val="ListBullet"/>
      </w:pPr>
      <w:r>
        <w:rPr>
          <w:rFonts w:ascii="微软雅黑" w:hAnsi="微软雅黑" w:eastAsia="微软雅黑" w:cs="微软雅黑"/>
        </w:rPr>
        <w:t>[9] 中国能源网｜</w:t>
      </w:r>
      <w:hyperlink r:id="rId19">
        <w:r>
          <w:rPr>
            <w:rFonts w:ascii="微软雅黑" w:hAnsi="微软雅黑" w:eastAsia="微软雅黑" w:cs="微软雅黑"/>
            <w:color w:val="087E89"/>
          </w:rPr>
          <w:t>多家煤炭股创新高 市场在重新定价什么?</w:t>
        </w:r>
      </w:hyperlink>
      <w:r>
        <w:rPr>
          <w:rFonts w:ascii="微软雅黑" w:hAnsi="微软雅黑" w:eastAsia="微软雅黑" w:cs="微软雅黑"/>
        </w:rPr>
      </w:r>
    </w:p>
    <w:p>
      <w:pPr>
        <w:spacing w:after="0" w:line="20" w:lineRule="exact"/>
      </w:pPr>
      <w:bookmarkStart w:id="10" w:name="source-30326"/>
      <w:bookmarkEnd w:id="10" w:name="source-30326"/>
    </w:p>
    <w:p>
      <w:pPr>
        <w:pStyle w:val="ListBullet"/>
      </w:pPr>
      <w:r>
        <w:rPr>
          <w:rFonts w:ascii="微软雅黑" w:hAnsi="微软雅黑" w:eastAsia="微软雅黑" w:cs="微软雅黑"/>
        </w:rPr>
        <w:t>[10] 澳大利亚可再生能源新闻｜</w:t>
      </w:r>
      <w:hyperlink r:id="rId20">
        <w:r>
          <w:rPr>
            <w:rFonts w:ascii="微软雅黑" w:hAnsi="微软雅黑" w:eastAsia="微软雅黑" w:cs="微软雅黑"/>
            <w:color w:val="087E89"/>
          </w:rPr>
          <w:t>若未签订足够的确定电力合同，数据中心或将在鲍恩规则变更提案下被断电</w:t>
        </w:r>
      </w:hyperlink>
      <w:r>
        <w:rPr>
          <w:rFonts w:ascii="微软雅黑" w:hAnsi="微软雅黑" w:eastAsia="微软雅黑" w:cs="微软雅黑"/>
        </w:rPr>
      </w:r>
    </w:p>
    <w:p>
      <w:pPr>
        <w:spacing w:after="0" w:line="20" w:lineRule="exact"/>
      </w:pPr>
      <w:bookmarkStart w:id="11" w:name="source-30773"/>
      <w:bookmarkEnd w:id="11" w:name="source-30773"/>
    </w:p>
    <w:p>
      <w:pPr>
        <w:pStyle w:val="ListBullet"/>
      </w:pPr>
      <w:r>
        <w:rPr>
          <w:rFonts w:ascii="微软雅黑" w:hAnsi="微软雅黑" w:eastAsia="微软雅黑" w:cs="微软雅黑"/>
        </w:rPr>
        <w:t>[11] 法国安吉集团｜</w:t>
      </w:r>
      <w:hyperlink r:id="rId21">
        <w:r>
          <w:rPr>
            <w:rFonts w:ascii="微软雅黑" w:hAnsi="微软雅黑" w:eastAsia="微软雅黑" w:cs="微软雅黑"/>
            <w:color w:val="087E89"/>
          </w:rPr>
          <w:t>ENGIE在印度投运450 MW太阳能容量</w:t>
        </w:r>
      </w:hyperlink>
      <w:r>
        <w:rPr>
          <w:rFonts w:ascii="微软雅黑" w:hAnsi="微软雅黑" w:eastAsia="微软雅黑" w:cs="微软雅黑"/>
        </w:rPr>
      </w:r>
    </w:p>
    <w:p>
      <w:pPr>
        <w:spacing w:after="0" w:line="20" w:lineRule="exact"/>
      </w:pPr>
      <w:bookmarkStart w:id="12" w:name="source-30519"/>
      <w:bookmarkEnd w:id="12" w:name="source-30519"/>
    </w:p>
    <w:p>
      <w:pPr>
        <w:pStyle w:val="ListBullet"/>
      </w:pPr>
      <w:r>
        <w:rPr>
          <w:rFonts w:ascii="微软雅黑" w:hAnsi="微软雅黑" w:eastAsia="微软雅黑" w:cs="微软雅黑"/>
        </w:rPr>
        <w:t>[12] 新华社｜</w:t>
      </w:r>
      <w:hyperlink r:id="rId22">
        <w:r>
          <w:rPr>
            <w:rFonts w:ascii="微软雅黑" w:hAnsi="微软雅黑" w:eastAsia="微软雅黑" w:cs="微软雅黑"/>
            <w:color w:val="087E89"/>
          </w:rPr>
          <w:t>中国石油今年前三季度业绩再创历史新高，归母净利润同比增长21.9%</w:t>
        </w:r>
      </w:hyperlink>
      <w:r>
        <w:rPr>
          <w:rFonts w:ascii="微软雅黑" w:hAnsi="微软雅黑" w:eastAsia="微软雅黑" w:cs="微软雅黑"/>
        </w:rPr>
      </w:r>
    </w:p>
    <w:p>
      <w:pPr>
        <w:spacing w:after="0" w:line="20" w:lineRule="exact"/>
      </w:pPr>
      <w:bookmarkStart w:id="13" w:name="source-30158"/>
      <w:bookmarkEnd w:id="13" w:name="source-30158"/>
    </w:p>
    <w:p>
      <w:pPr>
        <w:pStyle w:val="ListBullet"/>
      </w:pPr>
      <w:r>
        <w:rPr>
          <w:rFonts w:ascii="微软雅黑" w:hAnsi="微软雅黑" w:eastAsia="微软雅黑" w:cs="微软雅黑"/>
        </w:rPr>
        <w:t>[13] 经济日报｜</w:t>
      </w:r>
      <w:hyperlink r:id="rId23">
        <w:r>
          <w:rPr>
            <w:rFonts w:ascii="微软雅黑" w:hAnsi="微软雅黑" w:eastAsia="微软雅黑" w:cs="微软雅黑"/>
            <w:color w:val="087E89"/>
          </w:rPr>
          <w:t>中国石油前三季度业绩创历史同期最好水平</w:t>
        </w:r>
      </w:hyperlink>
      <w:r>
        <w:rPr>
          <w:rFonts w:ascii="微软雅黑" w:hAnsi="微软雅黑" w:eastAsia="微软雅黑" w:cs="微软雅黑"/>
        </w:rPr>
      </w:r>
    </w:p>
    <w:p>
      <w:pPr>
        <w:spacing w:after="0" w:line="20" w:lineRule="exact"/>
      </w:pPr>
      <w:bookmarkStart w:id="14" w:name="source-30517"/>
      <w:bookmarkEnd w:id="14" w:name="source-30517"/>
    </w:p>
    <w:p>
      <w:pPr>
        <w:pStyle w:val="ListBullet"/>
      </w:pPr>
      <w:r>
        <w:rPr>
          <w:rFonts w:ascii="微软雅黑" w:hAnsi="微软雅黑" w:eastAsia="微软雅黑" w:cs="微软雅黑"/>
        </w:rPr>
        <w:t>[14] 新华社｜</w:t>
      </w:r>
      <w:hyperlink r:id="rId24">
        <w:r>
          <w:rPr>
            <w:rFonts w:ascii="微软雅黑" w:hAnsi="微软雅黑" w:eastAsia="微软雅黑" w:cs="微软雅黑"/>
            <w:color w:val="087E89"/>
          </w:rPr>
          <w:t>第17届新疆矿博会、第22届新疆煤博会将于2027年7月在乌鲁木齐举办</w:t>
        </w:r>
      </w:hyperlink>
      <w:r>
        <w:rPr>
          <w:rFonts w:ascii="微软雅黑" w:hAnsi="微软雅黑" w:eastAsia="微软雅黑" w:cs="微软雅黑"/>
        </w:rPr>
      </w:r>
    </w:p>
    <w:p>
      <w:pPr>
        <w:spacing w:after="0" w:line="20" w:lineRule="exact"/>
      </w:pPr>
      <w:bookmarkStart w:id="15" w:name="source-30678"/>
      <w:bookmarkEnd w:id="15" w:name="source-30678"/>
    </w:p>
    <w:p>
      <w:pPr>
        <w:pStyle w:val="ListBullet"/>
      </w:pPr>
      <w:r>
        <w:rPr>
          <w:rFonts w:ascii="微软雅黑" w:hAnsi="微软雅黑" w:eastAsia="微软雅黑" w:cs="微软雅黑"/>
        </w:rPr>
        <w:t>[15] 中国能源网｜</w:t>
      </w:r>
      <w:hyperlink r:id="rId25">
        <w:r>
          <w:rPr>
            <w:rFonts w:ascii="微软雅黑" w:hAnsi="微软雅黑" w:eastAsia="微软雅黑" w:cs="微软雅黑"/>
            <w:color w:val="087E89"/>
          </w:rPr>
          <w:t>复产预期先行，焦煤震荡回落</w:t>
        </w:r>
      </w:hyperlink>
      <w:r>
        <w:rPr>
          <w:rFonts w:ascii="微软雅黑" w:hAnsi="微软雅黑" w:eastAsia="微软雅黑" w:cs="微软雅黑"/>
        </w:rPr>
      </w:r>
    </w:p>
    <w:p>
      <w:pPr>
        <w:spacing w:after="0" w:line="20" w:lineRule="exact"/>
      </w:pPr>
      <w:bookmarkStart w:id="16" w:name="source-30640"/>
      <w:bookmarkEnd w:id="16" w:name="source-30640"/>
    </w:p>
    <w:p>
      <w:pPr>
        <w:pStyle w:val="ListBullet"/>
      </w:pPr>
      <w:r>
        <w:rPr>
          <w:rFonts w:ascii="微软雅黑" w:hAnsi="微软雅黑" w:eastAsia="微软雅黑" w:cs="微软雅黑"/>
        </w:rPr>
        <w:t>[16] 美国能源信息署｜</w:t>
      </w:r>
      <w:hyperlink r:id="rId26">
        <w:r>
          <w:rPr>
            <w:rFonts w:ascii="微软雅黑" w:hAnsi="微软雅黑" w:eastAsia="微软雅黑" w:cs="微软雅黑"/>
            <w:color w:val="087E89"/>
          </w:rPr>
          <w:t>LNG进口在哥伦比亚天然气供应中所占份额不断上升</w:t>
        </w:r>
      </w:hyperlink>
      <w:r>
        <w:rPr>
          <w:rFonts w:ascii="微软雅黑" w:hAnsi="微软雅黑" w:eastAsia="微软雅黑" w:cs="微软雅黑"/>
        </w:rPr>
      </w:r>
    </w:p>
    <w:p>
      <w:pPr>
        <w:spacing w:after="0" w:line="20" w:lineRule="exact"/>
      </w:pPr>
      <w:bookmarkStart w:id="17" w:name="source-30341"/>
      <w:bookmarkEnd w:id="17" w:name="source-30341"/>
    </w:p>
    <w:p>
      <w:pPr>
        <w:pStyle w:val="ListBullet"/>
      </w:pPr>
      <w:r>
        <w:rPr>
          <w:rFonts w:ascii="微软雅黑" w:hAnsi="微软雅黑" w:eastAsia="微软雅黑" w:cs="微软雅黑"/>
        </w:rPr>
        <w:t>[17] 科技日报｜</w:t>
      </w:r>
      <w:hyperlink r:id="rId27">
        <w:r>
          <w:rPr>
            <w:rFonts w:ascii="微软雅黑" w:hAnsi="微软雅黑" w:eastAsia="微软雅黑" w:cs="微软雅黑"/>
            <w:color w:val="087E89"/>
          </w:rPr>
          <w:t>精时古地理平台发布 为非常规油气勘探提供智能“导航”</w:t>
        </w:r>
      </w:hyperlink>
      <w:r>
        <w:rPr>
          <w:rFonts w:ascii="微软雅黑" w:hAnsi="微软雅黑" w:eastAsia="微软雅黑" w:cs="微软雅黑"/>
        </w:rPr>
      </w:r>
    </w:p>
    <w:p>
      <w:pPr>
        <w:spacing w:after="0" w:line="20" w:lineRule="exact"/>
      </w:pPr>
      <w:bookmarkStart w:id="18" w:name="source-30323"/>
      <w:bookmarkEnd w:id="18" w:name="source-30323"/>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特高压入鲁十年托举山东蓬勃发展</w:t>
        </w:r>
      </w:hyperlink>
      <w:r>
        <w:rPr>
          <w:rFonts w:ascii="微软雅黑" w:hAnsi="微软雅黑" w:eastAsia="微软雅黑" w:cs="微软雅黑"/>
        </w:rPr>
      </w:r>
    </w:p>
    <w:p>
      <w:pPr>
        <w:spacing w:after="0" w:line="20" w:lineRule="exact"/>
      </w:pPr>
      <w:bookmarkStart w:id="19" w:name="source-30384"/>
      <w:bookmarkEnd w:id="19" w:name="source-30384"/>
    </w:p>
    <w:p>
      <w:pPr>
        <w:pStyle w:val="ListBullet"/>
      </w:pPr>
      <w:r>
        <w:rPr>
          <w:rFonts w:ascii="微软雅黑" w:hAnsi="微软雅黑" w:eastAsia="微软雅黑" w:cs="微软雅黑"/>
        </w:rPr>
        <w:t>[19] 国家能源局｜</w:t>
      </w:r>
      <w:hyperlink r:id="rId29">
        <w:r>
          <w:rPr>
            <w:rFonts w:ascii="微软雅黑" w:hAnsi="微软雅黑" w:eastAsia="微软雅黑" w:cs="微软雅黑"/>
            <w:color w:val="087E89"/>
          </w:rPr>
          <w:t>国家能源局发布2026年9月全国可再生能源绿色电力证书核发及交易数据</w:t>
        </w:r>
      </w:hyperlink>
      <w:r>
        <w:rPr>
          <w:rFonts w:ascii="微软雅黑" w:hAnsi="微软雅黑" w:eastAsia="微软雅黑" w:cs="微软雅黑"/>
        </w:rPr>
      </w:r>
    </w:p>
    <w:p>
      <w:pPr>
        <w:spacing w:after="0" w:line="20" w:lineRule="exact"/>
      </w:pPr>
      <w:bookmarkStart w:id="20" w:name="source-30087"/>
      <w:bookmarkEnd w:id="20" w:name="source-30087"/>
    </w:p>
    <w:p>
      <w:pPr>
        <w:pStyle w:val="ListBullet"/>
      </w:pPr>
      <w:r>
        <w:rPr>
          <w:rFonts w:ascii="微软雅黑" w:hAnsi="微软雅黑" w:eastAsia="微软雅黑" w:cs="微软雅黑"/>
        </w:rPr>
        <w:t>[20] 桑迪亚国家实验室｜</w:t>
      </w:r>
      <w:hyperlink r:id="rId30">
        <w:r>
          <w:rPr>
            <w:rFonts w:ascii="微软雅黑" w:hAnsi="微软雅黑" w:eastAsia="微软雅黑" w:cs="微软雅黑"/>
            <w:color w:val="087E89"/>
          </w:rPr>
          <w:t>桑迪亚将接待核安全副部长，宣布下一代核技术</w:t>
        </w:r>
      </w:hyperlink>
      <w:r>
        <w:rPr>
          <w:rFonts w:ascii="微软雅黑" w:hAnsi="微软雅黑" w:eastAsia="微软雅黑" w:cs="微软雅黑"/>
        </w:rPr>
      </w:r>
    </w:p>
    <w:p>
      <w:pPr>
        <w:spacing w:after="0" w:line="20" w:lineRule="exact"/>
      </w:pPr>
      <w:bookmarkStart w:id="21" w:name="source-30899"/>
      <w:bookmarkEnd w:id="21" w:name="source-30899"/>
    </w:p>
    <w:p>
      <w:pPr>
        <w:pStyle w:val="ListBullet"/>
      </w:pPr>
      <w:r>
        <w:rPr>
          <w:rFonts w:ascii="微软雅黑" w:hAnsi="微软雅黑" w:eastAsia="微软雅黑" w:cs="微软雅黑"/>
        </w:rPr>
        <w:t>[21] Solarbe(光伏网)｜</w:t>
      </w:r>
      <w:hyperlink r:id="rId31">
        <w:r>
          <w:rPr>
            <w:rFonts w:ascii="微软雅黑" w:hAnsi="微软雅黑" w:eastAsia="微软雅黑" w:cs="微软雅黑"/>
            <w:color w:val="087E89"/>
          </w:rPr>
          <w:t>上海华声电气集团荣获2026年度优质光伏EPC/投资企业荣誉</w:t>
        </w:r>
      </w:hyperlink>
      <w:r>
        <w:rPr>
          <w:rFonts w:ascii="微软雅黑" w:hAnsi="微软雅黑" w:eastAsia="微软雅黑" w:cs="微软雅黑"/>
        </w:rPr>
      </w:r>
    </w:p>
    <w:p>
      <w:pPr>
        <w:spacing w:after="0" w:line="20" w:lineRule="exact"/>
      </w:pPr>
      <w:bookmarkStart w:id="22" w:name="source-30775"/>
      <w:bookmarkEnd w:id="22" w:name="source-30775"/>
    </w:p>
    <w:p>
      <w:pPr>
        <w:pStyle w:val="ListBullet"/>
      </w:pPr>
      <w:r>
        <w:rPr>
          <w:rFonts w:ascii="微软雅黑" w:hAnsi="微软雅黑" w:eastAsia="微软雅黑" w:cs="微软雅黑"/>
        </w:rPr>
        <w:t>[22] Utility Dive｜</w:t>
      </w:r>
      <w:hyperlink r:id="rId32">
        <w:r>
          <w:rPr>
            <w:rFonts w:ascii="微软雅黑" w:hAnsi="微软雅黑" w:eastAsia="微软雅黑" w:cs="微软雅黑"/>
            <w:color w:val="087E89"/>
          </w:rPr>
          <w:t>GE Vernova拟90亿美元收购高压设备制造商Trench Group，燃气轮机订单放缓</w:t>
        </w:r>
      </w:hyperlink>
      <w:r>
        <w:rPr>
          <w:rFonts w:ascii="微软雅黑" w:hAnsi="微软雅黑" w:eastAsia="微软雅黑" w:cs="微软雅黑"/>
        </w:rPr>
      </w:r>
    </w:p>
    <w:p>
      <w:pPr>
        <w:spacing w:after="0" w:line="20" w:lineRule="exact"/>
      </w:pPr>
      <w:bookmarkStart w:id="23" w:name="source-30759"/>
      <w:bookmarkEnd w:id="23" w:name="source-30759"/>
    </w:p>
    <w:p>
      <w:pPr>
        <w:pStyle w:val="ListBullet"/>
      </w:pPr>
      <w:r>
        <w:rPr>
          <w:rFonts w:ascii="微软雅黑" w:hAnsi="微软雅黑" w:eastAsia="微软雅黑" w:cs="微软雅黑"/>
        </w:rPr>
        <w:t>[23] 光伏杂志国际版｜</w:t>
      </w:r>
      <w:hyperlink r:id="rId33">
        <w:r>
          <w:rPr>
            <w:rFonts w:ascii="微软雅黑" w:hAnsi="微软雅黑" w:eastAsia="微软雅黑" w:cs="微软雅黑"/>
            <w:color w:val="087E89"/>
          </w:rPr>
          <w:t>政府支持印度漂浮式光伏</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qatarenergy.qa/en/MediaCenter/Pages/newsdetails.aspx?ItemId=3923" TargetMode="External"/><Relationship Id="rId12" Type="http://schemas.openxmlformats.org/officeDocument/2006/relationships/hyperlink" Target="https://www.neimagazine.com/news/paducah-moves-toward-licensing/" TargetMode="External"/><Relationship Id="rId13" Type="http://schemas.openxmlformats.org/officeDocument/2006/relationships/hyperlink" Target="https://www.worldoil.com/news/2026/10/29/aker-bp-installs-yggdrasil-valhall-pwp-topsides-ahead-of-2027-start-up/" TargetMode="External"/><Relationship Id="rId14" Type="http://schemas.openxmlformats.org/officeDocument/2006/relationships/hyperlink" Target="https://www.cls.cn/detail/2519589" TargetMode="External"/><Relationship Id="rId15" Type="http://schemas.openxmlformats.org/officeDocument/2006/relationships/hyperlink" Target="https://www.chinanews.com.cn/cj/2026/10-29/10723003.shtml" TargetMode="External"/><Relationship Id="rId16" Type="http://schemas.openxmlformats.org/officeDocument/2006/relationships/hyperlink" Target="https://www.fx678.com/C/20261030/202610300221408815.html" TargetMode="External"/><Relationship Id="rId17" Type="http://schemas.openxmlformats.org/officeDocument/2006/relationships/hyperlink" Target="https://www.interfax.ru/business/1125841" TargetMode="External"/><Relationship Id="rId18" Type="http://schemas.openxmlformats.org/officeDocument/2006/relationships/hyperlink" Target="https://news.cctv.com/2026/10/29/ARTIYhpy3hbU23cDLUcB5OH2261029.shtml" TargetMode="External"/><Relationship Id="rId19" Type="http://schemas.openxmlformats.org/officeDocument/2006/relationships/hyperlink" Target="https://www.china5e.com/news/news-1211138-1.html" TargetMode="External"/><Relationship Id="rId20" Type="http://schemas.openxmlformats.org/officeDocument/2006/relationships/hyperlink" Target="https://reneweconomy.com.au/data-centres-without-sufficient-firm-power-could-be-switched-off-under-bowen-rule-change-proposal/?utm_source=rss&amp;utm_medium=rss&amp;utm_campaign=data-centres-without-sufficient-firm-power-could-be-switched-off-under-bowen-rule-change-proposal" TargetMode="External"/><Relationship Id="rId21" Type="http://schemas.openxmlformats.org/officeDocument/2006/relationships/hyperlink" Target="https://newsroom.engie.com/actualites/engie-met-en-service-450-mw-de-capacite-solaire-en-inde-33ae1-ff316.html" TargetMode="External"/><Relationship Id="rId22" Type="http://schemas.openxmlformats.org/officeDocument/2006/relationships/hyperlink" Target="https://www.news.cn/energy/20261029/2b7f4fcb489f48a3acdce254581dfcfe/c.html" TargetMode="External"/><Relationship Id="rId23" Type="http://schemas.openxmlformats.org/officeDocument/2006/relationships/hyperlink" Target="http://www.ce.cn/cysc/newmain/yc/jsxw/202610/t20261029_3275020.shtml" TargetMode="External"/><Relationship Id="rId24" Type="http://schemas.openxmlformats.org/officeDocument/2006/relationships/hyperlink" Target="https://www.news.cn/energy/20261029/58d643dd8ce1472d8b2642c5ba910169/c.html" TargetMode="External"/><Relationship Id="rId25" Type="http://schemas.openxmlformats.org/officeDocument/2006/relationships/hyperlink" Target="https://www.china5e.com/news/news-1211153-1.html" TargetMode="External"/><Relationship Id="rId26" Type="http://schemas.openxmlformats.org/officeDocument/2006/relationships/hyperlink" Target="https://www.eia.gov/todayinenergy/detail.php?id=68364" TargetMode="External"/><Relationship Id="rId27" Type="http://schemas.openxmlformats.org/officeDocument/2006/relationships/hyperlink" Target="https://www.stdaily.com/web/gdxw/2026-10/29/content_604654.html" TargetMode="External"/><Relationship Id="rId28" Type="http://schemas.openxmlformats.org/officeDocument/2006/relationships/hyperlink" Target="https://www.cpnn.com.cn/news/hy/202610/t20261029_1923051.html" TargetMode="External"/><Relationship Id="rId29" Type="http://schemas.openxmlformats.org/officeDocument/2006/relationships/hyperlink" Target="https://www.nea.gov.cn/20261029/07750da8d7d641d0a50071cdccd3c7e5/c.html" TargetMode="External"/><Relationship Id="rId30" Type="http://schemas.openxmlformats.org/officeDocument/2006/relationships/hyperlink" Target="https://newsreleases.sandia.gov/sandia-to-host-under-secretary-for-nuclear-security-to-announce-next-generation-nuclear-technologies/" TargetMode="External"/><Relationship Id="rId31" Type="http://schemas.openxmlformats.org/officeDocument/2006/relationships/hyperlink" Target="https://news.solarbe.com/202610/29/50031137.html" TargetMode="External"/><Relationship Id="rId32" Type="http://schemas.openxmlformats.org/officeDocument/2006/relationships/hyperlink" Target="https://www.utilitydive.com/news/ge-vernova-in-9b-deal-to-buy-high-voltage-manufacturer-as-gas-turbine-orde/873223/" TargetMode="External"/><Relationship Id="rId33" Type="http://schemas.openxmlformats.org/officeDocument/2006/relationships/hyperlink" Target="https://www.pv-magazine.com/2026/10/29/government-backs-indian-floating-so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10月30日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