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信息覆盖时段：2026-09-23 00:00 至 2026-09-24 00:00（不含），Asia/Shanghai。</w:t>
      </w:r>
    </w:p>
    <w:p>
      <w:pPr/>
      <w:r>
        <w:rPr>
          <w:rFonts w:ascii="微软雅黑" w:hAnsi="微软雅黑" w:eastAsia="微软雅黑" w:cs="微软雅黑"/>
        </w:rPr>
        <w:t>统计区间：2026-09-23 至 2026-09-24（结束日不含，北京时间）</w:t>
      </w:r>
    </w:p>
    <w:p>
      <w:pPr>
        <w:ind w:firstLine="420"/>
      </w:pPr>
      <w:r>
        <w:rPr>
          <w:rFonts w:ascii="微软雅黑" w:hAnsi="微软雅黑" w:eastAsia="微软雅黑" w:cs="微软雅黑"/>
        </w:rPr>
        <w:t>资料更新截止：2026-09-24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欧盟2026年二季度石油进口价值同比飙升55.8% </w:t>
      </w:r>
      <w:hyperlink w:anchor="source-5907">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IEA：2026年全球煤炭需求或创纪录并由天然气缺口推动 </w:t>
      </w:r>
      <w:hyperlink w:anchor="source-5666">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巴西就到期及临期水电站特许经营安排启动公众咨询 </w:t>
      </w:r>
      <w:hyperlink w:anchor="source-602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俄罗斯国家原子能公司总经理视察阿库尤核电施工现场 </w:t>
      </w:r>
      <w:hyperlink w:anchor="source-6021">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英国拟为电池储能并网引入财务承诺机制削减积压 </w:t>
      </w:r>
      <w:hyperlink w:anchor="source-5938">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欧盟二季度石油进口价值同比</w:t>
            </w:r>
          </w:p>
        </w:tc>
        <w:tc>
          <w:tcPr>
            <w:tcW w:type="dxa" w:w="2268"/>
          </w:tcPr>
          <w:p>
            <w:pPr>
              <w:spacing w:after="40"/>
            </w:pPr>
            <w:r>
              <w:rPr>
                <w:rFonts w:ascii="微软雅黑" w:hAnsi="微软雅黑" w:eastAsia="微软雅黑" w:cs="微软雅黑"/>
              </w:rPr>
              <w:t>+55.8%</w:t>
            </w:r>
          </w:p>
        </w:tc>
        <w:tc>
          <w:tcPr>
            <w:tcW w:type="dxa" w:w="2268"/>
          </w:tcPr>
          <w:p>
            <w:pPr>
              <w:spacing w:after="40"/>
            </w:pPr>
            <w:r>
              <w:rPr>
                <w:rFonts w:ascii="微软雅黑" w:hAnsi="微软雅黑" w:eastAsia="微软雅黑" w:cs="微软雅黑"/>
              </w:rPr>
              <w:t>2026年第二季度</w:t>
            </w:r>
          </w:p>
        </w:tc>
        <w:tc>
          <w:tcPr>
            <w:tcW w:type="dxa" w:w="2268"/>
          </w:tcPr>
          <w:p>
            <w:pPr>
              <w:spacing w:after="40"/>
            </w:pPr>
            <w:r>
              <w:rPr>
                <w:rFonts w:ascii="微软雅黑" w:hAnsi="微软雅黑" w:eastAsia="微软雅黑" w:cs="微软雅黑"/>
              </w:rPr>
            </w:r>
            <w:hyperlink w:anchor="source-5907">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欧盟二季度石油月均进口量</w:t>
            </w:r>
          </w:p>
        </w:tc>
        <w:tc>
          <w:tcPr>
            <w:tcW w:type="dxa" w:w="2268"/>
          </w:tcPr>
          <w:p>
            <w:pPr>
              <w:spacing w:after="40"/>
            </w:pPr>
            <w:r>
              <w:rPr>
                <w:rFonts w:ascii="微软雅黑" w:hAnsi="微软雅黑" w:eastAsia="微软雅黑" w:cs="微软雅黑"/>
              </w:rPr>
              <w:t>3670万吨</w:t>
            </w:r>
          </w:p>
        </w:tc>
        <w:tc>
          <w:tcPr>
            <w:tcW w:type="dxa" w:w="2268"/>
          </w:tcPr>
          <w:p>
            <w:pPr>
              <w:spacing w:after="40"/>
            </w:pPr>
            <w:r>
              <w:rPr>
                <w:rFonts w:ascii="微软雅黑" w:hAnsi="微软雅黑" w:eastAsia="微软雅黑" w:cs="微软雅黑"/>
              </w:rPr>
              <w:t>2026年第二季度</w:t>
            </w:r>
          </w:p>
        </w:tc>
        <w:tc>
          <w:tcPr>
            <w:tcW w:type="dxa" w:w="2268"/>
          </w:tcPr>
          <w:p>
            <w:pPr>
              <w:spacing w:after="40"/>
            </w:pPr>
            <w:r>
              <w:rPr>
                <w:rFonts w:ascii="微软雅黑" w:hAnsi="微软雅黑" w:eastAsia="微软雅黑" w:cs="微软雅黑"/>
              </w:rPr>
            </w:r>
            <w:hyperlink w:anchor="source-5907">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欧盟二季度LNG进口价值同比</w:t>
            </w:r>
          </w:p>
        </w:tc>
        <w:tc>
          <w:tcPr>
            <w:tcW w:type="dxa" w:w="2268"/>
          </w:tcPr>
          <w:p>
            <w:pPr>
              <w:spacing w:after="40"/>
            </w:pPr>
            <w:r>
              <w:rPr>
                <w:rFonts w:ascii="微软雅黑" w:hAnsi="微软雅黑" w:eastAsia="微软雅黑" w:cs="微软雅黑"/>
              </w:rPr>
              <w:t>+4.1%</w:t>
            </w:r>
          </w:p>
        </w:tc>
        <w:tc>
          <w:tcPr>
            <w:tcW w:type="dxa" w:w="2268"/>
          </w:tcPr>
          <w:p>
            <w:pPr>
              <w:spacing w:after="40"/>
            </w:pPr>
            <w:r>
              <w:rPr>
                <w:rFonts w:ascii="微软雅黑" w:hAnsi="微软雅黑" w:eastAsia="微软雅黑" w:cs="微软雅黑"/>
              </w:rPr>
              <w:t>2026年第二季度</w:t>
            </w:r>
          </w:p>
        </w:tc>
        <w:tc>
          <w:tcPr>
            <w:tcW w:type="dxa" w:w="2268"/>
          </w:tcPr>
          <w:p>
            <w:pPr>
              <w:spacing w:after="40"/>
            </w:pPr>
            <w:r>
              <w:rPr>
                <w:rFonts w:ascii="微软雅黑" w:hAnsi="微软雅黑" w:eastAsia="微软雅黑" w:cs="微软雅黑"/>
              </w:rPr>
            </w:r>
            <w:hyperlink w:anchor="source-5907">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2026年全球煤炭需求同比</w:t>
            </w:r>
          </w:p>
        </w:tc>
        <w:tc>
          <w:tcPr>
            <w:tcW w:type="dxa" w:w="2268"/>
          </w:tcPr>
          <w:p>
            <w:pPr>
              <w:spacing w:after="40"/>
            </w:pPr>
            <w:r>
              <w:rPr>
                <w:rFonts w:ascii="微软雅黑" w:hAnsi="微软雅黑" w:eastAsia="微软雅黑" w:cs="微软雅黑"/>
              </w:rPr>
              <w:t>增长1.2%</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666">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2026年全球煤炭需求</w:t>
            </w:r>
          </w:p>
        </w:tc>
        <w:tc>
          <w:tcPr>
            <w:tcW w:type="dxa" w:w="2268"/>
          </w:tcPr>
          <w:p>
            <w:pPr>
              <w:spacing w:after="40"/>
            </w:pPr>
            <w:r>
              <w:rPr>
                <w:rFonts w:ascii="微软雅黑" w:hAnsi="微软雅黑" w:eastAsia="微软雅黑" w:cs="微软雅黑"/>
              </w:rPr>
              <w:t>89.4亿公吨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666">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2026年印度煤炭需求</w:t>
            </w:r>
          </w:p>
        </w:tc>
        <w:tc>
          <w:tcPr>
            <w:tcW w:type="dxa" w:w="2268"/>
          </w:tcPr>
          <w:p>
            <w:pPr>
              <w:spacing w:after="40"/>
            </w:pPr>
            <w:r>
              <w:rPr>
                <w:rFonts w:ascii="微软雅黑" w:hAnsi="微软雅黑" w:eastAsia="微软雅黑" w:cs="微软雅黑"/>
              </w:rPr>
              <w:t>13.53亿吨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666">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OTCF起步费率</w:t>
            </w:r>
          </w:p>
        </w:tc>
        <w:tc>
          <w:tcPr>
            <w:tcW w:type="dxa" w:w="2268"/>
          </w:tcPr>
          <w:p>
            <w:pPr>
              <w:spacing w:after="40"/>
            </w:pPr>
            <w:r>
              <w:rPr>
                <w:rFonts w:ascii="微软雅黑" w:hAnsi="微软雅黑" w:eastAsia="微软雅黑" w:cs="微软雅黑"/>
              </w:rPr>
              <w:t>每兆瓦至少3000英镑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93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OTCF最高费率</w:t>
            </w:r>
          </w:p>
        </w:tc>
        <w:tc>
          <w:tcPr>
            <w:tcW w:type="dxa" w:w="2268"/>
          </w:tcPr>
          <w:p>
            <w:pPr>
              <w:spacing w:after="40"/>
            </w:pPr>
            <w:r>
              <w:rPr>
                <w:rFonts w:ascii="微软雅黑" w:hAnsi="微软雅黑" w:eastAsia="微软雅黑" w:cs="微软雅黑"/>
              </w:rPr>
              <w:t>每兆瓦最高25000英镑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93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已剔除的BESS申请容量</w:t>
            </w:r>
          </w:p>
        </w:tc>
        <w:tc>
          <w:tcPr>
            <w:tcW w:type="dxa" w:w="2268"/>
          </w:tcPr>
          <w:p>
            <w:pPr>
              <w:spacing w:after="40"/>
            </w:pPr>
            <w:r>
              <w:rPr>
                <w:rFonts w:ascii="微软雅黑" w:hAnsi="微软雅黑" w:eastAsia="微软雅黑" w:cs="微软雅黑"/>
              </w:rPr>
              <w:t>153吉瓦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938">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全国电动汽车充电基础设施（枪）总数</w:t>
            </w:r>
          </w:p>
        </w:tc>
        <w:tc>
          <w:tcPr>
            <w:tcW w:type="dxa" w:w="2268"/>
          </w:tcPr>
          <w:p>
            <w:pPr>
              <w:spacing w:after="40"/>
            </w:pPr>
            <w:r>
              <w:rPr>
                <w:rFonts w:ascii="微软雅黑" w:hAnsi="微软雅黑" w:eastAsia="微软雅黑" w:cs="微软雅黑"/>
              </w:rPr>
              <w:t>2422.3万个</w:t>
            </w:r>
          </w:p>
        </w:tc>
        <w:tc>
          <w:tcPr>
            <w:tcW w:type="dxa" w:w="2268"/>
          </w:tcPr>
          <w:p>
            <w:pPr>
              <w:spacing w:after="40"/>
            </w:pPr>
            <w:r>
              <w:rPr>
                <w:rFonts w:ascii="微软雅黑" w:hAnsi="微软雅黑" w:eastAsia="微软雅黑" w:cs="微软雅黑"/>
              </w:rPr>
              <w:t>2026年8月底</w:t>
            </w:r>
          </w:p>
        </w:tc>
        <w:tc>
          <w:tcPr>
            <w:tcW w:type="dxa" w:w="2268"/>
          </w:tcPr>
          <w:p>
            <w:pPr>
              <w:spacing w:after="40"/>
            </w:pPr>
            <w:r>
              <w:rPr>
                <w:rFonts w:ascii="微软雅黑" w:hAnsi="微软雅黑" w:eastAsia="微软雅黑" w:cs="微软雅黑"/>
              </w:rPr>
            </w:r>
            <w:hyperlink w:anchor="source-5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5765">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5894">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英国拟为电池储能并网引入财务承诺机制削减积压</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Ofgem拟批准为电池储能系统并网引入“过度订阅技术承诺费”（OTCF），按每兆瓦至少3000英镑起步，在队列仍严重过剩时上调至最高25000英镑，旨在削减排队等待接入的项目积压。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Ofgem称电池储能在清洁能源体系中具有“重要作用”，但队列规模使其难以辨别哪些项目真正有望建成。此前“先准备就绪、先接入”改革已剔除153吉瓦的BESS项目。能源安全与净零部（DESNZ）与Ofgem联名信称，因保护条款加之BESS较快规划速度，进入Gate 2的电池项目“远高于预期”。OTCF仍处于拟议阶段，待批准生效。</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该机制若批准将抬高储能项目入市财务门槛，可能加速虚假项目出清，但也可能抬高合规项目前期成本。</w:t>
      </w:r>
    </w:p>
    <w:p>
      <w:pPr>
        <w:ind w:firstLine="420"/>
      </w:pPr>
      <w:r>
        <w:rPr>
          <w:rFonts w:ascii="微软雅黑" w:hAnsi="微软雅黑" w:eastAsia="微软雅黑" w:cs="微软雅黑"/>
        </w:rPr>
        <w:t>来源：</w:t>
      </w:r>
      <w:hyperlink w:anchor="source-5938">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美国提议设立百亿美元基金重建海湾能源基础设施</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美国提议设立100亿美元的“PACT”基金用于重建海湾能源基础设施并开发绕开霍尔木兹海峡的出口通道，其中美国出资50亿美元，海湾及地区伙伴匹配50亿美元。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PACT涵盖美国、沙特、阿联酋、卡塔尔、巴林、科威特、阿曼、伊拉克和约旦九个伙伴方。基金将由美国开发金融公司管理，用于修复战损能源设施并建设替代出口路线。该提案是在与美国持续七个月的战争中、海湾能源基础设施脆弱性暴露的背景下提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若落实将降低地区出口对霍尔木兹海峡的依赖，并在中长期影响全球油气运输格局与地缘风险定价。</w:t>
      </w:r>
    </w:p>
    <w:p>
      <w:pPr>
        <w:ind w:firstLine="420"/>
      </w:pPr>
      <w:r>
        <w:rPr>
          <w:rFonts w:ascii="微软雅黑" w:hAnsi="微软雅黑" w:eastAsia="微软雅黑" w:cs="微软雅黑"/>
        </w:rPr>
        <w:t>来源：</w:t>
      </w:r>
      <w:hyperlink w:anchor="source-5794">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3. 欧盟2026年二季度石油进口价值同比飙升55.8%</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欧盟2026年第二季度石油进口价值同比飙升55.8%，但进口量仅小幅上升1.2%，月均进口量达3670万吨；同期LNG进口价值上涨4.1%、进口量下降5.6%，气态天然气进口价值上涨18.5%、进口量上升3.4%。</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是欧盟最大石油供应国，占进口总量18.8%；挪威占14.3%，哈萨克斯坦占13.4%。LNG供应中，美国占63.2%，俄罗斯占17.3%，阿尔及利亚占8.1%。气态天然气方面，挪威占51.2%，阿尔及利亚占18.2%，英国占11.1%，英国超过俄罗斯（10.2%）。</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进口价值大涨而量基本平稳，反映价格驱动因素突出，欧盟对外部高价能源的支出压力显著上升。</w:t>
      </w:r>
    </w:p>
    <w:p>
      <w:pPr>
        <w:ind w:firstLine="420"/>
      </w:pPr>
      <w:r>
        <w:rPr>
          <w:rFonts w:ascii="微软雅黑" w:hAnsi="微软雅黑" w:eastAsia="微软雅黑" w:cs="微软雅黑"/>
        </w:rPr>
        <w:t>来源：</w:t>
      </w:r>
      <w:hyperlink w:anchor="source-5907">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4. 欧洲柴油期货创历史新高，多国柴油零售价翻倍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欧洲柴油期货创历史新高，德国柴油零售价17日升至每升2.471欧元，法国20日达每升2.41欧元，年内涨幅均超过一倍；亚洲柴油价格接近历史高位，约为美伊战事前水平两倍。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炼油厂运转率接近多年高位，美国炼油厂8月最后一周运转率达约98%；国际能源署指出不少炼油厂已满负荷运转。中东地区今年3月至8月柴油出口规模为日均80万桶，较去年同期减半。美伊战事以来，尼日利亚柴油价格涨近一倍，印度尼西亚、黎巴嫩涨幅分别超80%和70%。</w:t>
      </w:r>
    </w:p>
    <w:p>
      <w:pPr>
        <w:ind w:firstLine="420"/>
      </w:pPr>
      <w:r>
        <w:rPr>
          <w:rFonts w:ascii="微软雅黑" w:hAnsi="微软雅黑" w:eastAsia="微软雅黑" w:cs="微软雅黑"/>
        </w:rPr>
        <w:t>来源：</w:t>
      </w:r>
      <w:hyperlink w:anchor="source-5893">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5663">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IEA：2026年全球煤炭需求或创纪录并由天然气缺口推动</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IEA预计2026年全球煤炭需求增长1.2%，达创纪录的89.4亿公吨，较此前小幅回落的预期形成反转。报告将增长归因于霍尔木兹海峡LNG运输大幅减少，亚洲及部分欧洲国家被迫增加煤炭使用。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IEA预计强度偏高的厄尔尼诺将抬升印度、越南等亚洲主要煤炭消费国制冷用电需求，并因高温导致水电出力回落。中国和印度的煤炭需求预计分别增长1%和4.2%，分别达到50亿吨和13.53亿吨。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天然气供应受阻叠加气候因素可能推高亚洲煤炭进口与运费，并向电力成本端传导。</w:t>
      </w:r>
    </w:p>
    <w:p>
      <w:pPr>
        <w:ind w:firstLine="420"/>
      </w:pPr>
      <w:r>
        <w:rPr>
          <w:rFonts w:ascii="微软雅黑" w:hAnsi="微软雅黑" w:eastAsia="微软雅黑" w:cs="微软雅黑"/>
        </w:rPr>
        <w:t>来源：</w:t>
      </w:r>
      <w:hyperlink w:anchor="source-5666">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纽卡斯尔港动力煤价格走弱，5500大卡降至约107美元/吨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截至9月18日，纽卡斯尔港5500大卡煤价格降至约107美元/吨，周环比下降近1.5美元/吨；6000大卡煤价格回落至约143美元/吨，较前一周下降近5美元/吨，国际煤炭市场出现整体走弱迹象。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来源指出市场恐高情绪渐起，国际煤炭价格整体走弱。具体数据：9月18日纽卡斯尔港5500大卡煤约107美元/吨，周环比下降近1.5美元/吨；6000大卡煤约143美元/吨，较前一周下降近5美元/吨。两只煤种同步回落，跌幅以6000大卡相对更大。</w:t>
      </w:r>
    </w:p>
    <w:p>
      <w:pPr>
        <w:ind w:firstLine="420"/>
      </w:pPr>
      <w:r>
        <w:rPr>
          <w:rFonts w:ascii="微软雅黑" w:hAnsi="微软雅黑" w:eastAsia="微软雅黑" w:cs="微软雅黑"/>
        </w:rPr>
        <w:t>来源：</w:t>
      </w:r>
      <w:hyperlink w:anchor="source-5821">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7. 俄罗斯国家原子能公司总经理视察阿库尤核电施工现场</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俄罗斯国家原子能公司总经理阿列克谢·利哈乔夫到访土耳其阿库尤核电站施工现场，听取了项目进展汇报。1号机组设备正逐步整合为单一一体化系统，已完成第一阶段水力测试，并启动了主冷却剂泵。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项目方表示，目标是在年底前尽快完成该阶段工作，进入许可审批，取得运行许可证，并启动调试作业。</w:t>
      </w:r>
    </w:p>
    <w:p>
      <w:pPr>
        <w:ind w:firstLine="420"/>
      </w:pPr>
      <w:r>
        <w:rPr>
          <w:rFonts w:ascii="微软雅黑" w:hAnsi="微软雅黑" w:eastAsia="微软雅黑" w:cs="微软雅黑"/>
        </w:rPr>
        <w:t>来源：</w:t>
      </w:r>
      <w:hyperlink w:anchor="source-6021">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8. 2026世界新能源汽车大会共识在海口发布</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9月23日，2026世界新能源汽车大会“创新驱动与韧性增长”主论坛在海南海口举办，中国汽车工程学会理事长张进华发布《2026世界新能源汽车大会共识》。</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共识围绕绿色增长、创新突破、全球协同、产业治理、自贸港实践提出五大核心主张，锚定2035年新能源汽车新车销售渗透率达到50%的目标，推动纯电动、插电增程式混动、燃料电池多技术路线协同并进，并明确攻坚动力电池、智能底盘、融合感知等关键核心技术。共识还明确反对人为设置贸易投资壁垒，推进安全、智驾、数据、碳排放等领域国际标准法规协同，并提出发挥海南自贸港制度优势，开展汽车数据跨境流动先行先试。</w:t>
      </w:r>
    </w:p>
    <w:p>
      <w:pPr>
        <w:ind w:firstLine="420"/>
      </w:pPr>
      <w:r>
        <w:rPr>
          <w:rFonts w:ascii="微软雅黑" w:hAnsi="微软雅黑" w:eastAsia="微软雅黑" w:cs="微软雅黑"/>
        </w:rPr>
        <w:t>来源：</w:t>
      </w:r>
      <w:hyperlink w:anchor="source-600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9. 巴西就到期及临期水电站特许经营安排启动公众咨询</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矿产与能源部针对到期及即将到期的水电站特许经营安排启动公众咨询，所发布指引涵盖特许费用参数、风险分配、保证出力重算、合同期限、出让金计算及按重置新值对可逆资产进行潜在补偿等内容，并涉及大坝安全、电厂现代化、环境与监管合规以及独立发电商（PIE）制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鉴于2026年和2028年将出现水电站特许经营到期，MME提出极短期方案，旨在避免过渡期运营脆弱并保障发电连续性。指引同时触及按重置新值对可逆资产进行潜在补偿，以及独立发电商（PIE）制度安排。文件尚处公开征求意见阶段，最终规则尚未公布。</w:t>
      </w:r>
    </w:p>
    <w:p>
      <w:pPr>
        <w:ind w:firstLine="420"/>
      </w:pPr>
      <w:r>
        <w:rPr>
          <w:rFonts w:ascii="微软雅黑" w:hAnsi="微软雅黑" w:eastAsia="微软雅黑" w:cs="微软雅黑"/>
        </w:rPr>
        <w:t>来源：</w:t>
      </w:r>
      <w:hyperlink w:anchor="source-6023">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10. 皮克林核电厂整修工程合同陆续授予</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加拿大皮克林核电厂整修工程临近，多份主要合同陆续授予，其中包括Aecon联合体获得的17亿加元5号机组RFBR合同与13亿加元汽轮发电机更换合同。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Aecon与AtkinsRéalis旗下Candu Energy的50:50联合体获得17亿加元的Pickering 5号机组RFBR执行合同，工作范围包括换管、给水和蒸汽发生器更换。Aecon与西门子能源加拿大组成的联合体（Aecon控股）获得13亿加元的汽轮发电机更换合同。</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为加拿大皮克林核电厂延寿整修工程锁定主要工程与设备合同，推进项目执行阶段。</w:t>
      </w:r>
    </w:p>
    <w:p>
      <w:pPr>
        <w:ind w:firstLine="420"/>
      </w:pPr>
      <w:r>
        <w:rPr>
          <w:rFonts w:ascii="微软雅黑" w:hAnsi="微软雅黑" w:eastAsia="微软雅黑" w:cs="微软雅黑"/>
        </w:rPr>
        <w:t>来源：</w:t>
      </w:r>
      <w:hyperlink w:anchor="source-6067">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11. 道达尔能源就尼日利亚伊马气田作FID</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道达尔能源作为作业者与AMNI就尼日利亚海上Ima气田项目作出最终投资决定（FID），项目预计2028年底投产，寿命周期价值预计20亿至40亿美元。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道达尔能源作为作业者持股40%，AMNI持股60%。项目采用岸电供电、零常规火炬燃烧，并配备永久性甲烷检测与监测。NUPRC对该FID表示欢迎。寿命周期价值范围为20亿至40亿美元，取决于国际价格。</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体现尼日利亚海上气田开发推进，岸电与零常规火炬燃烧设计减少项目碳排放与放空燃烧。</w:t>
      </w:r>
    </w:p>
    <w:p>
      <w:pPr>
        <w:ind w:firstLine="420"/>
      </w:pPr>
      <w:r>
        <w:rPr>
          <w:rFonts w:ascii="微软雅黑" w:hAnsi="微软雅黑" w:eastAsia="微软雅黑" w:cs="微软雅黑"/>
        </w:rPr>
        <w:t>来源：</w:t>
      </w:r>
      <w:hyperlink w:anchor="source-6049">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6016">
        <w:r>
          <w:rPr>
            <w:rFonts w:ascii="微软雅黑" w:hAnsi="微软雅黑" w:eastAsia="微软雅黑" w:cs="微软雅黑"/>
            <w:color w:val="087E89"/>
          </w:rPr>
          <w:t>26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我国主干油气管道总里程达11.29万公里</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截至目前，我国已新建主干油气管道里程超2500公里，主干油气管道总里程达11.29万公里，覆盖30个省区市及香港特别行政区，形成“四大战略通道+五纵五横”天然气骨干管网格局。</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江苏连云港至仪征原油管道连淮段全长143.8公里，投产以来日输油量最高达7万吨。福建龙岩西气东输三线连城支线天然气管道工程已正式开工建设，建成后连城县将实现管道天然气县域直供。贵州黔南长顺支线近日投产，当地“县县通”6条支线全部接入国家主干管网，2.8万多户群众具备用气条件。规划到2030年我国将新增油气长输管道2万公里，全国油气长输管网规模达22万公里。</w:t>
      </w:r>
    </w:p>
    <w:p>
      <w:pPr>
        <w:ind w:firstLine="420"/>
      </w:pPr>
      <w:r>
        <w:rPr>
          <w:rFonts w:ascii="微软雅黑" w:hAnsi="微软雅黑" w:eastAsia="微软雅黑" w:cs="微软雅黑"/>
        </w:rPr>
        <w:t>来源：</w:t>
      </w:r>
      <w:hyperlink w:anchor="source-574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6084">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593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13. 北京经开区发布政策支持新材料中试与平台建设</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北京经济技术开发区管理委员会于2026年9月6日印发文件，明确将关键战略材料覆盖高性能电池电解质、正负极材料、钙钛矿等新型能源材料，以及半导体制造与封装、光电子、新型显示、高性能纤维及复合材料等领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提出对服务能力突出和成果孵化成效优异的新材料创新平台，给予单个平台最高500万元资金支持；聚焦人形机器人、太空能源、固态电池等关键领域需求材料建设一批新材料中试平台；支持先进能源产业应用固态电池材料、钙钛矿材料等实现太空、地面多维度发展。</w:t>
      </w:r>
    </w:p>
    <w:p>
      <w:pPr>
        <w:ind w:firstLine="420"/>
      </w:pPr>
      <w:r>
        <w:rPr>
          <w:rFonts w:ascii="微软雅黑" w:hAnsi="微软雅黑" w:eastAsia="微软雅黑" w:cs="微软雅黑"/>
        </w:rPr>
        <w:t>来源：</w:t>
      </w:r>
      <w:hyperlink w:anchor="source-6056">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14. 明天氢能签署氢能重卡批量合作项目</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明天氢能与安徽程力等签约多项氢能重卡合作，包括“疆煤外运”200辆与“成渝氢走廊”60辆等订单。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明天氢能与安徽程力等签署氢能重卡合作，涵盖“疆煤外运”200辆与“成渝氢走廊”60辆等项目；项目仍以签约形式披露，是否全部纳入后续产销统计待核实。</w:t>
      </w:r>
    </w:p>
    <w:p>
      <w:pPr>
        <w:ind w:firstLine="420"/>
      </w:pPr>
      <w:r>
        <w:rPr>
          <w:rFonts w:ascii="微软雅黑" w:hAnsi="微软雅黑" w:eastAsia="微软雅黑" w:cs="微软雅黑"/>
        </w:rPr>
        <w:t>来源：</w:t>
      </w:r>
      <w:hyperlink w:anchor="source-5748">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15. 海南环岛管网累计输送天然气突破350亿立方米</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报道，国家管网集团海南环岛天然气管网自投运以来，累计向海南全省输送清洁天然气超350亿立方米，折合替代标煤约4660万吨。环岛管网总里程899公里，设14座工艺站场、42座阀室，途经海口、三亚、文昌、陵水、乐东等14个市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2021年7月23日文昌—琼海—三亚输气管道投产，填补海南东部无管道天然气空白，形成全岛“O”字型闭环。建设过程中为保护三亚河国家湿地公园内国家二级保护野生植物，将施工方式由大开挖调整为定向钻穿越，避让自然保护区3处、饮用水源保护区2处，增加非开挖施工9处，环境保护投资近亿元。面向“十五五”，国家管网集团正推进琼粤天然气管道建设，将跨越琼州海峡，结束海南孤网运行历史，实现与内陆管网互联互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环岛管网运行减少粉尘排放约2540万吨、二氧化碳排放约5120万吨，替代标煤约4660万吨。</w:t>
      </w:r>
    </w:p>
    <w:p>
      <w:pPr>
        <w:ind w:firstLine="420"/>
      </w:pPr>
      <w:r>
        <w:rPr>
          <w:rFonts w:ascii="微软雅黑" w:hAnsi="微软雅黑" w:eastAsia="微软雅黑" w:cs="微软雅黑"/>
        </w:rPr>
        <w:t>来源：</w:t>
      </w:r>
      <w:hyperlink w:anchor="source-5741">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16. AI多光谱煤质快检项目入选央企科技成果应用拓展工程</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国家能源集团电科院牵头的“耦合AI的多光谱融合煤质快检”项目入选中央企业科技成果应用拓展工程清单，联合海康威视、中国矿业大学、南京航空航天大学等开展产学研用协同攻关。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创新“近红外+X射线荧光+激光”煤炭全息特征感知方法，构建煤炭谱学数据集和煤质快检基础大模型，旨在攻克多场景、宽范围、高精度、跨仪器的煤质快检在线测量难题。相关产品已入选国家能源局第五批能源领域首台（套）重大技术装备清单和国务院国资委中央企业科技创新成果推荐目录（2024年版）。规模化实施后，将打通煤炭“产-运-储-销-用”全链条数据链路，并创新煤炭贸易快速结算新模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来源称规模化实施后将释放千亿级资金沉淀。</w:t>
      </w:r>
    </w:p>
    <w:p>
      <w:pPr>
        <w:ind w:firstLine="420"/>
      </w:pPr>
      <w:r>
        <w:rPr>
          <w:rFonts w:ascii="微软雅黑" w:hAnsi="微软雅黑" w:eastAsia="微软雅黑" w:cs="微软雅黑"/>
        </w:rPr>
        <w:t>来源：</w:t>
      </w:r>
      <w:hyperlink w:anchor="source-5724">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17. 中广核25万吨米级环形轨道起重机下线用于华龙一号2.0建设</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中广核宣布一台起重力矩为25万吨米的环形轨道起重机下线，将用于华龙一号2.0核电站建设，主要应用于太平岭三期及后续华龙一号2.0项目。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起重机由三一重工与中国能建广东火电特种装备公司联合开发，在三一浙江湖州工业园生产。开发者称在核电大半径工况下其起重能力较国外同类产品高约50%。项目测算显示，应用该设备预计可将核电工期缩短15%，运行成本降至传统燃油设备的约四分之一，场地及物流成本分别降低20%和30%。中广核称这标志着中国超大型核电起重装备国产化的关键突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在中广核测算下，工期缩短15%、运行成本约为传统燃油设备的四分之一，可降低核电建设环节造价并加速项目交付。</w:t>
      </w:r>
    </w:p>
    <w:p>
      <w:pPr>
        <w:ind w:firstLine="420"/>
      </w:pPr>
      <w:r>
        <w:rPr>
          <w:rFonts w:ascii="微软雅黑" w:hAnsi="微软雅黑" w:eastAsia="微软雅黑" w:cs="微软雅黑"/>
        </w:rPr>
        <w:t>来源：</w:t>
      </w:r>
      <w:hyperlink w:anchor="source-6069">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18. 国家电网公布“十五五”特高压与新型电网建设目标</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国家电网董事长张智刚表态，将加快建设主配微协同的新型电网，“十五五”期间力争建成投产特高压直流15回以上、累计达到35回以上，跨省区输电能力达到5亿千瓦。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张智刚提出，电网形态从“大电网单向供电”向“主配微双向互动”深刻转变，将持续加大电网投入力度，统一规划、一体推进各级电网协调发展；目标到2030年城农网户均停电时间及城乡间、东西部供电可靠性差距较“十四五”末压降至少三分之一，具备承载9亿千瓦以上分布式新能源的能力。同时将实施服务新能源高质量发展十项举措，支撑“沙戈荒”、海上风电等基地建设和分布式光伏发展；提升系统调节能力，加大抽水蓄能建设力度，支持新型储能规模化应用，推动煤电灵活性改造；引导虚拟电厂、充换电运营商参与削峰填谷，深化电网与算力设施协同规划。</w:t>
      </w:r>
    </w:p>
    <w:p>
      <w:pPr>
        <w:ind w:firstLine="420"/>
      </w:pPr>
      <w:r>
        <w:rPr>
          <w:rFonts w:ascii="微软雅黑" w:hAnsi="微软雅黑" w:eastAsia="微软雅黑" w:cs="微软雅黑"/>
        </w:rPr>
        <w:t>来源：</w:t>
      </w:r>
      <w:hyperlink w:anchor="source-594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19. 能源基金会邹骥：碳价长期破百需四项制度设计</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能源基金会CEO邹骥在接受专访时表示，碳价应由制度设计决定，并提出全国碳市场长期稳定在百元/吨以上需满足总量控制、免费与有偿分配相结合、多元主体入市、与减排目标挂钩四项前提。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2026年7月底，全国碳市场累计成交量超过9.3亿吨，覆盖发电、钢铁、水泥、铝冶炼四个行业。中央明确到2027年基本覆盖工业领域主要排放行业，到2030年基本建成以总量控制为基础、免费和有偿相结合的全国碳市场。国内碳价2024年一度破百，2025年回落至50多元/吨。邹骥提出2026年政策信号已明确年内争取引入首批银行、券商等金融机构参与全国碳市场交易，目前已有27家券商取得碳排放权交易业务资质，并将建立碳质押、碳回购制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若上述四项制度落地，有望推动国内碳价中枢上行并增强市场流动性。</w:t>
      </w:r>
    </w:p>
    <w:p>
      <w:pPr>
        <w:ind w:firstLine="420"/>
      </w:pPr>
      <w:r>
        <w:rPr>
          <w:rFonts w:ascii="微软雅黑" w:hAnsi="微软雅黑" w:eastAsia="微软雅黑" w:cs="微软雅黑"/>
        </w:rPr>
        <w:t>来源：</w:t>
      </w:r>
      <w:hyperlink w:anchor="source-574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20. 截至2026年8月底全国电动汽车充电基础设施（枪）总数达2422.3万个</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国家能源局于2026年9月23日发布数据，截至2026年8月底，我国电动汽车充电基础设施（枪）总数达2422.3万个，同比增长39.6%。</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2026年8月底，全国电动汽车充电基础设施（枪）总数2422.3万个，同比增长39.6%。其中公共充电设施（枪）516.0万个，同比增长19.5%，额定总功率达2.62亿千瓦，单枪平均功率约50.69千瓦；私人充电设施（枪）1906.3万个，同比增长46.3%，报装用电容量达1.63亿千伏安。数据来源于国家充电设施监测服务平台。</w:t>
      </w:r>
    </w:p>
    <w:p>
      <w:pPr>
        <w:ind w:firstLine="420"/>
      </w:pPr>
      <w:r>
        <w:rPr>
          <w:rFonts w:ascii="微软雅黑" w:hAnsi="微软雅黑" w:eastAsia="微软雅黑" w:cs="微软雅黑"/>
        </w:rPr>
        <w:t>来源：</w:t>
      </w:r>
      <w:hyperlink w:anchor="source-5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5765">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5894">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美国与挪威等主要供应国的份额变化，以及LNG进口量持续下滑是否会进一步推高LNG到岸成本。 </w:t>
      </w:r>
      <w:hyperlink w:anchor="source-5907">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霍尔木兹海峡LNG运输恢复进展及厄尔尼诺实际强度对煤炭需求的最终影响。 </w:t>
      </w:r>
      <w:hyperlink w:anchor="source-5666">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公众咨询后续是否落地为正式特许经营安排、保证出力与出让金参数如何调整、PIE制度是否同步修订。 </w:t>
      </w:r>
      <w:hyperlink w:anchor="source-602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1号机组运行许可证审批、调试作业启动时间以及年底前阶段目标能否按期达成，仍有待后续确认。 </w:t>
      </w:r>
      <w:hyperlink w:anchor="source-6021">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OTCF最终费率水平、生效时间及对Gate 2前后队列的具体处理结果。 </w:t>
      </w:r>
      <w:hyperlink w:anchor="source-593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公共与私人充电设施规模、功率结构后续变化情况。 </w:t>
      </w:r>
      <w:hyperlink w:anchor="source-5858">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5765">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5894">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285 篇文章，形成 282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5907"/>
      <w:bookmarkEnd w:id="1" w:name="source-5907"/>
    </w:p>
    <w:p>
      <w:pPr>
        <w:pStyle w:val="ListBullet"/>
      </w:pPr>
      <w:r>
        <w:rPr>
          <w:rFonts w:ascii="微软雅黑" w:hAnsi="微软雅黑" w:eastAsia="微软雅黑" w:cs="微软雅黑"/>
        </w:rPr>
        <w:t>[1] OGN News｜</w:t>
      </w:r>
      <w:hyperlink r:id="rId11">
        <w:r>
          <w:rPr>
            <w:rFonts w:ascii="微软雅黑" w:hAnsi="微软雅黑" w:eastAsia="微软雅黑" w:cs="微软雅黑"/>
            <w:color w:val="087E89"/>
          </w:rPr>
          <w:t>欧盟能源进口账单飙升，2026年第二季度石油进口价值上涨55.8%</w:t>
        </w:r>
      </w:hyperlink>
      <w:r>
        <w:rPr>
          <w:rFonts w:ascii="微软雅黑" w:hAnsi="微软雅黑" w:eastAsia="微软雅黑" w:cs="微软雅黑"/>
        </w:rPr>
      </w:r>
    </w:p>
    <w:p>
      <w:pPr>
        <w:spacing w:after="0" w:line="20" w:lineRule="exact"/>
      </w:pPr>
      <w:bookmarkStart w:id="2" w:name="source-5666"/>
      <w:bookmarkEnd w:id="2" w:name="source-5666"/>
    </w:p>
    <w:p>
      <w:pPr>
        <w:pStyle w:val="ListBullet"/>
      </w:pPr>
      <w:r>
        <w:rPr>
          <w:rFonts w:ascii="微软雅黑" w:hAnsi="微软雅黑" w:eastAsia="微软雅黑" w:cs="微软雅黑"/>
        </w:rPr>
        <w:t>[2] 智通财经 · 港股概念追踪 | 天然气涨价倒逼能源切换 今年全球煤炭消费或将创纪录(附概念股)｜</w:t>
      </w:r>
      <w:hyperlink r:id="rId12">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3" w:name="source-6023"/>
      <w:bookmarkEnd w:id="3" w:name="source-6023"/>
    </w:p>
    <w:p>
      <w:pPr>
        <w:pStyle w:val="ListBullet"/>
      </w:pPr>
      <w:r>
        <w:rPr>
          <w:rFonts w:ascii="微软雅黑" w:hAnsi="微软雅黑" w:eastAsia="微软雅黑" w:cs="微软雅黑"/>
        </w:rPr>
        <w:t>[3] 巴西矿产与能源部｜</w:t>
      </w:r>
      <w:hyperlink r:id="rId13">
        <w:r>
          <w:rPr>
            <w:rFonts w:ascii="微软雅黑" w:hAnsi="微软雅黑" w:eastAsia="微软雅黑" w:cs="微软雅黑"/>
            <w:color w:val="087E89"/>
          </w:rPr>
          <w:t>MME就到期及即将到期水电站特许经营公开征求意见</w:t>
        </w:r>
      </w:hyperlink>
      <w:r>
        <w:rPr>
          <w:rFonts w:ascii="微软雅黑" w:hAnsi="微软雅黑" w:eastAsia="微软雅黑" w:cs="微软雅黑"/>
        </w:rPr>
      </w:r>
    </w:p>
    <w:p>
      <w:pPr>
        <w:spacing w:after="0" w:line="20" w:lineRule="exact"/>
      </w:pPr>
      <w:bookmarkStart w:id="4" w:name="source-6021"/>
      <w:bookmarkEnd w:id="4" w:name="source-6021"/>
    </w:p>
    <w:p>
      <w:pPr>
        <w:pStyle w:val="ListBullet"/>
      </w:pPr>
      <w:r>
        <w:rPr>
          <w:rFonts w:ascii="微软雅黑" w:hAnsi="微软雅黑" w:eastAsia="微软雅黑" w:cs="微软雅黑"/>
        </w:rPr>
        <w:t>[4] 俄罗斯国家原子能公司｜</w:t>
      </w:r>
      <w:hyperlink r:id="rId14">
        <w:r>
          <w:rPr>
            <w:rFonts w:ascii="微软雅黑" w:hAnsi="微软雅黑" w:eastAsia="微软雅黑" w:cs="微软雅黑"/>
            <w:color w:val="087E89"/>
          </w:rPr>
          <w:t>建设工地</w:t>
        </w:r>
      </w:hyperlink>
      <w:r>
        <w:rPr>
          <w:rFonts w:ascii="微软雅黑" w:hAnsi="微软雅黑" w:eastAsia="微软雅黑" w:cs="微软雅黑"/>
        </w:rPr>
      </w:r>
    </w:p>
    <w:p>
      <w:pPr>
        <w:spacing w:after="0" w:line="20" w:lineRule="exact"/>
      </w:pPr>
      <w:bookmarkStart w:id="5" w:name="source-5938"/>
      <w:bookmarkEnd w:id="5" w:name="source-5938"/>
    </w:p>
    <w:p>
      <w:pPr>
        <w:pStyle w:val="ListBullet"/>
      </w:pPr>
      <w:r>
        <w:rPr>
          <w:rFonts w:ascii="微软雅黑" w:hAnsi="微软雅黑" w:eastAsia="微软雅黑" w:cs="微软雅黑"/>
        </w:rPr>
        <w:t>[5] Energy-Storage.news｜</w:t>
      </w:r>
      <w:hyperlink r:id="rId15">
        <w:r>
          <w:rPr>
            <w:rFonts w:ascii="微软雅黑" w:hAnsi="微软雅黑" w:eastAsia="微软雅黑" w:cs="微软雅黑"/>
            <w:color w:val="087E89"/>
          </w:rPr>
          <w:t>英国监管机构寻求通过额外财务承诺削减电池储能系统并网积压</w:t>
        </w:r>
      </w:hyperlink>
      <w:r>
        <w:rPr>
          <w:rFonts w:ascii="微软雅黑" w:hAnsi="微软雅黑" w:eastAsia="微软雅黑" w:cs="微软雅黑"/>
        </w:rPr>
      </w:r>
    </w:p>
    <w:p>
      <w:pPr>
        <w:spacing w:after="0" w:line="20" w:lineRule="exact"/>
      </w:pPr>
      <w:bookmarkStart w:id="6" w:name="source-5858"/>
      <w:bookmarkEnd w:id="6" w:name="source-5858"/>
    </w:p>
    <w:p>
      <w:pPr>
        <w:pStyle w:val="ListBullet"/>
      </w:pPr>
      <w:r>
        <w:rPr>
          <w:rFonts w:ascii="微软雅黑" w:hAnsi="微软雅黑" w:eastAsia="微软雅黑" w:cs="微软雅黑"/>
        </w:rPr>
        <w:t>[6] 国家能源局｜</w:t>
      </w:r>
      <w:hyperlink r:id="rId16">
        <w:r>
          <w:rPr>
            <w:rFonts w:ascii="微软雅黑" w:hAnsi="微软雅黑" w:eastAsia="微软雅黑" w:cs="微软雅黑"/>
            <w:color w:val="087E89"/>
          </w:rPr>
          <w:t>2026年8月全国电动汽车充电设施数据情况</w:t>
        </w:r>
      </w:hyperlink>
      <w:r>
        <w:rPr>
          <w:rFonts w:ascii="微软雅黑" w:hAnsi="微软雅黑" w:eastAsia="微软雅黑" w:cs="微软雅黑"/>
        </w:rPr>
      </w:r>
    </w:p>
    <w:p>
      <w:pPr>
        <w:spacing w:after="0" w:line="20" w:lineRule="exact"/>
      </w:pPr>
      <w:bookmarkStart w:id="7" w:name="source-5765"/>
      <w:bookmarkEnd w:id="7" w:name="source-5765"/>
    </w:p>
    <w:p>
      <w:pPr>
        <w:pStyle w:val="ListBullet"/>
      </w:pPr>
      <w:r>
        <w:rPr>
          <w:rFonts w:ascii="微软雅黑" w:hAnsi="微软雅黑" w:eastAsia="微软雅黑" w:cs="微软雅黑"/>
        </w:rPr>
        <w:t>[7] 央视新闻等｜</w:t>
      </w:r>
      <w:hyperlink r:id="rId17">
        <w:r>
          <w:rPr>
            <w:rFonts w:ascii="微软雅黑" w:hAnsi="微软雅黑" w:eastAsia="微软雅黑" w:cs="微软雅黑"/>
            <w:color w:val="087E89"/>
          </w:rPr>
          <w:t>国家能源局：截至2026年8月底，我国电动汽车充电基础设施（枪）总数达到2422.3万个</w:t>
        </w:r>
      </w:hyperlink>
      <w:r>
        <w:rPr>
          <w:rFonts w:ascii="微软雅黑" w:hAnsi="微软雅黑" w:eastAsia="微软雅黑" w:cs="微软雅黑"/>
        </w:rPr>
      </w:r>
    </w:p>
    <w:p>
      <w:pPr>
        <w:spacing w:after="0" w:line="20" w:lineRule="exact"/>
      </w:pPr>
      <w:bookmarkStart w:id="8" w:name="source-5894"/>
      <w:bookmarkEnd w:id="8" w:name="source-5894"/>
    </w:p>
    <w:p>
      <w:pPr>
        <w:pStyle w:val="ListBullet"/>
      </w:pPr>
      <w:r>
        <w:rPr>
          <w:rFonts w:ascii="微软雅黑" w:hAnsi="微软雅黑" w:eastAsia="微软雅黑" w:cs="微软雅黑"/>
        </w:rPr>
        <w:t>[8] 中国能源新闻网｜</w:t>
      </w:r>
      <w:hyperlink r:id="rId18">
        <w:r>
          <w:rPr>
            <w:rFonts w:ascii="微软雅黑" w:hAnsi="微软雅黑" w:eastAsia="微软雅黑" w:cs="微软雅黑"/>
            <w:color w:val="087E89"/>
          </w:rPr>
          <w:t>我国电动汽车充电基础设施总数达2422.3万个</w:t>
        </w:r>
      </w:hyperlink>
      <w:r>
        <w:rPr>
          <w:rFonts w:ascii="微软雅黑" w:hAnsi="微软雅黑" w:eastAsia="微软雅黑" w:cs="微软雅黑"/>
        </w:rPr>
      </w:r>
    </w:p>
    <w:p>
      <w:pPr>
        <w:spacing w:after="0" w:line="20" w:lineRule="exact"/>
      </w:pPr>
      <w:bookmarkStart w:id="9" w:name="source-5747"/>
      <w:bookmarkEnd w:id="9" w:name="source-5747"/>
    </w:p>
    <w:p>
      <w:pPr>
        <w:pStyle w:val="ListBullet"/>
      </w:pPr>
      <w:r>
        <w:rPr>
          <w:rFonts w:ascii="微软雅黑" w:hAnsi="微软雅黑" w:eastAsia="微软雅黑" w:cs="微软雅黑"/>
        </w:rPr>
        <w:t>[9] 上海石油天然气交易中心｜</w:t>
      </w:r>
      <w:hyperlink r:id="rId19">
        <w:r>
          <w:rPr>
            <w:rFonts w:ascii="微软雅黑" w:hAnsi="微软雅黑" w:eastAsia="微软雅黑" w:cs="微软雅黑"/>
            <w:color w:val="087E89"/>
          </w:rPr>
          <w:t>今年我国新建主干油气管道超2500公里</w:t>
        </w:r>
      </w:hyperlink>
      <w:r>
        <w:rPr>
          <w:rFonts w:ascii="微软雅黑" w:hAnsi="微软雅黑" w:eastAsia="微软雅黑" w:cs="微软雅黑"/>
        </w:rPr>
      </w:r>
    </w:p>
    <w:p>
      <w:pPr>
        <w:spacing w:after="0" w:line="20" w:lineRule="exact"/>
      </w:pPr>
      <w:bookmarkStart w:id="10" w:name="source-6084"/>
      <w:bookmarkEnd w:id="10" w:name="source-6084"/>
    </w:p>
    <w:p>
      <w:pPr>
        <w:pStyle w:val="ListBullet"/>
      </w:pPr>
      <w:r>
        <w:rPr>
          <w:rFonts w:ascii="微软雅黑" w:hAnsi="微软雅黑" w:eastAsia="微软雅黑" w:cs="微软雅黑"/>
        </w:rPr>
        <w:t>[10] 中国能源新闻网｜</w:t>
      </w:r>
      <w:hyperlink r:id="rId20">
        <w:r>
          <w:rPr>
            <w:rFonts w:ascii="微软雅黑" w:hAnsi="微软雅黑" w:eastAsia="微软雅黑" w:cs="微软雅黑"/>
            <w:color w:val="087E89"/>
          </w:rPr>
          <w:t>我国主干油气管道总里程达11.29万公里</w:t>
        </w:r>
      </w:hyperlink>
      <w:r>
        <w:rPr>
          <w:rFonts w:ascii="微软雅黑" w:hAnsi="微软雅黑" w:eastAsia="微软雅黑" w:cs="微软雅黑"/>
        </w:rPr>
      </w:r>
    </w:p>
    <w:p>
      <w:pPr>
        <w:spacing w:after="0" w:line="20" w:lineRule="exact"/>
      </w:pPr>
      <w:bookmarkStart w:id="11" w:name="source-5935"/>
      <w:bookmarkEnd w:id="11" w:name="source-5935"/>
    </w:p>
    <w:p>
      <w:pPr>
        <w:pStyle w:val="ListBullet"/>
      </w:pPr>
      <w:r>
        <w:rPr>
          <w:rFonts w:ascii="微软雅黑" w:hAnsi="微软雅黑" w:eastAsia="微软雅黑" w:cs="微软雅黑"/>
        </w:rPr>
        <w:t>[11] 中国能源网｜</w:t>
      </w:r>
      <w:hyperlink r:id="rId21">
        <w:r>
          <w:rPr>
            <w:rFonts w:ascii="微软雅黑" w:hAnsi="微软雅黑" w:eastAsia="微软雅黑" w:cs="微软雅黑"/>
            <w:color w:val="087E89"/>
          </w:rPr>
          <w:t>我国主干油气管道总里程达11.29万公里</w:t>
        </w:r>
      </w:hyperlink>
      <w:r>
        <w:rPr>
          <w:rFonts w:ascii="微软雅黑" w:hAnsi="微软雅黑" w:eastAsia="微软雅黑" w:cs="微软雅黑"/>
        </w:rPr>
      </w:r>
    </w:p>
    <w:p>
      <w:pPr>
        <w:spacing w:after="0" w:line="20" w:lineRule="exact"/>
      </w:pPr>
      <w:bookmarkStart w:id="12" w:name="source-5746"/>
      <w:bookmarkEnd w:id="12" w:name="source-5746"/>
    </w:p>
    <w:p>
      <w:pPr>
        <w:pStyle w:val="ListBullet"/>
      </w:pPr>
      <w:r>
        <w:rPr>
          <w:rFonts w:ascii="微软雅黑" w:hAnsi="微软雅黑" w:eastAsia="微软雅黑" w:cs="微软雅黑"/>
        </w:rPr>
        <w:t>[12] 界面新闻｜</w:t>
      </w:r>
      <w:hyperlink r:id="rId22">
        <w:r>
          <w:rPr>
            <w:rFonts w:ascii="微软雅黑" w:hAnsi="微软雅黑" w:eastAsia="微软雅黑" w:cs="微软雅黑"/>
            <w:color w:val="087E89"/>
          </w:rPr>
          <w:t>【专访】能源基金会CEO邹骥：碳价不是预测出来的，而是制度设计出来的</w:t>
        </w:r>
      </w:hyperlink>
      <w:r>
        <w:rPr>
          <w:rFonts w:ascii="微软雅黑" w:hAnsi="微软雅黑" w:eastAsia="微软雅黑" w:cs="微软雅黑"/>
        </w:rPr>
      </w:r>
    </w:p>
    <w:p>
      <w:pPr>
        <w:spacing w:after="0" w:line="20" w:lineRule="exact"/>
      </w:pPr>
      <w:bookmarkStart w:id="13" w:name="source-6067"/>
      <w:bookmarkEnd w:id="13" w:name="source-6067"/>
    </w:p>
    <w:p>
      <w:pPr>
        <w:pStyle w:val="ListBullet"/>
      </w:pPr>
      <w:r>
        <w:rPr>
          <w:rFonts w:ascii="微软雅黑" w:hAnsi="微软雅黑" w:eastAsia="微软雅黑" w:cs="微软雅黑"/>
        </w:rPr>
        <w:t>[13] 世界核新闻｜</w:t>
      </w:r>
      <w:hyperlink r:id="rId23">
        <w:r>
          <w:rPr>
            <w:rFonts w:ascii="微软雅黑" w:hAnsi="微软雅黑" w:eastAsia="微软雅黑" w:cs="微软雅黑"/>
            <w:color w:val="087E89"/>
          </w:rPr>
          <w:t>皮克林整修工程临近 合同陆续宣布</w:t>
        </w:r>
      </w:hyperlink>
      <w:r>
        <w:rPr>
          <w:rFonts w:ascii="微软雅黑" w:hAnsi="微软雅黑" w:eastAsia="微软雅黑" w:cs="微软雅黑"/>
        </w:rPr>
      </w:r>
    </w:p>
    <w:p>
      <w:pPr>
        <w:spacing w:after="0" w:line="20" w:lineRule="exact"/>
      </w:pPr>
      <w:bookmarkStart w:id="14" w:name="source-6002"/>
      <w:bookmarkEnd w:id="14" w:name="source-6002"/>
    </w:p>
    <w:p>
      <w:pPr>
        <w:pStyle w:val="ListBullet"/>
      </w:pPr>
      <w:r>
        <w:rPr>
          <w:rFonts w:ascii="微软雅黑" w:hAnsi="微软雅黑" w:eastAsia="微软雅黑" w:cs="微软雅黑"/>
        </w:rPr>
        <w:t>[14] 科技日报｜</w:t>
      </w:r>
      <w:hyperlink r:id="rId24">
        <w:r>
          <w:rPr>
            <w:rFonts w:ascii="微软雅黑" w:hAnsi="微软雅黑" w:eastAsia="微软雅黑" w:cs="微软雅黑"/>
            <w:color w:val="087E89"/>
          </w:rPr>
          <w:t>《2026世界新能源汽车大会共识》在海口发布</w:t>
        </w:r>
      </w:hyperlink>
      <w:r>
        <w:rPr>
          <w:rFonts w:ascii="微软雅黑" w:hAnsi="微软雅黑" w:eastAsia="微软雅黑" w:cs="微软雅黑"/>
        </w:rPr>
      </w:r>
    </w:p>
    <w:p>
      <w:pPr>
        <w:spacing w:after="0" w:line="20" w:lineRule="exact"/>
      </w:pPr>
      <w:bookmarkStart w:id="15" w:name="source-5947"/>
      <w:bookmarkEnd w:id="15" w:name="source-5947"/>
    </w:p>
    <w:p>
      <w:pPr>
        <w:pStyle w:val="ListBullet"/>
      </w:pPr>
      <w:r>
        <w:rPr>
          <w:rFonts w:ascii="微软雅黑" w:hAnsi="微软雅黑" w:eastAsia="微软雅黑" w:cs="微软雅黑"/>
        </w:rPr>
        <w:t>[15] Solarbe(光伏网)｜</w:t>
      </w:r>
      <w:hyperlink r:id="rId25">
        <w:r>
          <w:rPr>
            <w:rFonts w:ascii="微软雅黑" w:hAnsi="微软雅黑" w:eastAsia="微软雅黑" w:cs="微软雅黑"/>
            <w:color w:val="087E89"/>
          </w:rPr>
          <w:t>国家电网董事长张智刚：加快建设主配微协同的新型电网、“十五五”力争建成投产特高压直流15回以上、跨省区输电能力达到5亿千瓦！</w:t>
        </w:r>
      </w:hyperlink>
      <w:r>
        <w:rPr>
          <w:rFonts w:ascii="微软雅黑" w:hAnsi="微软雅黑" w:eastAsia="微软雅黑" w:cs="微软雅黑"/>
        </w:rPr>
      </w:r>
    </w:p>
    <w:p>
      <w:pPr>
        <w:spacing w:after="0" w:line="20" w:lineRule="exact"/>
      </w:pPr>
      <w:bookmarkStart w:id="16" w:name="source-5724"/>
      <w:bookmarkEnd w:id="16" w:name="source-5724"/>
    </w:p>
    <w:p>
      <w:pPr>
        <w:pStyle w:val="ListBullet"/>
      </w:pPr>
      <w:r>
        <w:rPr>
          <w:rFonts w:ascii="微软雅黑" w:hAnsi="微软雅黑" w:eastAsia="微软雅黑" w:cs="微软雅黑"/>
        </w:rPr>
        <w:t>[16] 国家能源集团｜</w:t>
      </w:r>
      <w:hyperlink r:id="rId26">
        <w:r>
          <w:rPr>
            <w:rFonts w:ascii="微软雅黑" w:hAnsi="微软雅黑" w:eastAsia="微软雅黑" w:cs="微软雅黑"/>
            <w:color w:val="087E89"/>
          </w:rPr>
          <w:t>“耦合AI的多光谱融合煤质快检”项目入选中央企业科技成果应用拓展工程</w:t>
        </w:r>
      </w:hyperlink>
      <w:r>
        <w:rPr>
          <w:rFonts w:ascii="微软雅黑" w:hAnsi="微软雅黑" w:eastAsia="微软雅黑" w:cs="微软雅黑"/>
        </w:rPr>
      </w:r>
    </w:p>
    <w:p>
      <w:pPr>
        <w:spacing w:after="0" w:line="20" w:lineRule="exact"/>
      </w:pPr>
      <w:bookmarkStart w:id="17" w:name="source-6069"/>
      <w:bookmarkEnd w:id="17" w:name="source-6069"/>
    </w:p>
    <w:p>
      <w:pPr>
        <w:pStyle w:val="ListBullet"/>
      </w:pPr>
      <w:r>
        <w:rPr>
          <w:rFonts w:ascii="微软雅黑" w:hAnsi="微软雅黑" w:eastAsia="微软雅黑" w:cs="微软雅黑"/>
        </w:rPr>
        <w:t>[17] 世界核新闻｜</w:t>
      </w:r>
      <w:hyperlink r:id="rId27">
        <w:r>
          <w:rPr>
            <w:rFonts w:ascii="微软雅黑" w:hAnsi="微软雅黑" w:eastAsia="微软雅黑" w:cs="微软雅黑"/>
            <w:color w:val="087E89"/>
          </w:rPr>
          <w:t>中国用于核电建设施工的巨型起重机</w:t>
        </w:r>
      </w:hyperlink>
      <w:r>
        <w:rPr>
          <w:rFonts w:ascii="微软雅黑" w:hAnsi="微软雅黑" w:eastAsia="微软雅黑" w:cs="微软雅黑"/>
        </w:rPr>
      </w:r>
    </w:p>
    <w:p>
      <w:pPr>
        <w:spacing w:after="0" w:line="20" w:lineRule="exact"/>
      </w:pPr>
      <w:bookmarkStart w:id="18" w:name="source-5821"/>
      <w:bookmarkEnd w:id="18" w:name="source-5821"/>
    </w:p>
    <w:p>
      <w:pPr>
        <w:pStyle w:val="ListBullet"/>
      </w:pPr>
      <w:r>
        <w:rPr>
          <w:rFonts w:ascii="微软雅黑" w:hAnsi="微软雅黑" w:eastAsia="微软雅黑" w:cs="微软雅黑"/>
        </w:rPr>
        <w:t>[18] 中国能源网｜</w:t>
      </w:r>
      <w:hyperlink r:id="rId28">
        <w:r>
          <w:rPr>
            <w:rFonts w:ascii="微软雅黑" w:hAnsi="微软雅黑" w:eastAsia="微软雅黑" w:cs="微软雅黑"/>
            <w:color w:val="087E89"/>
          </w:rPr>
          <w:t>市场恐高情绪渐起，国际煤炭价格整体走弱</w:t>
        </w:r>
      </w:hyperlink>
      <w:r>
        <w:rPr>
          <w:rFonts w:ascii="微软雅黑" w:hAnsi="微软雅黑" w:eastAsia="微软雅黑" w:cs="微软雅黑"/>
        </w:rPr>
      </w:r>
    </w:p>
    <w:p>
      <w:pPr>
        <w:spacing w:after="0" w:line="20" w:lineRule="exact"/>
      </w:pPr>
      <w:bookmarkStart w:id="19" w:name="source-5748"/>
      <w:bookmarkEnd w:id="19" w:name="source-5748"/>
    </w:p>
    <w:p>
      <w:pPr>
        <w:pStyle w:val="ListBullet"/>
      </w:pPr>
      <w:r>
        <w:rPr>
          <w:rFonts w:ascii="微软雅黑" w:hAnsi="微软雅黑" w:eastAsia="微软雅黑" w:cs="微软雅黑"/>
        </w:rPr>
        <w:t>[19] 经济观察网｜</w:t>
      </w:r>
      <w:hyperlink r:id="rId29">
        <w:r>
          <w:rPr>
            <w:rFonts w:ascii="微软雅黑" w:hAnsi="微软雅黑" w:eastAsia="微软雅黑" w:cs="微软雅黑"/>
            <w:color w:val="087E89"/>
          </w:rPr>
          <w:t>明天氢能电堆九年降本超90%，“绿色石油”距规模商业化更近了吗</w:t>
        </w:r>
      </w:hyperlink>
      <w:r>
        <w:rPr>
          <w:rFonts w:ascii="微软雅黑" w:hAnsi="微软雅黑" w:eastAsia="微软雅黑" w:cs="微软雅黑"/>
        </w:rPr>
      </w:r>
    </w:p>
    <w:p>
      <w:pPr>
        <w:spacing w:after="0" w:line="20" w:lineRule="exact"/>
      </w:pPr>
      <w:bookmarkStart w:id="20" w:name="source-5741"/>
      <w:bookmarkEnd w:id="20" w:name="source-5741"/>
    </w:p>
    <w:p>
      <w:pPr>
        <w:pStyle w:val="ListBullet"/>
      </w:pPr>
      <w:r>
        <w:rPr>
          <w:rFonts w:ascii="微软雅黑" w:hAnsi="微软雅黑" w:eastAsia="微软雅黑" w:cs="微软雅黑"/>
        </w:rPr>
        <w:t>[20] 新华社｜</w:t>
      </w:r>
      <w:hyperlink r:id="rId30">
        <w:r>
          <w:rPr>
            <w:rFonts w:ascii="微软雅黑" w:hAnsi="微软雅黑" w:eastAsia="微软雅黑" w:cs="微软雅黑"/>
            <w:color w:val="087E89"/>
          </w:rPr>
          <w:t>海南环岛管网累计输送天然气超350亿立方米</w:t>
        </w:r>
      </w:hyperlink>
      <w:r>
        <w:rPr>
          <w:rFonts w:ascii="微软雅黑" w:hAnsi="微软雅黑" w:eastAsia="微软雅黑" w:cs="微软雅黑"/>
        </w:rPr>
      </w:r>
    </w:p>
    <w:p>
      <w:pPr>
        <w:spacing w:after="0" w:line="20" w:lineRule="exact"/>
      </w:pPr>
      <w:bookmarkStart w:id="21" w:name="source-5893"/>
      <w:bookmarkEnd w:id="21" w:name="source-5893"/>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国际柴油价格狂飙成为市场关注焦点</w:t>
        </w:r>
      </w:hyperlink>
      <w:r>
        <w:rPr>
          <w:rFonts w:ascii="微软雅黑" w:hAnsi="微软雅黑" w:eastAsia="微软雅黑" w:cs="微软雅黑"/>
        </w:rPr>
      </w:r>
    </w:p>
    <w:p>
      <w:pPr>
        <w:spacing w:after="0" w:line="20" w:lineRule="exact"/>
      </w:pPr>
      <w:bookmarkStart w:id="22" w:name="source-5663"/>
      <w:bookmarkEnd w:id="22" w:name="source-5663"/>
    </w:p>
    <w:p>
      <w:pPr>
        <w:pStyle w:val="ListBullet"/>
      </w:pPr>
      <w:r>
        <w:rPr>
          <w:rFonts w:ascii="微软雅黑" w:hAnsi="微软雅黑" w:eastAsia="微软雅黑" w:cs="微软雅黑"/>
        </w:rPr>
        <w:t>[22] 经济日报｜</w:t>
      </w:r>
      <w:hyperlink r:id="rId32">
        <w:r>
          <w:rPr>
            <w:rFonts w:ascii="微软雅黑" w:hAnsi="微软雅黑" w:eastAsia="微软雅黑" w:cs="微软雅黑"/>
            <w:color w:val="087E89"/>
          </w:rPr>
          <w:t>国际柴油价格缘何狂飙</w:t>
        </w:r>
      </w:hyperlink>
      <w:r>
        <w:rPr>
          <w:rFonts w:ascii="微软雅黑" w:hAnsi="微软雅黑" w:eastAsia="微软雅黑" w:cs="微软雅黑"/>
        </w:rPr>
      </w:r>
    </w:p>
    <w:p>
      <w:pPr>
        <w:spacing w:after="0" w:line="20" w:lineRule="exact"/>
      </w:pPr>
      <w:bookmarkStart w:id="23" w:name="source-5794"/>
      <w:bookmarkEnd w:id="23" w:name="source-5794"/>
    </w:p>
    <w:p>
      <w:pPr>
        <w:pStyle w:val="ListBullet"/>
      </w:pPr>
      <w:r>
        <w:rPr>
          <w:rFonts w:ascii="微软雅黑" w:hAnsi="微软雅黑" w:eastAsia="微软雅黑" w:cs="微软雅黑"/>
        </w:rPr>
        <w:t>[23] OGN News｜</w:t>
      </w:r>
      <w:hyperlink r:id="rId33">
        <w:r>
          <w:rPr>
            <w:rFonts w:ascii="微软雅黑" w:hAnsi="微软雅黑" w:eastAsia="微软雅黑" w:cs="微软雅黑"/>
            <w:color w:val="087E89"/>
          </w:rPr>
          <w:t>美国提议设立100亿美元基金以重建海湾地区能源基础设施并开辟新路线</w:t>
        </w:r>
      </w:hyperlink>
      <w:r>
        <w:rPr>
          <w:rFonts w:ascii="微软雅黑" w:hAnsi="微软雅黑" w:eastAsia="微软雅黑" w:cs="微软雅黑"/>
        </w:rPr>
      </w:r>
    </w:p>
    <w:p>
      <w:pPr>
        <w:spacing w:after="0" w:line="20" w:lineRule="exact"/>
      </w:pPr>
      <w:bookmarkStart w:id="24" w:name="source-6056"/>
      <w:bookmarkEnd w:id="24" w:name="source-6056"/>
    </w:p>
    <w:p>
      <w:pPr>
        <w:pStyle w:val="ListBullet"/>
      </w:pPr>
      <w:r>
        <w:rPr>
          <w:rFonts w:ascii="微软雅黑" w:hAnsi="微软雅黑" w:eastAsia="微软雅黑" w:cs="微软雅黑"/>
        </w:rPr>
        <w:t>[24] Solarbe(光伏网)｜</w:t>
      </w:r>
      <w:hyperlink r:id="rId34">
        <w:r>
          <w:rPr>
            <w:rFonts w:ascii="微软雅黑" w:hAnsi="微软雅黑" w:eastAsia="微软雅黑" w:cs="微软雅黑"/>
            <w:color w:val="087E89"/>
          </w:rPr>
          <w:t>北京经济技术开发区：推动先进能源产业应用钙钛矿材料等实现太空、地面多维度发展</w:t>
        </w:r>
      </w:hyperlink>
      <w:r>
        <w:rPr>
          <w:rFonts w:ascii="微软雅黑" w:hAnsi="微软雅黑" w:eastAsia="微软雅黑" w:cs="微软雅黑"/>
        </w:rPr>
      </w:r>
    </w:p>
    <w:p>
      <w:pPr>
        <w:spacing w:after="0" w:line="20" w:lineRule="exact"/>
      </w:pPr>
      <w:bookmarkStart w:id="25" w:name="source-6049"/>
      <w:bookmarkEnd w:id="25" w:name="source-6049"/>
    </w:p>
    <w:p>
      <w:pPr>
        <w:pStyle w:val="ListBullet"/>
      </w:pPr>
      <w:r>
        <w:rPr>
          <w:rFonts w:ascii="微软雅黑" w:hAnsi="微软雅黑" w:eastAsia="微软雅黑" w:cs="微软雅黑"/>
        </w:rPr>
        <w:t>[25] 尼日利亚上游石油监管委员会｜</w:t>
      </w:r>
      <w:hyperlink r:id="rId35">
        <w:r>
          <w:rPr>
            <w:rFonts w:ascii="微软雅黑" w:hAnsi="微软雅黑" w:eastAsia="微软雅黑" w:cs="微软雅黑"/>
            <w:color w:val="087E89"/>
          </w:rPr>
          <w:t>NUPRC对道达尔能源、AMNI在ImaGas项目的FID表示欢迎</w:t>
        </w:r>
      </w:hyperlink>
      <w:r>
        <w:rPr>
          <w:rFonts w:ascii="微软雅黑" w:hAnsi="微软雅黑" w:eastAsia="微软雅黑" w:cs="微软雅黑"/>
        </w:rPr>
      </w:r>
    </w:p>
    <w:p>
      <w:pPr>
        <w:spacing w:after="0" w:line="20" w:lineRule="exact"/>
      </w:pPr>
      <w:bookmarkStart w:id="26" w:name="source-6016"/>
      <w:bookmarkEnd w:id="26" w:name="source-6016"/>
    </w:p>
    <w:p>
      <w:pPr>
        <w:pStyle w:val="ListBullet"/>
      </w:pPr>
      <w:r>
        <w:rPr>
          <w:rFonts w:ascii="微软雅黑" w:hAnsi="微软雅黑" w:eastAsia="微软雅黑" w:cs="微软雅黑"/>
        </w:rPr>
        <w:t>[26] World Oil｜</w:t>
      </w:r>
      <w:hyperlink r:id="rId36">
        <w:r>
          <w:rPr>
            <w:rFonts w:ascii="微软雅黑" w:hAnsi="微软雅黑" w:eastAsia="微软雅黑" w:cs="微软雅黑"/>
            <w:color w:val="087E89"/>
          </w:rPr>
          <w:t>道达尔能源就尼日利亚海上伊马气田作出最终投资决定</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ognnews.com/ArticleTA/486698/eu-energy-import-bill-surges-as-oil-values-jump-558pc-in-q2" TargetMode="External"/><Relationship Id="rId12" Type="http://schemas.openxmlformats.org/officeDocument/2006/relationships/hyperlink" Target="https://www.zhitongcaijing.com/content/detail/1499604.html" TargetMode="External"/><Relationship Id="rId13" Type="http://schemas.openxmlformats.org/officeDocument/2006/relationships/hyperlink" Target="https://www.gov.br/mme/pt-br/assuntos/noticias/mme-abre-consulta-publica-sobre-concessoes-de-hidreletricas-vencidas-e-vincendas" TargetMode="External"/><Relationship Id="rId14" Type="http://schemas.openxmlformats.org/officeDocument/2006/relationships/hyperlink" Target="https://rosatomnewsletter.com/rosatom_news/construction-sites-40/" TargetMode="External"/><Relationship Id="rId15" Type="http://schemas.openxmlformats.org/officeDocument/2006/relationships/hyperlink" Target="https://www.energy-storage.news/uk-regulator-looks-to-cut-down-bess-interconnection-backlog-with-extra-financial-commitment/" TargetMode="External"/><Relationship Id="rId16" Type="http://schemas.openxmlformats.org/officeDocument/2006/relationships/hyperlink" Target="https://www.nea.gov.cn/20260923/e63286a4c4174cf69bc13a772ae72d5f/c.html" TargetMode="External"/><Relationship Id="rId17" Type="http://schemas.openxmlformats.org/officeDocument/2006/relationships/hyperlink" Target="https://news.cctv.com/2026/09/23/ARTIiY5pA730fYgl451zdHHy260923.shtml" TargetMode="External"/><Relationship Id="rId18" Type="http://schemas.openxmlformats.org/officeDocument/2006/relationships/hyperlink" Target="https://www.cpnn.com.cn/news/nytt/202609/t20260923_1917180.html" TargetMode="External"/><Relationship Id="rId19" Type="http://schemas.openxmlformats.org/officeDocument/2006/relationships/hyperlink" Target="https://www.shpgx.com/html/xyzx/20260923/9967.html" TargetMode="External"/><Relationship Id="rId20" Type="http://schemas.openxmlformats.org/officeDocument/2006/relationships/hyperlink" Target="https://www.cpnn.com.cn/news/yq/202609/t20260923_1917173.html" TargetMode="External"/><Relationship Id="rId21" Type="http://schemas.openxmlformats.org/officeDocument/2006/relationships/hyperlink" Target="https://www.china5e.com/news/news-1209755-1.html" TargetMode="External"/><Relationship Id="rId22" Type="http://schemas.openxmlformats.org/officeDocument/2006/relationships/hyperlink" Target="https://www.jiemian.com/article/15129412.html" TargetMode="External"/><Relationship Id="rId23" Type="http://schemas.openxmlformats.org/officeDocument/2006/relationships/hyperlink" Target="https://www.world-nuclear-news.org/articles/contracts-announced-as-pickering-refurb-approaches" TargetMode="External"/><Relationship Id="rId24" Type="http://schemas.openxmlformats.org/officeDocument/2006/relationships/hyperlink" Target="https://www.stdaily.com/web/gdxw/2026-09/23/content_586982.html" TargetMode="External"/><Relationship Id="rId25" Type="http://schemas.openxmlformats.org/officeDocument/2006/relationships/hyperlink" Target="https://news.solarbe.com/202609/23/50029573.html" TargetMode="External"/><Relationship Id="rId26" Type="http://schemas.openxmlformats.org/officeDocument/2006/relationships/hyperlink" Target="https://www.chnenergy.com.cn/gjnyjtww/newCE0301/202609/3968103af3684ab8b0d19f6d634857d1.shtml" TargetMode="External"/><Relationship Id="rId27" Type="http://schemas.openxmlformats.org/officeDocument/2006/relationships/hyperlink" Target="https://www.world-nuclear-news.org/articles/china-launches-giant-crane-for-nuclear-power-plant-construction" TargetMode="External"/><Relationship Id="rId28" Type="http://schemas.openxmlformats.org/officeDocument/2006/relationships/hyperlink" Target="https://www.china5e.com/news/news-1209732-1.html" TargetMode="External"/><Relationship Id="rId29" Type="http://schemas.openxmlformats.org/officeDocument/2006/relationships/hyperlink" Target="http://www.eeo.com.cn/2026/0923/1046141.shtml" TargetMode="External"/><Relationship Id="rId30" Type="http://schemas.openxmlformats.org/officeDocument/2006/relationships/hyperlink" Target="https://www.news.cn/energy/20260923/a2696bce5f73476d9ce62655b7705e46/c.html" TargetMode="External"/><Relationship Id="rId31" Type="http://schemas.openxmlformats.org/officeDocument/2006/relationships/hyperlink" Target="https://www.cpnn.com.cn/news/gj/202609/t20260923_1917097.html" TargetMode="External"/><Relationship Id="rId32" Type="http://schemas.openxmlformats.org/officeDocument/2006/relationships/hyperlink" Target="http://www.ce.cn/cysc/newmain/yc/jsxw/202609/t20260923_3231870.shtml" TargetMode="External"/><Relationship Id="rId33" Type="http://schemas.openxmlformats.org/officeDocument/2006/relationships/hyperlink" Target="https://ognnews.com/ArticleTA/486697/us-proposes-10bn-fund-to-rebuild-gulf-energy-infrastructure-new-routes" TargetMode="External"/><Relationship Id="rId34" Type="http://schemas.openxmlformats.org/officeDocument/2006/relationships/hyperlink" Target="https://news.solarbe.com/202609/23/50029623.html" TargetMode="External"/><Relationship Id="rId35" Type="http://schemas.openxmlformats.org/officeDocument/2006/relationships/hyperlink" Target="https://www.nuprc.gov.ng/media/news/e19cddf80957d75a674b50bd" TargetMode="External"/><Relationship Id="rId36" Type="http://schemas.openxmlformats.org/officeDocument/2006/relationships/hyperlink" Target="https://www.worldoil.com/news/2026/9/23/totalenergies-takes-fid-on-ima-gas-field-offshore-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2026年9月23日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