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信息覆盖时段：2026-10-01 00:00 至 2026-10-02 00:00（不含），Asia/Shanghai。</w:t>
      </w:r>
    </w:p>
    <w:p>
      <w:pPr/>
      <w:r>
        <w:rPr>
          <w:rFonts w:ascii="微软雅黑" w:hAnsi="微软雅黑" w:eastAsia="微软雅黑" w:cs="微软雅黑"/>
        </w:rPr>
        <w:t>统计区间：2026-10-01 至 2026-10-02（结束日不含，北京时间）</w:t>
      </w:r>
    </w:p>
    <w:p>
      <w:pPr>
        <w:ind w:firstLine="420"/>
      </w:pPr>
      <w:r>
        <w:rPr>
          <w:rFonts w:ascii="微软雅黑" w:hAnsi="微软雅黑" w:eastAsia="微软雅黑" w:cs="微软雅黑"/>
        </w:rPr>
        <w:t>资料更新截止：2026-10-02 04:00（北京时间）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德国研究呼吁针对低收入无家充家庭提供差异化电车支持 </w:t>
      </w:r>
      <w:hyperlink w:anchor="source-1117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美韩框架协议拟在美建6台AP1000和2台APR1400 </w:t>
      </w:r>
      <w:hyperlink w:anchor="source-1117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0951">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09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美国参议员就能源项目审批法案达成两党协议 </w:t>
      </w:r>
      <w:hyperlink w:anchor="source-1115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默茨呼吁建立国际碳排放市场 </w:t>
      </w:r>
      <w:hyperlink w:anchor="source-1113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英国BICS计划开放申请 逾万制造商可降电费 </w:t>
      </w:r>
      <w:hyperlink w:anchor="source-10966">
        <w:r>
          <w:rPr>
            <w:rFonts w:ascii="微软雅黑" w:hAnsi="微软雅黑" w:eastAsia="微软雅黑" w:cs="微软雅黑"/>
            <w:color w:val="087E89"/>
          </w:rPr>
          <w:t>7</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美韩“Project Power”核电框架协议总投资</w:t>
            </w:r>
          </w:p>
        </w:tc>
        <w:tc>
          <w:tcPr>
            <w:tcW w:type="dxa" w:w="2268"/>
          </w:tcPr>
          <w:p>
            <w:pPr>
              <w:spacing w:after="40"/>
            </w:pPr>
            <w:r>
              <w:rPr>
                <w:rFonts w:ascii="微软雅黑" w:hAnsi="微软雅黑" w:eastAsia="微软雅黑" w:cs="微软雅黑"/>
              </w:rPr>
              <w:t>约1200亿美元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17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0951">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090">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美韩拟于年底前转让的核电预付款</w:t>
            </w:r>
          </w:p>
        </w:tc>
        <w:tc>
          <w:tcPr>
            <w:tcW w:type="dxa" w:w="2268"/>
          </w:tcPr>
          <w:p>
            <w:pPr>
              <w:spacing w:after="40"/>
            </w:pPr>
            <w:r>
              <w:rPr>
                <w:rFonts w:ascii="微软雅黑" w:hAnsi="微软雅黑" w:eastAsia="微软雅黑" w:cs="微软雅黑"/>
              </w:rPr>
              <w:t>100亿美元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17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0951">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090">
              <w:r>
                <w:rPr>
                  <w:rFonts w:ascii="微软雅黑" w:hAnsi="微软雅黑" w:eastAsia="微软雅黑" w:cs="微软雅黑"/>
                  <w:color w:val="087E89"/>
                </w:rPr>
                <w:t>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BICS电费减免上限</w:t>
            </w:r>
          </w:p>
        </w:tc>
        <w:tc>
          <w:tcPr>
            <w:tcW w:type="dxa" w:w="2268"/>
          </w:tcPr>
          <w:p>
            <w:pPr>
              <w:spacing w:after="40"/>
            </w:pPr>
            <w:r>
              <w:rPr>
                <w:rFonts w:ascii="微软雅黑" w:hAnsi="微软雅黑" w:eastAsia="微软雅黑" w:cs="微软雅黑"/>
              </w:rPr>
              <w:t>高达25%</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966">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BICS覆盖英国制造商数量</w:t>
            </w:r>
          </w:p>
        </w:tc>
        <w:tc>
          <w:tcPr>
            <w:tcW w:type="dxa" w:w="2268"/>
          </w:tcPr>
          <w:p>
            <w:pPr>
              <w:spacing w:after="40"/>
            </w:pPr>
            <w:r>
              <w:rPr>
                <w:rFonts w:ascii="微软雅黑" w:hAnsi="微软雅黑" w:eastAsia="微软雅黑" w:cs="微软雅黑"/>
              </w:rPr>
              <w:t>逾10,000家</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0966">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尼日利亚2025年非石油出口收入</w:t>
            </w:r>
          </w:p>
        </w:tc>
        <w:tc>
          <w:tcPr>
            <w:tcW w:type="dxa" w:w="2268"/>
          </w:tcPr>
          <w:p>
            <w:pPr>
              <w:spacing w:after="40"/>
            </w:pPr>
            <w:r>
              <w:rPr>
                <w:rFonts w:ascii="微软雅黑" w:hAnsi="微软雅黑" w:eastAsia="微软雅黑" w:cs="微软雅黑"/>
              </w:rPr>
              <w:t>超过60亿美元</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112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180">
              <w:r>
                <w:rPr>
                  <w:rFonts w:ascii="微软雅黑" w:hAnsi="微软雅黑" w:eastAsia="微软雅黑" w:cs="微软雅黑"/>
                  <w:color w:val="087E89"/>
                </w:rPr>
                <w:t>9</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Plenitude投前估值</w:t>
            </w:r>
          </w:p>
        </w:tc>
        <w:tc>
          <w:tcPr>
            <w:tcW w:type="dxa" w:w="2268"/>
          </w:tcPr>
          <w:p>
            <w:pPr>
              <w:spacing w:after="40"/>
            </w:pPr>
            <w:r>
              <w:rPr>
                <w:rFonts w:ascii="微软雅黑" w:hAnsi="微软雅黑" w:eastAsia="微软雅黑" w:cs="微软雅黑"/>
              </w:rPr>
              <w:t>107.5亿欧元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05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Plenitude对应企业价值</w:t>
            </w:r>
          </w:p>
        </w:tc>
        <w:tc>
          <w:tcPr>
            <w:tcW w:type="dxa" w:w="2268"/>
          </w:tcPr>
          <w:p>
            <w:pPr>
              <w:spacing w:after="40"/>
            </w:pPr>
            <w:r>
              <w:rPr>
                <w:rFonts w:ascii="微软雅黑" w:hAnsi="微软雅黑" w:eastAsia="微软雅黑" w:cs="微软雅黑"/>
              </w:rPr>
              <w:t>约131亿欧元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05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Plenitude可再生能源装机</w:t>
            </w:r>
          </w:p>
        </w:tc>
        <w:tc>
          <w:tcPr>
            <w:tcW w:type="dxa" w:w="2268"/>
          </w:tcPr>
          <w:p>
            <w:pPr>
              <w:spacing w:after="40"/>
            </w:pPr>
            <w:r>
              <w:rPr>
                <w:rFonts w:ascii="微软雅黑" w:hAnsi="微软雅黑" w:eastAsia="微软雅黑" w:cs="微软雅黑"/>
              </w:rPr>
              <w:t>约6吉瓦</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056">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兖煤澳大利亚收购Kestrel煤矿80%权益首期支付金额</w:t>
            </w:r>
          </w:p>
        </w:tc>
        <w:tc>
          <w:tcPr>
            <w:tcW w:type="dxa" w:w="2268"/>
          </w:tcPr>
          <w:p>
            <w:pPr>
              <w:spacing w:after="40"/>
            </w:pPr>
            <w:r>
              <w:rPr>
                <w:rFonts w:ascii="微软雅黑" w:hAnsi="微软雅黑" w:eastAsia="微软雅黑" w:cs="微软雅黑"/>
              </w:rPr>
              <w:t>18.5亿美元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104">
              <w:r>
                <w:rPr>
                  <w:rFonts w:ascii="微软雅黑" w:hAnsi="微软雅黑" w:eastAsia="微软雅黑" w:cs="微软雅黑"/>
                  <w:color w:val="087E89"/>
                </w:rPr>
                <w:t>12</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兖煤冶金煤产量占比（收购完成后备考口径）</w:t>
            </w:r>
          </w:p>
        </w:tc>
        <w:tc>
          <w:tcPr>
            <w:tcW w:type="dxa" w:w="2268"/>
          </w:tcPr>
          <w:p>
            <w:pPr>
              <w:spacing w:after="40"/>
            </w:pPr>
            <w:r>
              <w:rPr>
                <w:rFonts w:ascii="微软雅黑" w:hAnsi="微软雅黑" w:eastAsia="微软雅黑" w:cs="微软雅黑"/>
              </w:rPr>
              <w:t>最多22%</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11104">
              <w:r>
                <w:rPr>
                  <w:rFonts w:ascii="微软雅黑" w:hAnsi="微软雅黑" w:eastAsia="微软雅黑" w:cs="微软雅黑"/>
                  <w:color w:val="087E89"/>
                </w:rPr>
                <w:t>12</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美国参议员就能源项目审批法案达成两党协议</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美国参议员就能源项目审批法案达成两党协议。法案将为输电线路及升级项目的审批设立新流程，并包含支持陆上和海上风电的具体条款。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美国石油协会（API）总裁兼CEO Mike Sommers对法案表示欢迎，称华盛顿有机会从根本上改革“失灵”的审批制度。环保组织“保护法律基金会”总统Brad Campbell批评该法案“似乎采纳了化石燃料行业的愿望清单”，可能削弱清洁水和濒危物种保护。</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审批流程改革若立法落地，可能加快美国输电扩容与风电项目部署节奏；但环保组织警告可能削弱清洁水和濒危物种保护。</w:t>
      </w:r>
    </w:p>
    <w:p>
      <w:pPr>
        <w:ind w:firstLine="420"/>
      </w:pPr>
      <w:r>
        <w:rPr>
          <w:rFonts w:ascii="微软雅黑" w:hAnsi="微软雅黑" w:eastAsia="微软雅黑" w:cs="微软雅黑"/>
        </w:rPr>
        <w:t>来源：</w:t>
      </w:r>
      <w:hyperlink w:anchor="source-11154">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2. JERA与Dell、Apollo旗下RHAELM签署日本AI数据中心备忘录</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日本JERA与Dell Technologies以及美国Apollo全球管理公司旗下RHAELM签署备忘录，将在日本推进国家规模AI基础设施开发。首期项目位于JERA千叶火力发电厂(千叶市)，拟建最大40万千瓦规模的AI数据中心。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项目通过JERA场内直供电，相比传统并网数据中心可提前数年交付AI算力。美国Apollo全球管理公司将以RHAELM战略投资与融资合作伙伴身份参与项目。JERA与RHAELM将探讨向JERA其他火电厂复制该标准模型，目标在2030年代实现日本数百万千瓦AI算力容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火电厂直供电模式若推广，可能将日本现有火电资产改造为AI算力承载基地，并加快数据中心接入电源的进度。</w:t>
      </w:r>
    </w:p>
    <w:p>
      <w:pPr>
        <w:ind w:firstLine="420"/>
      </w:pPr>
      <w:r>
        <w:rPr>
          <w:rFonts w:ascii="微软雅黑" w:hAnsi="微软雅黑" w:eastAsia="微软雅黑" w:cs="微软雅黑"/>
        </w:rPr>
        <w:t>来源：</w:t>
      </w:r>
      <w:hyperlink w:anchor="source-11092">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3. 尼总统宣布尼日利亚进入“共享与广泛繁荣”新阶段</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尼日利亚总统提努布在独立日讲话中宣布政府已完成经济改革阶段，进入以“共享与广泛繁荣”为目标的新阶段，并称2025年非石油出口收入超过60亿美元。</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政府首要任务是降低尼日利亚人消费品生产和运输成本；计划扩大机械灌溉和旱季农业，改善种子和化肥供应，推进农业机械化，并投资储存与运输；将利用天然气资源驱动新工业，扶持企业复产工厂，并扩大数字连接。总统指出石油盗窃减少、通胀从峰值回落、外汇储备重建以及外汇市场趋稳。</w:t>
      </w:r>
    </w:p>
    <w:p>
      <w:pPr>
        <w:ind w:firstLine="420"/>
      </w:pPr>
      <w:r>
        <w:rPr>
          <w:rFonts w:ascii="微软雅黑" w:hAnsi="微软雅黑" w:eastAsia="微软雅黑" w:cs="微软雅黑"/>
        </w:rPr>
        <w:t>来源：</w:t>
      </w:r>
      <w:hyperlink w:anchor="source-112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180">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4. 俄罗斯将2027—2030年石油基准价格统一调至50美元/桶</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俄政府向国家杜马提交《预算法典》修正案，将2027—2030年预算规则中的石油基准（切割）价格统一设定为50美元/桶，并保留2031年起每年按2%指数化递增的条款。</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俄财政部表示，降低基准价格有助于降低联邦预算对外部风险的敏感性，并将国家福利基金流动性资产维持在安全水平。财政部长西卢阿诺夫此前称，原切割价格逐年下调的路径已不符合当前油气价格现实。该法案仍需国家杜马审议通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调降基准价格或将降低俄联邦预算对油气收入波动和外部冲击的敏感度。</w:t>
      </w:r>
    </w:p>
    <w:p>
      <w:pPr>
        <w:ind w:firstLine="420"/>
      </w:pPr>
      <w:r>
        <w:rPr>
          <w:rFonts w:ascii="微软雅黑" w:hAnsi="微软雅黑" w:eastAsia="微软雅黑" w:cs="微软雅黑"/>
        </w:rPr>
        <w:t>来源：</w:t>
      </w:r>
      <w:hyperlink w:anchor="source-11163">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5. Eni与Ares共同控制Plenitude 65.03%股权由Eni持有</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Eni、Ares及EIP通过非比例增资合计出资15.6亿欧元，对Plenitude 100%股权的投前估值为107.5亿欧元，对应企业价值约131亿欧元，交易完成后Plenitude从Eni合并报表中出表。</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增资完成后，Plenitude股权结构为Eni持股65.03%、Ares持股26.24%、EIP持股8.73%。新治理模式基于Eni与Ares共同控制，Eni依据《意大利民法典》第2497条对Plenitude继续行使指导与协调权。新董事会共九名：Eni委任五名（含CEO），Ares委任三名（含董事长），EIP委任一名；预算及商业计划等重大事项须至少一名Ares董事赞成。Plenitude业务覆盖逾15国，拥有约6吉瓦可再生能源装机、约1100万电力和天然气客户以及超过2.3万个电动汽车充电桩。</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Plenitude从Eni合并报表中出表，转为基于共同控制的新治理模式。</w:t>
      </w:r>
    </w:p>
    <w:p>
      <w:pPr>
        <w:ind w:firstLine="420"/>
      </w:pPr>
      <w:r>
        <w:rPr>
          <w:rFonts w:ascii="微软雅黑" w:hAnsi="微软雅黑" w:eastAsia="微软雅黑" w:cs="微软雅黑"/>
        </w:rPr>
        <w:t>来源：</w:t>
      </w:r>
      <w:hyperlink w:anchor="source-11056">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6. NextDecade获批扩建里奥格兰德LNG六号生产线项目</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NextDecade已获美国陆军工程兵团颁发的里奥格兰德LNG六号生产线扩建项目许可。该许可支持德克萨斯州布拉索斯岛港航道改善工程，并将加强美国LNG出口能力及海上能源运输通道。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美国陆军工程兵团加尔维斯得区指挥官David W. Dake强调布拉索斯岛港航道改善工程的近期完成及对Train 6等拟建项目的监管支持。NextDecade首席运营官Tarik Skeik表示，Train 6许可是扩建项目的重要进展，旨在扩大美国LNG出口能力、支持里奥格兰德河谷地区经济增长，并为全球提供价格可承受的能源。该许可同时支持国家供应链、能源优势及德克萨斯州沿海地区的长期经济韧性。</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该项目许可旨在加强美国LNG出口能力和海上能源运输通道体系。</w:t>
      </w:r>
    </w:p>
    <w:p>
      <w:pPr>
        <w:ind w:firstLine="420"/>
      </w:pPr>
      <w:r>
        <w:rPr>
          <w:rFonts w:ascii="微软雅黑" w:hAnsi="微软雅黑" w:eastAsia="微软雅黑" w:cs="微软雅黑"/>
        </w:rPr>
        <w:t>来源：</w:t>
      </w:r>
      <w:hyperlink w:anchor="source-11146">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7. 兖煤澳大利亚完成18.5亿美元收购凯斯特尔煤矿80%股权</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兖煤澳大利亚公司宣布完成对Kestrel煤矿80%权益的收购，首期支付金额为18.5亿美元。Kestrel矿已获准运营至2033年，储量或可开采至2050年，全部产品经格拉德斯通港出口，印度为最大出口目的地。</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交易首期支付18.5亿美元，用于收购Kestrel煤矿80%权益。该矿已批准运营至2033年，储量或可开采至2050年。产品全部通过格拉德斯通港出口，印度为最大出口市场。兖煤表示，收购完成后其冶金煤产量占比将提升至最多22%（备考口径）。</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交易完成后，兖煤冶金煤产量占比将提升至最多22%（备考口径）。</w:t>
      </w:r>
    </w:p>
    <w:p>
      <w:pPr>
        <w:ind w:firstLine="420"/>
      </w:pPr>
      <w:r>
        <w:rPr>
          <w:rFonts w:ascii="微软雅黑" w:hAnsi="微软雅黑" w:eastAsia="微软雅黑" w:cs="微软雅黑"/>
        </w:rPr>
        <w:t>来源：</w:t>
      </w:r>
      <w:hyperlink w:anchor="source-11104">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8. 美韩框架协议拟在美建6台AP1000和2台APR1400</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美国商务部公布约1200亿美元框架协议，计划在美国建造六台西屋AP1000和两台韩国APR1400机组，年底前将完成100亿美元预付款转让，韩国公司将向西屋进行“重要少数股权”投资。</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八个机组属于“Project Power”方案，旨在实现2030年前有10台大型反应堆在建的目标。两国同意年底前转让100亿美元预付款，主要用于采购长周期设备。韩国电力公社欢迎框架协议，表示将基于国内和阿联酋Barakah核电站项目经验推动实施。框架将由韩美两国政府与西屋、韩国电力公社、韩国水力核电公司签署，韩国电力公社与韩国水力核电公司等“Team Korea”将成为美国境内APR1400建设的核心应对力量。</w:t>
      </w:r>
    </w:p>
    <w:p>
      <w:pPr>
        <w:ind w:firstLine="420"/>
      </w:pPr>
      <w:r>
        <w:rPr>
          <w:rFonts w:ascii="微软雅黑" w:hAnsi="微软雅黑" w:eastAsia="微软雅黑" w:cs="微软雅黑"/>
        </w:rPr>
        <w:t>来源：</w:t>
      </w:r>
      <w:hyperlink w:anchor="source-1117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0951">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090">
        <w:r>
          <w:rPr>
            <w:rFonts w:ascii="微软雅黑" w:hAnsi="微软雅黑" w:eastAsia="微软雅黑" w:cs="微软雅黑"/>
            <w:color w:val="087E89"/>
          </w:rPr>
          <w:t>4</w:t>
        </w:r>
      </w:hyperlink>
      <w:r>
        <w:rPr>
          <w:rFonts w:ascii="微软雅黑" w:hAnsi="微软雅黑" w:eastAsia="微软雅黑" w:cs="微软雅黑"/>
        </w:rPr>
      </w:r>
    </w:p>
    <w:p>
      <w:pPr>
        <w:pStyle w:val="Heading3"/>
      </w:pPr>
      <w:r>
        <w:rPr>
          <w:rFonts w:ascii="微软雅黑" w:hAnsi="微软雅黑" w:eastAsia="微软雅黑" w:cs="微软雅黑"/>
        </w:rPr>
        <w:t>9. 星座能源与亚马逊签核电购电协议支持30亿美元投资</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Constellation与亚马逊达成聚焦核电的电力购买协议，将支持约30亿美元投资，新增190兆瓦装机并延长Calvert Cliffs电厂寿命，新增装机拟于2030至2032年间投运。</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该协议将在现有1,790兆瓦Calvert Cliffs装机基础上新增190兆瓦。Constellation拟对该厂进行20年再许可延寿，原计划两台机组分别于2034年和2036年停堆。Calvert Cliffs是马里兰州唯一核电厂，发电量约占该州总发电的40%、清洁电力的80%。Constellation计划在Calvert Cliffs厂址探索新建2,000兆瓦下一代核电。双方另签相关零售供电协议，覆盖PJM电网13州的亚马逊业务。</w:t>
      </w:r>
    </w:p>
    <w:p>
      <w:pPr>
        <w:ind w:firstLine="420"/>
      </w:pPr>
      <w:r>
        <w:rPr>
          <w:rFonts w:ascii="微软雅黑" w:hAnsi="微软雅黑" w:eastAsia="微软雅黑" w:cs="微软雅黑"/>
        </w:rPr>
        <w:t>来源：</w:t>
      </w:r>
      <w:hyperlink w:anchor="source-11177">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10. 英国BICS计划开放申请 逾万制造商可降电费</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“英国工业竞争力计划”（BICS）申请通道开放，覆盖逾10,000家英国制造商，可削减符合条件企业电费高达25%。</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ICS申请通道开放，覆盖逾10,000家英国制造商，可削减符合条件企业电费高达25%，每年为相关企业节省数亿英镑。成功申请企业还将额外获得约相当于一年减免额的一次性付款，但仅限本年度申请人。英格兰、苏格兰和威尔士的合格企业将通过BICS豁免缴纳可再生能源义务、上网电价和容量市场的间接费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来源未明确说明对电价水平或行业产值的进一步影响。</w:t>
      </w:r>
    </w:p>
    <w:p>
      <w:pPr>
        <w:ind w:firstLine="420"/>
      </w:pPr>
      <w:r>
        <w:rPr>
          <w:rFonts w:ascii="微软雅黑" w:hAnsi="微软雅黑" w:eastAsia="微软雅黑" w:cs="微软雅黑"/>
        </w:rPr>
        <w:t>来源：</w:t>
      </w:r>
      <w:hyperlink w:anchor="source-10966">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11. 德国MiSpeL新规允许家储与车用电池双向馈电</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德国联邦网络局BNetzA通过名为MiSpeL的新规，允许家庭、企业和电动汽车中的电池既能从电网购电也能向电网馈电，并简化市场参与规则。</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BNetzA通过MiSpeL新规，允许家庭、企业和电动汽车中的电池双向参与电力市场。规则简化了在电力充裕、价格低廉时购电以及发电不足、价格高企时售电的流程。保留可再生能源储电补贴，同时为从电网储电的电池设置更低的税费和电网费。此前家储和车载电池所储电力须严格分开，仅绿电储电可获补贴，含煤电、气电等电源的电网电力储电此前不具备补贴资格。BNetzA局长Klaus Müller表示该机制将使数百万家庭主动塑造能源转型。</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新规旨在为间歇性可再生能源占比上升的电力系统提供储电、灵活需求管理与灵活备用机组的灵活性支撑。</w:t>
      </w:r>
    </w:p>
    <w:p>
      <w:pPr>
        <w:ind w:firstLine="420"/>
      </w:pPr>
      <w:r>
        <w:rPr>
          <w:rFonts w:ascii="微软雅黑" w:hAnsi="微软雅黑" w:eastAsia="微软雅黑" w:cs="微软雅黑"/>
        </w:rPr>
        <w:t>来源：</w:t>
      </w:r>
      <w:hyperlink w:anchor="source-11136">
        <w:r>
          <w:rPr>
            <w:rFonts w:ascii="微软雅黑" w:hAnsi="微软雅黑" w:eastAsia="微软雅黑" w:cs="微软雅黑"/>
            <w:color w:val="087E89"/>
          </w:rPr>
          <w:t>23</w:t>
        </w:r>
      </w:hyperlink>
      <w:r>
        <w:rPr>
          <w:rFonts w:ascii="微软雅黑" w:hAnsi="微软雅黑" w:eastAsia="微软雅黑" w:cs="微软雅黑"/>
        </w:rPr>
      </w:r>
    </w:p>
    <w:p>
      <w:pPr>
        <w:pStyle w:val="Heading3"/>
      </w:pPr>
      <w:r>
        <w:rPr>
          <w:rFonts w:ascii="微软雅黑" w:hAnsi="微软雅黑" w:eastAsia="微软雅黑" w:cs="微软雅黑"/>
        </w:rPr>
        <w:t>12. 默茨呼吁建立国际碳排放市场</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德国总理默茨呼吁建立可与碳定价互补、适用于CCS/CCU的国际碳排放市场，以恢复欧洲企业竞争力。</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默茨宣传绿色技术的发展潜力，政府通过“高技术议程”加大对清洁出行和核聚变等技术的支持。德国刚经历破纪录的高温干旱夏季，造成大量热相关死亡及农业和经济的重大损失。</w:t>
      </w:r>
    </w:p>
    <w:p>
      <w:pPr>
        <w:ind w:firstLine="420"/>
      </w:pPr>
      <w:r>
        <w:rPr>
          <w:rFonts w:ascii="微软雅黑" w:hAnsi="微软雅黑" w:eastAsia="微软雅黑" w:cs="微软雅黑"/>
        </w:rPr>
        <w:t>来源：</w:t>
      </w:r>
      <w:hyperlink w:anchor="source-11135">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13. 博斯卡利斯获荷兰Zeevonk一期海缆安装合同</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荷兰海上风电项目Zeevonk一期将由博斯卡利斯负责阵列间电缆的运输与安装，电缆由TKF从Eemshaven工厂供应，将由敷缆船Boka Ocean运输。</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博斯卡利斯将运输并安装约149公里的66kV海底阵列电缆，连接69台风机，合同价值未披露，属其“sizable”级别（5000万至1.5亿欧元）。工程活动即将启动，海上安装计划于2029年开展。Zeevonk位于荷兰海岸Bergen aan Zee外约63至84公里处，由Vattenfall与Copenhagen Infrastructure Partners合资开发。一期1吉瓦预计2029年商运。</w:t>
      </w:r>
    </w:p>
    <w:p>
      <w:pPr>
        <w:ind w:firstLine="420"/>
      </w:pPr>
      <w:r>
        <w:rPr>
          <w:rFonts w:ascii="微软雅黑" w:hAnsi="微软雅黑" w:eastAsia="微软雅黑" w:cs="微软雅黑"/>
        </w:rPr>
        <w:t>来源：</w:t>
      </w:r>
      <w:hyperlink w:anchor="source-11197">
        <w:r>
          <w:rPr>
            <w:rFonts w:ascii="微软雅黑" w:hAnsi="微软雅黑" w:eastAsia="微软雅黑" w:cs="微软雅黑"/>
            <w:color w:val="087E89"/>
          </w:rPr>
          <w:t>19</w:t>
        </w:r>
      </w:hyperlink>
      <w:r>
        <w:rPr>
          <w:rFonts w:ascii="微软雅黑" w:hAnsi="微软雅黑" w:eastAsia="微软雅黑" w:cs="微软雅黑"/>
        </w:rPr>
        <w:t xml:space="preserve"> </w:t>
      </w:r>
      <w:hyperlink w:anchor="source-11100">
        <w:r>
          <w:rPr>
            <w:rFonts w:ascii="微软雅黑" w:hAnsi="微软雅黑" w:eastAsia="微软雅黑" w:cs="微软雅黑"/>
            <w:color w:val="087E89"/>
          </w:rPr>
          <w:t>20</w:t>
        </w:r>
      </w:hyperlink>
      <w:r>
        <w:rPr>
          <w:rFonts w:ascii="微软雅黑" w:hAnsi="微软雅黑" w:eastAsia="微软雅黑" w:cs="微软雅黑"/>
        </w:rPr>
      </w:r>
    </w:p>
    <w:p>
      <w:pPr>
        <w:pStyle w:val="Heading3"/>
      </w:pPr>
      <w:r>
        <w:rPr>
          <w:rFonts w:ascii="微软雅黑" w:hAnsi="微软雅黑" w:eastAsia="微软雅黑" w:cs="微软雅黑"/>
        </w:rPr>
        <w:t>14. 德国研究呼吁针对低收入无家充家庭提供差异化电车支持</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德国生态研究所受气候中立基金会委托发布的研究，将“德国气候中和”情景与“Mobilität in Deutschland”调查的家庭数据结合，按净收入、乘用车年行驶里程和公共交通可达性将家庭分为八组，公务车家庭列为第九组。研究显示价格敏感和尚未决定群体将购置成本视为关键障碍，需更多廉价二手车供应。</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气候中立基金会建议于2026年引入的电车购置补贴按收入分档，但应在2028年底前到期，并继续以更严格的收入门槛为低收入家庭提供支持。同一研究亦指出公务车家庭当前排放最高，但电动化速度最快。</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若建议被采纳，电车补贴将转向收入分档并设定终止期，低收入家庭获得持续支持；补贴到期可能影响整体电动化推进节奏。</w:t>
      </w:r>
    </w:p>
    <w:p>
      <w:pPr>
        <w:ind w:firstLine="420"/>
      </w:pPr>
      <w:r>
        <w:rPr>
          <w:rFonts w:ascii="微软雅黑" w:hAnsi="微软雅黑" w:eastAsia="微软雅黑" w:cs="微软雅黑"/>
        </w:rPr>
        <w:t>来源：</w:t>
      </w:r>
      <w:hyperlink w:anchor="source-11173">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15. 约堡City Power“分账隔离”被指实质抽走收入三成</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约堡市将继续代收所有电费，并在48小时内将其中30%留归市政，将剩余70%划转给City Power。评论指出真正的分账隔离应按损益表顺序支付：先支付Eskom购电、人工、运维和债务服务成本，再支付合理的网络更新投资、明确的社会义务，最后才能从真实的净盈余向市政府分配。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该机制安排在48小时内将30%电费留归市政，剩余70%划给City Power，与基于成本的逐项支付顺序存在差异。来源观点认为这实质上从源头截留收入，而非基于净盈余的分配。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若30%先于成本被抽走，City Power可用于购电、运维及债务服务的现金流将受影响，进而可能波及供电可靠性与对Eskom的付款。</w:t>
      </w:r>
    </w:p>
    <w:p>
      <w:pPr>
        <w:ind w:firstLine="420"/>
      </w:pPr>
      <w:r>
        <w:rPr>
          <w:rFonts w:ascii="微软雅黑" w:hAnsi="微软雅黑" w:eastAsia="微软雅黑" w:cs="微软雅黑"/>
        </w:rPr>
        <w:t>来源：</w:t>
      </w:r>
      <w:hyperlink w:anchor="source-10979">
        <w:r>
          <w:rPr>
            <w:rFonts w:ascii="微软雅黑" w:hAnsi="微软雅黑" w:eastAsia="微软雅黑" w:cs="微软雅黑"/>
            <w:color w:val="087E89"/>
          </w:rPr>
          <w:t>18</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16. 国资委部署深化算电协同推动绿电直连项目加快落地</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国务院国资委于9月28日提出，深化算电协同、算网融合，加快落地更多绿电直连项目，推动人工智能与能源双向赋能。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务院国资委明确以算电协同、算网融合为方向，推动人工智能与能源双向赋能，要求加快落地更多绿电直连项目。文中披露，截至今年6月底，全国已有100个绿电直连项目完成审批，对应新能源总装机规模3410万千瓦；业内人士透露已批复“一对一”“一对多”项目超过400个，但实际开工率不足10%。</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在算力需求扩张背景下，绿电直连被定位为支撑算电协同的重要路径，但审批与开工落差显示项目从“获批”到“投运”仍存在堵点。</w:t>
      </w:r>
    </w:p>
    <w:p>
      <w:pPr>
        <w:ind w:firstLine="420"/>
      </w:pPr>
      <w:r>
        <w:rPr>
          <w:rFonts w:ascii="微软雅黑" w:hAnsi="微软雅黑" w:eastAsia="微软雅黑" w:cs="微软雅黑"/>
        </w:rPr>
        <w:t>来源：</w:t>
      </w:r>
      <w:hyperlink w:anchor="source-10977">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17. 田湾核电站7号机组首次达到最低受控功率</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田湾核电站7号机组首次达到最低受控功率，下一阶段将开展不同功率水平下的测试，预计年内投入商业运营。</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田湾核电站由江苏核电公司运营，股东为中核集团（持股50%）、中国电力投资集团（持股30%）和江苏国信集团（持股20%）。机组在首次达到最低受控功率后将进入不同功率水平的测试阶段，公司预计7号机组将在年内投入商业运营。</w:t>
      </w:r>
    </w:p>
    <w:p>
      <w:pPr>
        <w:ind w:firstLine="420"/>
      </w:pPr>
      <w:r>
        <w:rPr>
          <w:rFonts w:ascii="微软雅黑" w:hAnsi="微软雅黑" w:eastAsia="微软雅黑" w:cs="微软雅黑"/>
        </w:rPr>
        <w:t>来源：</w:t>
      </w:r>
      <w:hyperlink w:anchor="source-10773">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18. 国家能源集团召开国庆假期重大项目调度视频会</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2026年10月1日，国家能源集团召开国庆假期重大项目调度视频会。党组书记、董事长邹磊出席并讲话，总经理冯来法主持，副总经理傅振邦、杨鹏、王子超参会。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视频连线新街二井、腾格里基地海原风电、甘其毛都口岸铁路改造工程、哈密能源集成创新基地、准东煤制气五个项目现场，听取工程进度与施工组织情况汇报。邹磊指出重点项目事关新型能源体系、新型电力系统和能源强国建设大局，要求打造精品、安全、绿色、创新、廉洁五类工程，并要求质量为先实现投产即达产，确保项目在设计周期内持续创造价值；同时要求依法依规打造廉洁工程，紧盯工程招标、物资采购、工程分包等重点领域，严肃纠治违规饮酒等突出问题。冯来法要求夯实安全生产根基、保障能源稳定供应、加快重大项目建设、全力冲刺年度目标任务，助力集团“保A争先”。</w:t>
      </w:r>
    </w:p>
    <w:p>
      <w:pPr>
        <w:ind w:firstLine="420"/>
      </w:pPr>
      <w:r>
        <w:rPr>
          <w:rFonts w:ascii="微软雅黑" w:hAnsi="微软雅黑" w:eastAsia="微软雅黑" w:cs="微软雅黑"/>
        </w:rPr>
        <w:t>来源：</w:t>
      </w:r>
      <w:hyperlink w:anchor="source-11209">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19. 中国团队首提交流电直接电解海水制氢新策略</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中国科学院理化技术研究所低温科学与技术全国重点实验室首次提出以交流电替代传统直流电驱动直接电解海水制氢的策略，旨在实现海上发电就地制氢，从根源上破解海水电解制氢的沉淀瓶颈。</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策略由中国科学院理化技术研究所低温科学与技术全国重点实验室提出。技术路径无需海水预处理和离子交换膜，可显著降低制氢成本与系统复杂度。该技术可与海上可再生能源发电系统耦合，实现“海上发电—就地制氢”一体化，为氢能产业链上游提供低成本、可持续的绿氢来源。此外，通过耦合乙二醇氧化反应，可在产氢的同时联产高附加值乙醇酸产物，实现“一电两得”。消息由人民财讯于10月1日报道，来源标注为中国新闻网。</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若实现规模化应用，可降低绿氢制取成本与系统复杂度，并与海上可再生能源发电耦合，为氢能产业链上游提供低成本可持续绿氢来源。</w:t>
      </w:r>
    </w:p>
    <w:p>
      <w:pPr>
        <w:ind w:firstLine="420"/>
      </w:pPr>
      <w:r>
        <w:rPr>
          <w:rFonts w:ascii="微软雅黑" w:hAnsi="微软雅黑" w:eastAsia="微软雅黑" w:cs="微软雅黑"/>
        </w:rPr>
        <w:t>来源：</w:t>
      </w:r>
      <w:hyperlink w:anchor="source-11066">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20. 宁夏煤业煤制油MTP改造项目10kV油浸式变压器公开招标</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国家能源集团宁夏煤业煤制油指挥部就新建MTP改造项目LDPE装置、EVA装置、EVA项目10kV油浸式变压器采购进行国内资格后审公开招标，代理机构为国家能源集团国际工程咨询有限公司。</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招标编号CEZB260408606。LDPE装置、EVA装置分别自35kV段取4路和3路电源，装置变电所分别各设7台和6台10/0.4kV变压器供低压设备用电。交货期合同签订后90天内，具体以采购订单或招标人书面通知为准；交货地点为宁夏银川市灵武市宁东镇宁夏煤业煤化工园区指定地点，货到现场车板交货由招标人卸货。投标人须为依法注册的独立法人，并提供CMA第三方检测机构出具的额定电压≥10kV、额定容量≥2000kVA的型式试验报告及对应1级能效检测报告；2021年10月至投标截止日须至少有2份同类（≥10kV、≥2000kVA、1级能效）供货合同且单份金额不少于500万元；不接受联合体和代理商投标。招标文件获取时间2026-10-01 14:00至2026-10-09 16:00，每套70元；投标截止及开标时间为2026-10-22 09:00（北京时间），通过“国能e招投标人业务系统”线上进行，不举行现场开标仪式。</w:t>
      </w:r>
    </w:p>
    <w:p>
      <w:pPr>
        <w:ind w:firstLine="420"/>
      </w:pPr>
      <w:r>
        <w:rPr>
          <w:rFonts w:ascii="微软雅黑" w:hAnsi="微软雅黑" w:eastAsia="微软雅黑" w:cs="微软雅黑"/>
        </w:rPr>
        <w:t>来源：</w:t>
      </w:r>
      <w:hyperlink w:anchor="source-11023">
        <w:r>
          <w:rPr>
            <w:rFonts w:ascii="微软雅黑" w:hAnsi="微软雅黑" w:eastAsia="微软雅黑" w:cs="微软雅黑"/>
            <w:color w:val="087E89"/>
          </w:rPr>
          <w:t>14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2026年补贴按收入分档的实际政策落地、2028年底前到期是否如期执行、低收入家庭的实际覆盖效果。 </w:t>
      </w:r>
      <w:hyperlink w:anchor="source-11173">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韩国方面表示将于第四季度对美方提出的具体项目进行细致核查后再决定是否最终推进；100亿美元预付款、少数股权细节及AP1000/APR1400项目落地均待落实。 </w:t>
      </w:r>
      <w:hyperlink w:anchor="source-11176">
        <w:r>
          <w:rPr>
            <w:rFonts w:ascii="微软雅黑" w:hAnsi="微软雅黑" w:eastAsia="微软雅黑" w:cs="微软雅黑"/>
            <w:color w:val="087E89"/>
          </w:rPr>
          <w:t>2</w:t>
        </w:r>
      </w:hyperlink>
      <w:r>
        <w:rPr>
          <w:rFonts w:ascii="微软雅黑" w:hAnsi="微软雅黑" w:eastAsia="微软雅黑" w:cs="微软雅黑"/>
        </w:rPr>
        <w:t xml:space="preserve"> </w:t>
      </w:r>
      <w:hyperlink w:anchor="source-10951">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11090">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法案参议院表决时间、对清洁水和濒危物种保护条款的最终修订尚未明确。 </w:t>
      </w:r>
      <w:hyperlink w:anchor="source-11154">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国际碳排放市场的具体覆盖范围、与欧盟ETS的对接方式及CCS/CCU纳入标准尚未明确。 </w:t>
      </w:r>
      <w:hyperlink w:anchor="source-11135">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一次性付款仅限本年度申请人，后续年度安排尚待确认。 </w:t>
      </w:r>
      <w:hyperlink w:anchor="source-10966">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降低生活成本、扩大天然气工业及农业机械化等具体政策的落实与资金安排。 </w:t>
      </w:r>
      <w:hyperlink w:anchor="source-11227">
        <w:r>
          <w:rPr>
            <w:rFonts w:ascii="微软雅黑" w:hAnsi="微软雅黑" w:eastAsia="微软雅黑" w:cs="微软雅黑"/>
            <w:color w:val="087E89"/>
          </w:rPr>
          <w:t>8</w:t>
        </w:r>
      </w:hyperlink>
      <w:r>
        <w:rPr>
          <w:rFonts w:ascii="微软雅黑" w:hAnsi="微软雅黑" w:eastAsia="微软雅黑" w:cs="微软雅黑"/>
        </w:rPr>
        <w:t xml:space="preserve"> </w:t>
      </w:r>
      <w:hyperlink w:anchor="source-11180">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229 篇文章，形成 220 篇有效能源材料；正文引用 24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8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11173"/>
      <w:bookmarkEnd w:id="1" w:name="source-11173"/>
    </w:p>
    <w:p>
      <w:pPr>
        <w:pStyle w:val="ListBullet"/>
      </w:pPr>
      <w:r>
        <w:rPr>
          <w:rFonts w:ascii="微软雅黑" w:hAnsi="微软雅黑" w:eastAsia="微软雅黑" w:cs="微软雅黑"/>
        </w:rPr>
        <w:t>[1] 德国生态研究所｜</w:t>
      </w:r>
      <w:hyperlink r:id="rId11">
        <w:r>
          <w:rPr>
            <w:rFonts w:ascii="微软雅黑" w:hAnsi="微软雅黑" w:eastAsia="微软雅黑" w:cs="微软雅黑"/>
            <w:color w:val="087E89"/>
          </w:rPr>
          <w:t>收入低且无法在家充电的家庭在转向电动汽车时需要针对性支持</w:t>
        </w:r>
      </w:hyperlink>
      <w:r>
        <w:rPr>
          <w:rFonts w:ascii="微软雅黑" w:hAnsi="微软雅黑" w:eastAsia="微软雅黑" w:cs="微软雅黑"/>
        </w:rPr>
      </w:r>
    </w:p>
    <w:p>
      <w:pPr>
        <w:spacing w:after="0" w:line="20" w:lineRule="exact"/>
      </w:pPr>
      <w:bookmarkStart w:id="2" w:name="source-11176"/>
      <w:bookmarkEnd w:id="2" w:name="source-11176"/>
    </w:p>
    <w:p>
      <w:pPr>
        <w:pStyle w:val="ListBullet"/>
      </w:pPr>
      <w:r>
        <w:rPr>
          <w:rFonts w:ascii="微软雅黑" w:hAnsi="微软雅黑" w:eastAsia="微软雅黑" w:cs="微软雅黑"/>
        </w:rPr>
        <w:t>[2] 世界核新闻｜</w:t>
      </w:r>
      <w:hyperlink r:id="rId12">
        <w:r>
          <w:rPr>
            <w:rFonts w:ascii="微软雅黑" w:hAnsi="微软雅黑" w:eastAsia="微软雅黑" w:cs="微软雅黑"/>
            <w:color w:val="087E89"/>
          </w:rPr>
          <w:t>美国、韩国瞄准六台AP1000和两台APR1400机组</w:t>
        </w:r>
      </w:hyperlink>
      <w:r>
        <w:rPr>
          <w:rFonts w:ascii="微软雅黑" w:hAnsi="微软雅黑" w:eastAsia="微软雅黑" w:cs="微软雅黑"/>
        </w:rPr>
      </w:r>
    </w:p>
    <w:p>
      <w:pPr>
        <w:spacing w:after="0" w:line="20" w:lineRule="exact"/>
      </w:pPr>
      <w:bookmarkStart w:id="3" w:name="source-10951"/>
      <w:bookmarkEnd w:id="3" w:name="source-10951"/>
    </w:p>
    <w:p>
      <w:pPr>
        <w:pStyle w:val="ListBullet"/>
      </w:pPr>
      <w:r>
        <w:rPr>
          <w:rFonts w:ascii="微软雅黑" w:hAnsi="微软雅黑" w:eastAsia="微软雅黑" w:cs="微软雅黑"/>
        </w:rPr>
        <w:t>[3] 韩国联合通讯社｜</w:t>
      </w:r>
      <w:hyperlink r:id="rId13">
        <w:r>
          <w:rPr>
            <w:rFonts w:ascii="微软雅黑" w:hAnsi="微软雅黑" w:eastAsia="微软雅黑" w:cs="微软雅黑"/>
            <w:color w:val="087E89"/>
          </w:rPr>
          <w:t>西屋电气枷锁已解……向美国出口韩式核电机组的道路打开</w:t>
        </w:r>
      </w:hyperlink>
      <w:r>
        <w:rPr>
          <w:rFonts w:ascii="微软雅黑" w:hAnsi="微软雅黑" w:eastAsia="微软雅黑" w:cs="微软雅黑"/>
        </w:rPr>
      </w:r>
    </w:p>
    <w:p>
      <w:pPr>
        <w:spacing w:after="0" w:line="20" w:lineRule="exact"/>
      </w:pPr>
      <w:bookmarkStart w:id="4" w:name="source-11090"/>
      <w:bookmarkEnd w:id="4" w:name="source-11090"/>
    </w:p>
    <w:p>
      <w:pPr>
        <w:pStyle w:val="ListBullet"/>
      </w:pPr>
      <w:r>
        <w:rPr>
          <w:rFonts w:ascii="微软雅黑" w:hAnsi="微软雅黑" w:eastAsia="微软雅黑" w:cs="微软雅黑"/>
        </w:rPr>
        <w:t>[4] 韩国联合通讯社｜</w:t>
      </w:r>
      <w:hyperlink r:id="rId14">
        <w:r>
          <w:rPr>
            <w:rFonts w:ascii="微软雅黑" w:hAnsi="微软雅黑" w:eastAsia="微软雅黑" w:cs="微软雅黑"/>
            <w:color w:val="087E89"/>
          </w:rPr>
          <w:t>“K-核电”进军美国市场启动……核电出口企划委讨论对美投资后续事宜</w:t>
        </w:r>
      </w:hyperlink>
      <w:r>
        <w:rPr>
          <w:rFonts w:ascii="微软雅黑" w:hAnsi="微软雅黑" w:eastAsia="微软雅黑" w:cs="微软雅黑"/>
        </w:rPr>
      </w:r>
    </w:p>
    <w:p>
      <w:pPr>
        <w:spacing w:after="0" w:line="20" w:lineRule="exact"/>
      </w:pPr>
      <w:bookmarkStart w:id="5" w:name="source-11154"/>
      <w:bookmarkEnd w:id="5" w:name="source-11154"/>
    </w:p>
    <w:p>
      <w:pPr>
        <w:pStyle w:val="ListBullet"/>
      </w:pPr>
      <w:r>
        <w:rPr>
          <w:rFonts w:ascii="微软雅黑" w:hAnsi="微软雅黑" w:eastAsia="微软雅黑" w:cs="微软雅黑"/>
        </w:rPr>
        <w:t>[5] Power Technology｜</w:t>
      </w:r>
      <w:hyperlink r:id="rId15">
        <w:r>
          <w:rPr>
            <w:rFonts w:ascii="微软雅黑" w:hAnsi="微软雅黑" w:eastAsia="微软雅黑" w:cs="微软雅黑"/>
            <w:color w:val="087E89"/>
          </w:rPr>
          <w:t>美国参议员就能源项目审批法案达成两党协议</w:t>
        </w:r>
      </w:hyperlink>
      <w:r>
        <w:rPr>
          <w:rFonts w:ascii="微软雅黑" w:hAnsi="微软雅黑" w:eastAsia="微软雅黑" w:cs="微软雅黑"/>
        </w:rPr>
      </w:r>
    </w:p>
    <w:p>
      <w:pPr>
        <w:spacing w:after="0" w:line="20" w:lineRule="exact"/>
      </w:pPr>
      <w:bookmarkStart w:id="6" w:name="source-11135"/>
      <w:bookmarkEnd w:id="6" w:name="source-11135"/>
    </w:p>
    <w:p>
      <w:pPr>
        <w:pStyle w:val="ListBullet"/>
      </w:pPr>
      <w:r>
        <w:rPr>
          <w:rFonts w:ascii="微软雅黑" w:hAnsi="微软雅黑" w:eastAsia="微软雅黑" w:cs="微软雅黑"/>
        </w:rPr>
        <w:t>[6] 清洁能源通讯社｜</w:t>
      </w:r>
      <w:hyperlink r:id="rId16">
        <w:r>
          <w:rPr>
            <w:rFonts w:ascii="微软雅黑" w:hAnsi="微软雅黑" w:eastAsia="微软雅黑" w:cs="微软雅黑"/>
            <w:color w:val="087E89"/>
          </w:rPr>
          <w:t>默茨宣传绿色技术的发展潜力，呼吁建立国际碳市场</w:t>
        </w:r>
      </w:hyperlink>
      <w:r>
        <w:rPr>
          <w:rFonts w:ascii="微软雅黑" w:hAnsi="微软雅黑" w:eastAsia="微软雅黑" w:cs="微软雅黑"/>
        </w:rPr>
      </w:r>
    </w:p>
    <w:p>
      <w:pPr>
        <w:spacing w:after="0" w:line="20" w:lineRule="exact"/>
      </w:pPr>
      <w:bookmarkStart w:id="7" w:name="source-10966"/>
      <w:bookmarkEnd w:id="7" w:name="source-10966"/>
    </w:p>
    <w:p>
      <w:pPr>
        <w:pStyle w:val="ListBullet"/>
      </w:pPr>
      <w:r>
        <w:rPr>
          <w:rFonts w:ascii="微软雅黑" w:hAnsi="微软雅黑" w:eastAsia="微软雅黑" w:cs="微软雅黑"/>
        </w:rPr>
        <w:t>[7] 英国能源安全与净零排放部｜</w:t>
      </w:r>
      <w:hyperlink r:id="rId17">
        <w:r>
          <w:rPr>
            <w:rFonts w:ascii="微软雅黑" w:hAnsi="微软雅黑" w:eastAsia="微软雅黑" w:cs="微软雅黑"/>
            <w:color w:val="087E89"/>
          </w:rPr>
          <w:t>为超过10,000家制造商降低电费的计划开始接受申请</w:t>
        </w:r>
      </w:hyperlink>
      <w:r>
        <w:rPr>
          <w:rFonts w:ascii="微软雅黑" w:hAnsi="微软雅黑" w:eastAsia="微软雅黑" w:cs="微软雅黑"/>
        </w:rPr>
      </w:r>
    </w:p>
    <w:p>
      <w:pPr>
        <w:spacing w:after="0" w:line="20" w:lineRule="exact"/>
      </w:pPr>
      <w:bookmarkStart w:id="8" w:name="source-11227"/>
      <w:bookmarkEnd w:id="8" w:name="source-11227"/>
    </w:p>
    <w:p>
      <w:pPr>
        <w:pStyle w:val="ListBullet"/>
      </w:pPr>
      <w:r>
        <w:rPr>
          <w:rFonts w:ascii="微软雅黑" w:hAnsi="微软雅黑" w:eastAsia="微软雅黑" w:cs="微软雅黑"/>
        </w:rPr>
        <w:t>[8] Vanguard News｜</w:t>
      </w:r>
      <w:hyperlink r:id="rId18">
        <w:r>
          <w:rPr>
            <w:rFonts w:ascii="微软雅黑" w:hAnsi="微软雅黑" w:eastAsia="微软雅黑" w:cs="微软雅黑"/>
            <w:color w:val="087E89"/>
          </w:rPr>
          <w:t>我国政府今后将采取的措施——蒂努布</w:t>
        </w:r>
      </w:hyperlink>
      <w:r>
        <w:rPr>
          <w:rFonts w:ascii="微软雅黑" w:hAnsi="微软雅黑" w:eastAsia="微软雅黑" w:cs="微软雅黑"/>
        </w:rPr>
      </w:r>
    </w:p>
    <w:p>
      <w:pPr>
        <w:spacing w:after="0" w:line="20" w:lineRule="exact"/>
      </w:pPr>
      <w:bookmarkStart w:id="9" w:name="source-11180"/>
      <w:bookmarkEnd w:id="9" w:name="source-11180"/>
    </w:p>
    <w:p>
      <w:pPr>
        <w:pStyle w:val="ListBullet"/>
      </w:pPr>
      <w:r>
        <w:rPr>
          <w:rFonts w:ascii="微软雅黑" w:hAnsi="微软雅黑" w:eastAsia="微软雅黑" w:cs="微软雅黑"/>
        </w:rPr>
        <w:t>[9] Vanguard News｜</w:t>
      </w:r>
      <w:hyperlink r:id="rId19">
        <w:r>
          <w:rPr>
            <w:rFonts w:ascii="微软雅黑" w:hAnsi="微软雅黑" w:eastAsia="微软雅黑" w:cs="微软雅黑"/>
            <w:color w:val="087E89"/>
          </w:rPr>
          <w:t>独立日：尼日利亚曾如靠吗啡维系的癌病患者，直到我们到来——蒂努布</w:t>
        </w:r>
      </w:hyperlink>
      <w:r>
        <w:rPr>
          <w:rFonts w:ascii="微软雅黑" w:hAnsi="微软雅黑" w:eastAsia="微软雅黑" w:cs="微软雅黑"/>
        </w:rPr>
      </w:r>
    </w:p>
    <w:p>
      <w:pPr>
        <w:spacing w:after="0" w:line="20" w:lineRule="exact"/>
      </w:pPr>
      <w:bookmarkStart w:id="10" w:name="source-11056"/>
      <w:bookmarkEnd w:id="10" w:name="source-11056"/>
    </w:p>
    <w:p>
      <w:pPr>
        <w:pStyle w:val="ListBullet"/>
      </w:pPr>
      <w:r>
        <w:rPr>
          <w:rFonts w:ascii="微软雅黑" w:hAnsi="微软雅黑" w:eastAsia="微软雅黑" w:cs="微软雅黑"/>
        </w:rPr>
        <w:t>[10] Eni官网｜</w:t>
      </w:r>
      <w:hyperlink r:id="rId20">
        <w:r>
          <w:rPr>
            <w:rFonts w:ascii="微软雅黑" w:hAnsi="微软雅黑" w:eastAsia="微软雅黑" w:cs="微软雅黑"/>
            <w:color w:val="087E89"/>
          </w:rPr>
          <w:t>普能尼达（Plenitude）：基于埃尼（Eni）与阿瑞斯（Ares）共同控制的新股权结构与治理安排</w:t>
        </w:r>
      </w:hyperlink>
      <w:r>
        <w:rPr>
          <w:rFonts w:ascii="微软雅黑" w:hAnsi="微软雅黑" w:eastAsia="微软雅黑" w:cs="微软雅黑"/>
        </w:rPr>
      </w:r>
    </w:p>
    <w:p>
      <w:pPr>
        <w:spacing w:after="0" w:line="20" w:lineRule="exact"/>
      </w:pPr>
      <w:bookmarkStart w:id="11" w:name="source-11209"/>
      <w:bookmarkEnd w:id="11" w:name="source-11209"/>
    </w:p>
    <w:p>
      <w:pPr>
        <w:pStyle w:val="ListBullet"/>
      </w:pPr>
      <w:r>
        <w:rPr>
          <w:rFonts w:ascii="微软雅黑" w:hAnsi="微软雅黑" w:eastAsia="微软雅黑" w:cs="微软雅黑"/>
        </w:rPr>
        <w:t>[11] 国家能源集团｜</w:t>
      </w:r>
      <w:hyperlink r:id="rId21">
        <w:r>
          <w:rPr>
            <w:rFonts w:ascii="微软雅黑" w:hAnsi="微软雅黑" w:eastAsia="微软雅黑" w:cs="微软雅黑"/>
            <w:color w:val="087E89"/>
          </w:rPr>
          <w:t>国家能源集团召开2026年国庆假期重大项目调度视频会</w:t>
        </w:r>
      </w:hyperlink>
      <w:r>
        <w:rPr>
          <w:rFonts w:ascii="微软雅黑" w:hAnsi="微软雅黑" w:eastAsia="微软雅黑" w:cs="微软雅黑"/>
        </w:rPr>
      </w:r>
    </w:p>
    <w:p>
      <w:pPr>
        <w:spacing w:after="0" w:line="20" w:lineRule="exact"/>
      </w:pPr>
      <w:bookmarkStart w:id="12" w:name="source-11104"/>
      <w:bookmarkEnd w:id="12" w:name="source-11104"/>
    </w:p>
    <w:p>
      <w:pPr>
        <w:pStyle w:val="ListBullet"/>
      </w:pPr>
      <w:r>
        <w:rPr>
          <w:rFonts w:ascii="微软雅黑" w:hAnsi="微软雅黑" w:eastAsia="微软雅黑" w:cs="微软雅黑"/>
        </w:rPr>
        <w:t>[12] Mining Technology｜</w:t>
      </w:r>
      <w:hyperlink r:id="rId22">
        <w:r>
          <w:rPr>
            <w:rFonts w:ascii="微软雅黑" w:hAnsi="微软雅黑" w:eastAsia="微软雅黑" w:cs="微软雅黑"/>
            <w:color w:val="087E89"/>
          </w:rPr>
          <w:t>兖煤完成18.5亿美元交易收购凯斯特尔煤矿80%股权</w:t>
        </w:r>
      </w:hyperlink>
      <w:r>
        <w:rPr>
          <w:rFonts w:ascii="微软雅黑" w:hAnsi="微软雅黑" w:eastAsia="微软雅黑" w:cs="微软雅黑"/>
        </w:rPr>
      </w:r>
    </w:p>
    <w:p>
      <w:pPr>
        <w:spacing w:after="0" w:line="20" w:lineRule="exact"/>
      </w:pPr>
      <w:bookmarkStart w:id="13" w:name="source-11066"/>
      <w:bookmarkEnd w:id="13" w:name="source-11066"/>
    </w:p>
    <w:p>
      <w:pPr>
        <w:pStyle w:val="ListBullet"/>
      </w:pPr>
      <w:r>
        <w:rPr>
          <w:rFonts w:ascii="微软雅黑" w:hAnsi="微软雅黑" w:eastAsia="微软雅黑" w:cs="微软雅黑"/>
        </w:rPr>
        <w:t>[13] 人民财讯等｜</w:t>
      </w:r>
      <w:hyperlink r:id="rId23">
        <w:r>
          <w:rPr>
            <w:rFonts w:ascii="微软雅黑" w:hAnsi="微软雅黑" w:eastAsia="微软雅黑" w:cs="微软雅黑"/>
            <w:color w:val="087E89"/>
          </w:rPr>
          <w:t>实现海上发电就地制氢 中国团队首提交流电直接电解海水制氢新策略</w:t>
        </w:r>
      </w:hyperlink>
      <w:r>
        <w:rPr>
          <w:rFonts w:ascii="微软雅黑" w:hAnsi="微软雅黑" w:eastAsia="微软雅黑" w:cs="微软雅黑"/>
        </w:rPr>
      </w:r>
    </w:p>
    <w:p>
      <w:pPr>
        <w:spacing w:after="0" w:line="20" w:lineRule="exact"/>
      </w:pPr>
      <w:bookmarkStart w:id="14" w:name="source-11023"/>
      <w:bookmarkEnd w:id="14" w:name="source-11023"/>
    </w:p>
    <w:p>
      <w:pPr>
        <w:pStyle w:val="ListBullet"/>
      </w:pPr>
      <w:r>
        <w:rPr>
          <w:rFonts w:ascii="微软雅黑" w:hAnsi="微软雅黑" w:eastAsia="微软雅黑" w:cs="微软雅黑"/>
        </w:rPr>
        <w:t>[14] 国能e招（国家能源集团）｜</w:t>
      </w:r>
      <w:hyperlink r:id="rId24">
        <w:r>
          <w:rPr>
            <w:rFonts w:ascii="微软雅黑" w:hAnsi="微软雅黑" w:eastAsia="微软雅黑" w:cs="微软雅黑"/>
            <w:color w:val="087E89"/>
          </w:rPr>
          <w:t>宁夏煤业煤制油指挥部新建MTP改造项目LDPE装置、EVA装置、EVA项目10kV油浸式变压器采购公开招标项目招标公告</w:t>
        </w:r>
      </w:hyperlink>
      <w:r>
        <w:rPr>
          <w:rFonts w:ascii="微软雅黑" w:hAnsi="微软雅黑" w:eastAsia="微软雅黑" w:cs="微软雅黑"/>
        </w:rPr>
      </w:r>
    </w:p>
    <w:p>
      <w:pPr>
        <w:spacing w:after="0" w:line="20" w:lineRule="exact"/>
      </w:pPr>
      <w:bookmarkStart w:id="15" w:name="source-10977"/>
      <w:bookmarkEnd w:id="15" w:name="source-10977"/>
    </w:p>
    <w:p>
      <w:pPr>
        <w:pStyle w:val="ListBullet"/>
      </w:pPr>
      <w:r>
        <w:rPr>
          <w:rFonts w:ascii="微软雅黑" w:hAnsi="微软雅黑" w:eastAsia="微软雅黑" w:cs="微软雅黑"/>
        </w:rPr>
        <w:t>[15] 经济日报｜</w:t>
      </w:r>
      <w:hyperlink r:id="rId25">
        <w:r>
          <w:rPr>
            <w:rFonts w:ascii="微软雅黑" w:hAnsi="微软雅黑" w:eastAsia="微软雅黑" w:cs="微软雅黑"/>
            <w:color w:val="087E89"/>
          </w:rPr>
          <w:t>从“爽快”审批到坚实落地 绿电直连还需政策推一把</w:t>
        </w:r>
      </w:hyperlink>
      <w:r>
        <w:rPr>
          <w:rFonts w:ascii="微软雅黑" w:hAnsi="微软雅黑" w:eastAsia="微软雅黑" w:cs="微软雅黑"/>
        </w:rPr>
      </w:r>
    </w:p>
    <w:p>
      <w:pPr>
        <w:spacing w:after="0" w:line="20" w:lineRule="exact"/>
      </w:pPr>
      <w:bookmarkStart w:id="16" w:name="source-10773"/>
      <w:bookmarkEnd w:id="16" w:name="source-10773"/>
    </w:p>
    <w:p>
      <w:pPr>
        <w:pStyle w:val="ListBullet"/>
      </w:pPr>
      <w:r>
        <w:rPr>
          <w:rFonts w:ascii="微软雅黑" w:hAnsi="微软雅黑" w:eastAsia="微软雅黑" w:cs="微软雅黑"/>
        </w:rPr>
        <w:t>[16] Nuclear Engineering International｜</w:t>
      </w:r>
      <w:hyperlink r:id="rId26">
        <w:r>
          <w:rPr>
            <w:rFonts w:ascii="微软雅黑" w:hAnsi="微软雅黑" w:eastAsia="微软雅黑" w:cs="微软雅黑"/>
            <w:color w:val="087E89"/>
          </w:rPr>
          <w:t>田湾7号机组首次并网发电</w:t>
        </w:r>
      </w:hyperlink>
      <w:r>
        <w:rPr>
          <w:rFonts w:ascii="微软雅黑" w:hAnsi="微软雅黑" w:eastAsia="微软雅黑" w:cs="微软雅黑"/>
        </w:rPr>
      </w:r>
    </w:p>
    <w:p>
      <w:pPr>
        <w:spacing w:after="0" w:line="20" w:lineRule="exact"/>
      </w:pPr>
      <w:bookmarkStart w:id="17" w:name="source-11092"/>
      <w:bookmarkEnd w:id="17" w:name="source-11092"/>
    </w:p>
    <w:p>
      <w:pPr>
        <w:pStyle w:val="ListBullet"/>
      </w:pPr>
      <w:r>
        <w:rPr>
          <w:rFonts w:ascii="微软雅黑" w:hAnsi="微软雅黑" w:eastAsia="微软雅黑" w:cs="微软雅黑"/>
        </w:rPr>
        <w:t>[17] 捷热能源｜</w:t>
      </w:r>
      <w:hyperlink r:id="rId27">
        <w:r>
          <w:rPr>
            <w:rFonts w:ascii="微软雅黑" w:hAnsi="微软雅黑" w:eastAsia="微软雅黑" w:cs="微软雅黑"/>
            <w:color w:val="087E89"/>
          </w:rPr>
          <w:t>JERA、Dell TechnologiesおよびRHAELMによる日本における国家規模のAIインフラ開発の加速に向けた覚書の締結について 2026/10/01</w:t>
        </w:r>
      </w:hyperlink>
      <w:r>
        <w:rPr>
          <w:rFonts w:ascii="微软雅黑" w:hAnsi="微软雅黑" w:eastAsia="微软雅黑" w:cs="微软雅黑"/>
        </w:rPr>
      </w:r>
    </w:p>
    <w:p>
      <w:pPr>
        <w:spacing w:after="0" w:line="20" w:lineRule="exact"/>
      </w:pPr>
      <w:bookmarkStart w:id="18" w:name="source-10979"/>
      <w:bookmarkEnd w:id="18" w:name="source-10979"/>
    </w:p>
    <w:p>
      <w:pPr>
        <w:pStyle w:val="ListBullet"/>
      </w:pPr>
      <w:r>
        <w:rPr>
          <w:rFonts w:ascii="微软雅黑" w:hAnsi="微软雅黑" w:eastAsia="微软雅黑" w:cs="微软雅黑"/>
        </w:rPr>
        <w:t>[18] Green Building Africa｜</w:t>
      </w:r>
      <w:hyperlink r:id="rId28">
        <w:r>
          <w:rPr>
            <w:rFonts w:ascii="微软雅黑" w:hAnsi="微软雅黑" w:eastAsia="微软雅黑" w:cs="微软雅黑"/>
            <w:color w:val="087E89"/>
          </w:rPr>
          <w:t>失败的方程式：约堡City Power"分账隔离"实为从收入顶端抽取30%</w:t>
        </w:r>
      </w:hyperlink>
      <w:r>
        <w:rPr>
          <w:rFonts w:ascii="微软雅黑" w:hAnsi="微软雅黑" w:eastAsia="微软雅黑" w:cs="微软雅黑"/>
        </w:rPr>
      </w:r>
    </w:p>
    <w:p>
      <w:pPr>
        <w:spacing w:after="0" w:line="20" w:lineRule="exact"/>
      </w:pPr>
      <w:bookmarkStart w:id="19" w:name="source-11197"/>
      <w:bookmarkEnd w:id="19" w:name="source-11197"/>
    </w:p>
    <w:p>
      <w:pPr>
        <w:pStyle w:val="ListBullet"/>
      </w:pPr>
      <w:r>
        <w:rPr>
          <w:rFonts w:ascii="微软雅黑" w:hAnsi="微软雅黑" w:eastAsia="微软雅黑" w:cs="微软雅黑"/>
        </w:rPr>
        <w:t>[19] Power Technology｜</w:t>
      </w:r>
      <w:hyperlink r:id="rId29">
        <w:r>
          <w:rPr>
            <w:rFonts w:ascii="微软雅黑" w:hAnsi="微软雅黑" w:eastAsia="微软雅黑" w:cs="微软雅黑"/>
            <w:color w:val="087E89"/>
          </w:rPr>
          <w:t>博斯卡利斯获得 Zeevonk 风电场海缆安装合同</w:t>
        </w:r>
      </w:hyperlink>
      <w:r>
        <w:rPr>
          <w:rFonts w:ascii="微软雅黑" w:hAnsi="微软雅黑" w:eastAsia="微软雅黑" w:cs="微软雅黑"/>
        </w:rPr>
      </w:r>
    </w:p>
    <w:p>
      <w:pPr>
        <w:spacing w:after="0" w:line="20" w:lineRule="exact"/>
      </w:pPr>
      <w:bookmarkStart w:id="20" w:name="source-11100"/>
      <w:bookmarkEnd w:id="20" w:name="source-11100"/>
    </w:p>
    <w:p>
      <w:pPr>
        <w:pStyle w:val="ListBullet"/>
      </w:pPr>
      <w:r>
        <w:rPr>
          <w:rFonts w:ascii="微软雅黑" w:hAnsi="微软雅黑" w:eastAsia="微软雅黑" w:cs="微软雅黑"/>
        </w:rPr>
        <w:t>[20] OffshoreWIND.biz｜</w:t>
      </w:r>
      <w:hyperlink r:id="rId30">
        <w:r>
          <w:rPr>
            <w:rFonts w:ascii="微软雅黑" w:hAnsi="微软雅黑" w:eastAsia="微软雅黑" w:cs="微软雅黑"/>
            <w:color w:val="087E89"/>
          </w:rPr>
          <w:t>Boskalis 将为 1 GW 荷兰海上风电场安装阵列间电缆</w:t>
        </w:r>
      </w:hyperlink>
      <w:r>
        <w:rPr>
          <w:rFonts w:ascii="微软雅黑" w:hAnsi="微软雅黑" w:eastAsia="微软雅黑" w:cs="微软雅黑"/>
        </w:rPr>
      </w:r>
    </w:p>
    <w:p>
      <w:pPr>
        <w:spacing w:after="0" w:line="20" w:lineRule="exact"/>
      </w:pPr>
      <w:bookmarkStart w:id="21" w:name="source-11177"/>
      <w:bookmarkEnd w:id="21" w:name="source-11177"/>
    </w:p>
    <w:p>
      <w:pPr>
        <w:pStyle w:val="ListBullet"/>
      </w:pPr>
      <w:r>
        <w:rPr>
          <w:rFonts w:ascii="微软雅黑" w:hAnsi="微软雅黑" w:eastAsia="微软雅黑" w:cs="微软雅黑"/>
        </w:rPr>
        <w:t>[21] 世界核新闻｜</w:t>
      </w:r>
      <w:hyperlink r:id="rId31">
        <w:r>
          <w:rPr>
            <w:rFonts w:ascii="微软雅黑" w:hAnsi="微软雅黑" w:eastAsia="微软雅黑" w:cs="微软雅黑"/>
            <w:color w:val="087E89"/>
          </w:rPr>
          <w:t>星座能源与亚马逊达成聚焦核电的电力购买协议</w:t>
        </w:r>
      </w:hyperlink>
      <w:r>
        <w:rPr>
          <w:rFonts w:ascii="微软雅黑" w:hAnsi="微软雅黑" w:eastAsia="微软雅黑" w:cs="微软雅黑"/>
        </w:rPr>
      </w:r>
    </w:p>
    <w:p>
      <w:pPr>
        <w:spacing w:after="0" w:line="20" w:lineRule="exact"/>
      </w:pPr>
      <w:bookmarkStart w:id="22" w:name="source-11163"/>
      <w:bookmarkEnd w:id="22" w:name="source-11163"/>
    </w:p>
    <w:p>
      <w:pPr>
        <w:pStyle w:val="ListBullet"/>
      </w:pPr>
      <w:r>
        <w:rPr>
          <w:rFonts w:ascii="微软雅黑" w:hAnsi="微软雅黑" w:eastAsia="微软雅黑" w:cs="微软雅黑"/>
        </w:rPr>
        <w:t>[22] Interfax｜</w:t>
      </w:r>
      <w:hyperlink r:id="rId32">
        <w:r>
          <w:rPr>
            <w:rFonts w:ascii="微软雅黑" w:hAnsi="微软雅黑" w:eastAsia="微软雅黑" w:cs="微软雅黑"/>
            <w:color w:val="087E89"/>
          </w:rPr>
          <w:t>2030年后石油 cutoff 价格每年按2%指数化调整的原理得以延续，尽管该价格有所下调</w:t>
        </w:r>
      </w:hyperlink>
      <w:r>
        <w:rPr>
          <w:rFonts w:ascii="微软雅黑" w:hAnsi="微软雅黑" w:eastAsia="微软雅黑" w:cs="微软雅黑"/>
        </w:rPr>
      </w:r>
    </w:p>
    <w:p>
      <w:pPr>
        <w:spacing w:after="0" w:line="20" w:lineRule="exact"/>
      </w:pPr>
      <w:bookmarkStart w:id="23" w:name="source-11136"/>
      <w:bookmarkEnd w:id="23" w:name="source-11136"/>
    </w:p>
    <w:p>
      <w:pPr>
        <w:pStyle w:val="ListBullet"/>
      </w:pPr>
      <w:r>
        <w:rPr>
          <w:rFonts w:ascii="微软雅黑" w:hAnsi="微软雅黑" w:eastAsia="微软雅黑" w:cs="微软雅黑"/>
        </w:rPr>
        <w:t>[23] 清洁能源通讯社｜</w:t>
      </w:r>
      <w:hyperlink r:id="rId33">
        <w:r>
          <w:rPr>
            <w:rFonts w:ascii="微软雅黑" w:hAnsi="微软雅黑" w:eastAsia="微软雅黑" w:cs="微软雅黑"/>
            <w:color w:val="087E89"/>
          </w:rPr>
          <w:t>车用电池与家用储能助力平衡德国电网</w:t>
        </w:r>
      </w:hyperlink>
      <w:r>
        <w:rPr>
          <w:rFonts w:ascii="微软雅黑" w:hAnsi="微软雅黑" w:eastAsia="微软雅黑" w:cs="微软雅黑"/>
        </w:rPr>
      </w:r>
    </w:p>
    <w:p>
      <w:pPr>
        <w:spacing w:after="0" w:line="20" w:lineRule="exact"/>
      </w:pPr>
      <w:bookmarkStart w:id="24" w:name="source-11146"/>
      <w:bookmarkEnd w:id="24" w:name="source-11146"/>
    </w:p>
    <w:p>
      <w:pPr>
        <w:pStyle w:val="ListBullet"/>
      </w:pPr>
      <w:r>
        <w:rPr>
          <w:rFonts w:ascii="微软雅黑" w:hAnsi="微软雅黑" w:eastAsia="微软雅黑" w:cs="微软雅黑"/>
        </w:rPr>
        <w:t>[24] 《油气工程》｜</w:t>
      </w:r>
      <w:hyperlink r:id="rId34">
        <w:r>
          <w:rPr>
            <w:rFonts w:ascii="微软雅黑" w:hAnsi="微软雅黑" w:eastAsia="微软雅黑" w:cs="微软雅黑"/>
            <w:color w:val="087E89"/>
          </w:rPr>
          <w:t>NextDecade 获得 RIO GRANDE 里奥格兰德 LNG 第 6 号生产线扩建项目许可</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www.oeko.de/news/pressemeldungen/wer-wenig-verdient-und-nicht-privat-laden-kann-braucht-beim-umstieg-auf-das-e-auto-gezielte-unterstuetzung/" TargetMode="External"/><Relationship Id="rId12" Type="http://schemas.openxmlformats.org/officeDocument/2006/relationships/hyperlink" Target="https://www.world-nuclear-news.org/articles/usa-south-korea-targeting-six-ap1000-two-apr1400-units" TargetMode="External"/><Relationship Id="rId13" Type="http://schemas.openxmlformats.org/officeDocument/2006/relationships/hyperlink" Target="https://www.yna.co.kr/view/AKR20260922194300003?section=industry/energy-resource" TargetMode="External"/><Relationship Id="rId14" Type="http://schemas.openxmlformats.org/officeDocument/2006/relationships/hyperlink" Target="https://www.yna.co.kr/view/AKR20261001158000003?section=industry/energy-resource" TargetMode="External"/><Relationship Id="rId15" Type="http://schemas.openxmlformats.org/officeDocument/2006/relationships/hyperlink" Target="https://www.power-technology.com/news/us-senators-agreement-energy-bill/" TargetMode="External"/><Relationship Id="rId16" Type="http://schemas.openxmlformats.org/officeDocument/2006/relationships/hyperlink" Target="https://www.cleanenergywire.org/news/merz-touts-green-technologys-growth-potential-calls-international-carbon-markets" TargetMode="External"/><Relationship Id="rId17" Type="http://schemas.openxmlformats.org/officeDocument/2006/relationships/hyperlink" Target="https://www.gov.uk/government/news/applications-open-for-scheme-to-slash-electricity-bills-for-over-10000-manufacturers" TargetMode="External"/><Relationship Id="rId18" Type="http://schemas.openxmlformats.org/officeDocument/2006/relationships/hyperlink" Target="https://www.vanguardngr.com/2026/10/what-my-government-will-do-going-forward-tinubu/" TargetMode="External"/><Relationship Id="rId19" Type="http://schemas.openxmlformats.org/officeDocument/2006/relationships/hyperlink" Target="https://www.vanguardngr.com/2026/10/independence-day-nigeria-was-like-cancer-patient-on-morphine-until-we-came-tinubu/" TargetMode="External"/><Relationship Id="rId20" Type="http://schemas.openxmlformats.org/officeDocument/2006/relationships/hyperlink" Target="https://www.eni.com/en-IT/media/press-release/2026/10/plenitude-new-shareholding-structure-and-governance-based-on-joint-control-by-eni-and-ares.html" TargetMode="External"/><Relationship Id="rId21" Type="http://schemas.openxmlformats.org/officeDocument/2006/relationships/hyperlink" Target="https://www.chnenergy.com.cn/gjnyjtww/newCE0301/202610/549bb33b6a8b4ebf9ceef00ffac7bd75.shtml" TargetMode="External"/><Relationship Id="rId22" Type="http://schemas.openxmlformats.org/officeDocument/2006/relationships/hyperlink" Target="https://www.mining-technology.com/news/yancoal-1-85bn-deal-kestrel-coal-mine/" TargetMode="External"/><Relationship Id="rId23" Type="http://schemas.openxmlformats.org/officeDocument/2006/relationships/hyperlink" Target="https://www.stcn.com/article/detail/4205571.html" TargetMode="External"/><Relationship Id="rId24" Type="http://schemas.openxmlformats.org/officeDocument/2006/relationships/hyperlink" Target="https://www.chnenergybidding.com.cn/bidweb/001/001002/001002001/20261001/594d5e21-3208-4235-b66a-f486b6170bf6.html" TargetMode="External"/><Relationship Id="rId25" Type="http://schemas.openxmlformats.org/officeDocument/2006/relationships/hyperlink" Target="http://www.ce.cn/cysc/newmain/yc/jsxw/202610/t20261001_3246647.shtml" TargetMode="External"/><Relationship Id="rId26" Type="http://schemas.openxmlformats.org/officeDocument/2006/relationships/hyperlink" Target="https://www.neimagazine.com/news/tianwan-7-reaches-minimum-power/" TargetMode="External"/><Relationship Id="rId27" Type="http://schemas.openxmlformats.org/officeDocument/2006/relationships/hyperlink" Target="https://www.jera.co.jp/news/information/20261001_2535" TargetMode="External"/><Relationship Id="rId28" Type="http://schemas.openxmlformats.org/officeDocument/2006/relationships/hyperlink" Target="https://www.greenbuildingafrica.co.za/a-formula-for-failure-ringfencing-where-joburgs-city-power-takes-30-off-the-top/" TargetMode="External"/><Relationship Id="rId29" Type="http://schemas.openxmlformats.org/officeDocument/2006/relationships/hyperlink" Target="https://www.power-technology.com/news/boskalis-cable-installation-zeevonk-wind/" TargetMode="External"/><Relationship Id="rId30" Type="http://schemas.openxmlformats.org/officeDocument/2006/relationships/hyperlink" Target="https://www.offshorewind.biz/2026/10/01/boskalis-to-install-inter-array-cables-at-1-gw-dutch-offshore-wind-farm" TargetMode="External"/><Relationship Id="rId31" Type="http://schemas.openxmlformats.org/officeDocument/2006/relationships/hyperlink" Target="https://www.world-nuclear-news.org/articles/constellation-amazon-agree-nuclear-focused-power-purchase-deal" TargetMode="External"/><Relationship Id="rId32" Type="http://schemas.openxmlformats.org/officeDocument/2006/relationships/hyperlink" Target="https://www.interfax.ru/business/1119647" TargetMode="External"/><Relationship Id="rId33" Type="http://schemas.openxmlformats.org/officeDocument/2006/relationships/hyperlink" Target="https://www.cleanenergywire.org/news/car-batteries-and-home-storage-help-balance-germanys-grids" TargetMode="External"/><Relationship Id="rId34" Type="http://schemas.openxmlformats.org/officeDocument/2006/relationships/hyperlink" Target="https://www.hydrocarbonengineering.com/gas-processing/01102026/nextdecade-receives-permit-for-rio-grande-lng-train-6-expansion-pro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