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信息覆盖时段：2026-10-24 00:00 至 2026-10-25 00:00（不含），Asia/Shanghai。</w:t>
      </w:r>
    </w:p>
    <w:p>
      <w:pPr/>
      <w:r>
        <w:rPr>
          <w:rFonts w:ascii="微软雅黑" w:hAnsi="微软雅黑" w:eastAsia="微软雅黑" w:cs="微软雅黑"/>
        </w:rPr>
        <w:t>统计区间：2026-10-24 至 2026-10-25（结束日不含，北京时间）</w:t>
      </w:r>
    </w:p>
    <w:p>
      <w:pPr>
        <w:ind w:firstLine="420"/>
      </w:pPr>
      <w:r>
        <w:rPr>
          <w:rFonts w:ascii="微软雅黑" w:hAnsi="微软雅黑" w:eastAsia="微软雅黑" w:cs="微软雅黑"/>
        </w:rPr>
        <w:t>资料更新截止：2026-10-25 04:04（北京时间）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胡塞武装袭击沙特能源设施，沙特阿美疏散总部员工 </w:t>
      </w:r>
      <w:hyperlink w:anchor="source-26808">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7051">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南方区域电力市场转入正式运行暨高质量发展推进会在广州召开 </w:t>
      </w:r>
      <w:hyperlink w:anchor="source-27198">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美国能源部将氦气认定为第20种关键材料 </w:t>
      </w:r>
      <w:hyperlink w:anchor="source-27110">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2026年10月中旬流通领域重要生产资料价格多数下降 </w:t>
      </w:r>
      <w:hyperlink w:anchor="source-26921">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国家发改委将电煤、电力、天然气三类保供中长期合同纳入统一制度框架 </w:t>
      </w:r>
      <w:hyperlink w:anchor="source-27188">
        <w:r>
          <w:rPr>
            <w:rFonts w:ascii="微软雅黑" w:hAnsi="微软雅黑" w:eastAsia="微软雅黑" w:cs="微软雅黑"/>
            <w:color w:val="087E89"/>
          </w:rPr>
          <w:t>6</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氦气现货价格自冲突爆发以来变化</w:t>
            </w:r>
          </w:p>
        </w:tc>
        <w:tc>
          <w:tcPr>
            <w:tcW w:type="dxa" w:w="2268"/>
          </w:tcPr>
          <w:p>
            <w:pPr>
              <w:spacing w:after="40"/>
            </w:pPr>
            <w:r>
              <w:rPr>
                <w:rFonts w:ascii="微软雅黑" w:hAnsi="微软雅黑" w:eastAsia="微软雅黑" w:cs="微软雅黑"/>
              </w:rPr>
              <w:t>已翻三倍</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7110">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全国流通领域重要生产资料价格上涨产品数量（2026年10月中旬与9月下旬相比）</w:t>
            </w:r>
          </w:p>
        </w:tc>
        <w:tc>
          <w:tcPr>
            <w:tcW w:type="dxa" w:w="2268"/>
          </w:tcPr>
          <w:p>
            <w:pPr>
              <w:spacing w:after="40"/>
            </w:pPr>
            <w:r>
              <w:rPr>
                <w:rFonts w:ascii="微软雅黑" w:hAnsi="微软雅黑" w:eastAsia="微软雅黑" w:cs="微软雅黑"/>
              </w:rPr>
              <w:t>22种</w:t>
            </w:r>
          </w:p>
        </w:tc>
        <w:tc>
          <w:tcPr>
            <w:tcW w:type="dxa" w:w="2268"/>
          </w:tcPr>
          <w:p>
            <w:pPr>
              <w:spacing w:after="40"/>
            </w:pPr>
            <w:r>
              <w:rPr>
                <w:rFonts w:ascii="微软雅黑" w:hAnsi="微软雅黑" w:eastAsia="微软雅黑" w:cs="微软雅黑"/>
              </w:rPr>
              <w:t>2026年10月中旬</w:t>
            </w:r>
          </w:p>
        </w:tc>
        <w:tc>
          <w:tcPr>
            <w:tcW w:type="dxa" w:w="2268"/>
          </w:tcPr>
          <w:p>
            <w:pPr>
              <w:spacing w:after="40"/>
            </w:pPr>
            <w:r>
              <w:rPr>
                <w:rFonts w:ascii="微软雅黑" w:hAnsi="微软雅黑" w:eastAsia="微软雅黑" w:cs="微软雅黑"/>
              </w:rPr>
            </w:r>
            <w:hyperlink w:anchor="source-26921">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全国流通领域重要生产资料价格下降产品数量（2026年10月中旬与9月下旬相比）</w:t>
            </w:r>
          </w:p>
        </w:tc>
        <w:tc>
          <w:tcPr>
            <w:tcW w:type="dxa" w:w="2268"/>
          </w:tcPr>
          <w:p>
            <w:pPr>
              <w:spacing w:after="40"/>
            </w:pPr>
            <w:r>
              <w:rPr>
                <w:rFonts w:ascii="微软雅黑" w:hAnsi="微软雅黑" w:eastAsia="微软雅黑" w:cs="微软雅黑"/>
              </w:rPr>
              <w:t>25种</w:t>
            </w:r>
          </w:p>
        </w:tc>
        <w:tc>
          <w:tcPr>
            <w:tcW w:type="dxa" w:w="2268"/>
          </w:tcPr>
          <w:p>
            <w:pPr>
              <w:spacing w:after="40"/>
            </w:pPr>
            <w:r>
              <w:rPr>
                <w:rFonts w:ascii="微软雅黑" w:hAnsi="微软雅黑" w:eastAsia="微软雅黑" w:cs="微软雅黑"/>
              </w:rPr>
              <w:t>2026年10月中旬</w:t>
            </w:r>
          </w:p>
        </w:tc>
        <w:tc>
          <w:tcPr>
            <w:tcW w:type="dxa" w:w="2268"/>
          </w:tcPr>
          <w:p>
            <w:pPr>
              <w:spacing w:after="40"/>
            </w:pPr>
            <w:r>
              <w:rPr>
                <w:rFonts w:ascii="微软雅黑" w:hAnsi="微软雅黑" w:eastAsia="微软雅黑" w:cs="微软雅黑"/>
              </w:rPr>
            </w:r>
            <w:hyperlink w:anchor="source-26921">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全国流通领域重要生产资料价格持平产品数量（2026年10月中旬与9月下旬相比）</w:t>
            </w:r>
          </w:p>
        </w:tc>
        <w:tc>
          <w:tcPr>
            <w:tcW w:type="dxa" w:w="2268"/>
          </w:tcPr>
          <w:p>
            <w:pPr>
              <w:spacing w:after="40"/>
            </w:pPr>
            <w:r>
              <w:rPr>
                <w:rFonts w:ascii="微软雅黑" w:hAnsi="微软雅黑" w:eastAsia="微软雅黑" w:cs="微软雅黑"/>
              </w:rPr>
              <w:t>3种</w:t>
            </w:r>
          </w:p>
        </w:tc>
        <w:tc>
          <w:tcPr>
            <w:tcW w:type="dxa" w:w="2268"/>
          </w:tcPr>
          <w:p>
            <w:pPr>
              <w:spacing w:after="40"/>
            </w:pPr>
            <w:r>
              <w:rPr>
                <w:rFonts w:ascii="微软雅黑" w:hAnsi="微软雅黑" w:eastAsia="微软雅黑" w:cs="微软雅黑"/>
              </w:rPr>
              <w:t>2026年10月中旬</w:t>
            </w:r>
          </w:p>
        </w:tc>
        <w:tc>
          <w:tcPr>
            <w:tcW w:type="dxa" w:w="2268"/>
          </w:tcPr>
          <w:p>
            <w:pPr>
              <w:spacing w:after="40"/>
            </w:pPr>
            <w:r>
              <w:rPr>
                <w:rFonts w:ascii="微软雅黑" w:hAnsi="微软雅黑" w:eastAsia="微软雅黑" w:cs="微软雅黑"/>
              </w:rPr>
            </w:r>
            <w:hyperlink w:anchor="source-26921">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中国能源保供中长期合同纳入统一制度框架的能源类别</w:t>
            </w:r>
          </w:p>
        </w:tc>
        <w:tc>
          <w:tcPr>
            <w:tcW w:type="dxa" w:w="2268"/>
          </w:tcPr>
          <w:p>
            <w:pPr>
              <w:spacing w:after="40"/>
            </w:pPr>
            <w:r>
              <w:rPr>
                <w:rFonts w:ascii="微软雅黑" w:hAnsi="微软雅黑" w:eastAsia="微软雅黑" w:cs="微软雅黑"/>
              </w:rPr>
              <w:t>电煤、电力、天然气三类</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7188">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美国户用光伏中位报价</w:t>
            </w:r>
          </w:p>
        </w:tc>
        <w:tc>
          <w:tcPr>
            <w:tcW w:type="dxa" w:w="2268"/>
          </w:tcPr>
          <w:p>
            <w:pPr>
              <w:spacing w:after="40"/>
            </w:pPr>
            <w:r>
              <w:rPr>
                <w:rFonts w:ascii="微软雅黑" w:hAnsi="微软雅黑" w:eastAsia="微软雅黑" w:cs="微软雅黑"/>
              </w:rPr>
              <w:t>2.57美元/瓦</w:t>
            </w:r>
          </w:p>
        </w:tc>
        <w:tc>
          <w:tcPr>
            <w:tcW w:type="dxa" w:w="2268"/>
          </w:tcPr>
          <w:p>
            <w:pPr>
              <w:spacing w:after="40"/>
            </w:pPr>
            <w:r>
              <w:rPr>
                <w:rFonts w:ascii="微软雅黑" w:hAnsi="微软雅黑" w:eastAsia="微软雅黑" w:cs="微软雅黑"/>
              </w:rPr>
              <w:t>2026年上半年</w:t>
            </w:r>
          </w:p>
        </w:tc>
        <w:tc>
          <w:tcPr>
            <w:tcW w:type="dxa" w:w="2268"/>
          </w:tcPr>
          <w:p>
            <w:pPr>
              <w:spacing w:after="40"/>
            </w:pPr>
            <w:r>
              <w:rPr>
                <w:rFonts w:ascii="微软雅黑" w:hAnsi="微软雅黑" w:eastAsia="微软雅黑" w:cs="微软雅黑"/>
              </w:rPr>
            </w:r>
            <w:hyperlink w:anchor="source-27108">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美国户用光伏中位报价（前期）</w:t>
            </w:r>
          </w:p>
        </w:tc>
        <w:tc>
          <w:tcPr>
            <w:tcW w:type="dxa" w:w="2268"/>
          </w:tcPr>
          <w:p>
            <w:pPr>
              <w:spacing w:after="40"/>
            </w:pPr>
            <w:r>
              <w:rPr>
                <w:rFonts w:ascii="微软雅黑" w:hAnsi="微软雅黑" w:eastAsia="微软雅黑" w:cs="微软雅黑"/>
              </w:rPr>
              <w:t>2.49美元/瓦</w:t>
            </w:r>
          </w:p>
        </w:tc>
        <w:tc>
          <w:tcPr>
            <w:tcW w:type="dxa" w:w="2268"/>
          </w:tcPr>
          <w:p>
            <w:pPr>
              <w:spacing w:after="40"/>
            </w:pPr>
            <w:r>
              <w:rPr>
                <w:rFonts w:ascii="微软雅黑" w:hAnsi="微软雅黑" w:eastAsia="微软雅黑" w:cs="微软雅黑"/>
              </w:rPr>
              <w:t>2025年下半年</w:t>
            </w:r>
          </w:p>
        </w:tc>
        <w:tc>
          <w:tcPr>
            <w:tcW w:type="dxa" w:w="2268"/>
          </w:tcPr>
          <w:p>
            <w:pPr>
              <w:spacing w:after="40"/>
            </w:pPr>
            <w:r>
              <w:rPr>
                <w:rFonts w:ascii="微软雅黑" w:hAnsi="微软雅黑" w:eastAsia="微软雅黑" w:cs="微软雅黑"/>
              </w:rPr>
            </w:r>
            <w:hyperlink w:anchor="source-27108">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中国中煤能源股份有限公司煤炭业务营业收入</w:t>
            </w:r>
          </w:p>
        </w:tc>
        <w:tc>
          <w:tcPr>
            <w:tcW w:type="dxa" w:w="2268"/>
          </w:tcPr>
          <w:p>
            <w:pPr>
              <w:spacing w:after="40"/>
            </w:pPr>
            <w:r>
              <w:rPr>
                <w:rFonts w:ascii="微软雅黑" w:hAnsi="微软雅黑" w:eastAsia="微软雅黑" w:cs="微软雅黑"/>
              </w:rPr>
              <w:t>930.50亿元，同比增长4.2%</w:t>
            </w:r>
          </w:p>
        </w:tc>
        <w:tc>
          <w:tcPr>
            <w:tcW w:type="dxa" w:w="2268"/>
          </w:tcPr>
          <w:p>
            <w:pPr>
              <w:spacing w:after="40"/>
            </w:pPr>
            <w:r>
              <w:rPr>
                <w:rFonts w:ascii="微软雅黑" w:hAnsi="微软雅黑" w:eastAsia="微软雅黑" w:cs="微软雅黑"/>
              </w:rPr>
              <w:t>2026年1-9月</w:t>
            </w:r>
          </w:p>
        </w:tc>
        <w:tc>
          <w:tcPr>
            <w:tcW w:type="dxa" w:w="2268"/>
          </w:tcPr>
          <w:p>
            <w:pPr>
              <w:spacing w:after="40"/>
            </w:pPr>
            <w:r>
              <w:rPr>
                <w:rFonts w:ascii="微软雅黑" w:hAnsi="微软雅黑" w:eastAsia="微软雅黑" w:cs="微软雅黑"/>
              </w:rPr>
            </w:r>
            <w:hyperlink w:anchor="source-27002">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中国中煤能源股份有限公司煤炭业务毛利</w:t>
            </w:r>
          </w:p>
        </w:tc>
        <w:tc>
          <w:tcPr>
            <w:tcW w:type="dxa" w:w="2268"/>
          </w:tcPr>
          <w:p>
            <w:pPr>
              <w:spacing w:after="40"/>
            </w:pPr>
            <w:r>
              <w:rPr>
                <w:rFonts w:ascii="微软雅黑" w:hAnsi="微软雅黑" w:eastAsia="微软雅黑" w:cs="微软雅黑"/>
              </w:rPr>
              <w:t>246.16亿元，同比增长9.3%</w:t>
            </w:r>
          </w:p>
        </w:tc>
        <w:tc>
          <w:tcPr>
            <w:tcW w:type="dxa" w:w="2268"/>
          </w:tcPr>
          <w:p>
            <w:pPr>
              <w:spacing w:after="40"/>
            </w:pPr>
            <w:r>
              <w:rPr>
                <w:rFonts w:ascii="微软雅黑" w:hAnsi="微软雅黑" w:eastAsia="微软雅黑" w:cs="微软雅黑"/>
              </w:rPr>
              <w:t>2026年1-9月</w:t>
            </w:r>
          </w:p>
        </w:tc>
        <w:tc>
          <w:tcPr>
            <w:tcW w:type="dxa" w:w="2268"/>
          </w:tcPr>
          <w:p>
            <w:pPr>
              <w:spacing w:after="40"/>
            </w:pPr>
            <w:r>
              <w:rPr>
                <w:rFonts w:ascii="微软雅黑" w:hAnsi="微软雅黑" w:eastAsia="微软雅黑" w:cs="微软雅黑"/>
              </w:rPr>
            </w:r>
            <w:hyperlink w:anchor="source-27002">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中国中煤能源股份有限公司自产商品煤单位销售成本</w:t>
            </w:r>
          </w:p>
        </w:tc>
        <w:tc>
          <w:tcPr>
            <w:tcW w:type="dxa" w:w="2268"/>
          </w:tcPr>
          <w:p>
            <w:pPr>
              <w:spacing w:after="40"/>
            </w:pPr>
            <w:r>
              <w:rPr>
                <w:rFonts w:ascii="微软雅黑" w:hAnsi="微软雅黑" w:eastAsia="微软雅黑" w:cs="微软雅黑"/>
              </w:rPr>
              <w:t>298.66元/吨，同比增加40.99元/吨、增长15.9%</w:t>
            </w:r>
          </w:p>
        </w:tc>
        <w:tc>
          <w:tcPr>
            <w:tcW w:type="dxa" w:w="2268"/>
          </w:tcPr>
          <w:p>
            <w:pPr>
              <w:spacing w:after="40"/>
            </w:pPr>
            <w:r>
              <w:rPr>
                <w:rFonts w:ascii="微软雅黑" w:hAnsi="微软雅黑" w:eastAsia="微软雅黑" w:cs="微软雅黑"/>
              </w:rPr>
              <w:t>2026年1-9月</w:t>
            </w:r>
          </w:p>
        </w:tc>
        <w:tc>
          <w:tcPr>
            <w:tcW w:type="dxa" w:w="2268"/>
          </w:tcPr>
          <w:p>
            <w:pPr>
              <w:spacing w:after="40"/>
            </w:pPr>
            <w:r>
              <w:rPr>
                <w:rFonts w:ascii="微软雅黑" w:hAnsi="微软雅黑" w:eastAsia="微软雅黑" w:cs="微软雅黑"/>
              </w:rPr>
            </w:r>
            <w:hyperlink w:anchor="source-27002">
              <w:r>
                <w:rPr>
                  <w:rFonts w:ascii="微软雅黑" w:hAnsi="微软雅黑" w:eastAsia="微软雅黑" w:cs="微软雅黑"/>
                  <w:color w:val="087E89"/>
                </w:rPr>
                <w:t>8</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美国能源部将氦气认定为第20种关键材料</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当地时间10月23日，美国能源部宣布依据《2020年能源法》将氦气认定为关键材料，以加强美国制造业和供应链安全。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氦气成为美国能源部指定的第20种关键材料，被纳入《2020年能源法》关键材料框架并接受更严格的政府监管。该认定将有助于符合条件的氦气项目获得美国政府融资、技术援助和合作伙伴关系，类似于向稀土开采企业提供的支持。背景方面，因伊朗封锁霍尔木兹海峡并袭击卡塔尔基础设施，卡塔尔氦气出口受到严重限制；俄罗斯于4月实施临时出口管制。液化空气集团前高管Rich Brooke指出，自冲突爆发以来氦气现货价格已翻三倍，一些供应商正在动用地下深穴储备。</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氦气供应紧张背景下，该认定有助于符合条件的氦气项目获得美国政府融资、技术援助和合作伙伴关系。</w:t>
      </w:r>
    </w:p>
    <w:p>
      <w:pPr>
        <w:ind w:firstLine="420"/>
      </w:pPr>
      <w:r>
        <w:rPr>
          <w:rFonts w:ascii="微软雅黑" w:hAnsi="微软雅黑" w:eastAsia="微软雅黑" w:cs="微软雅黑"/>
        </w:rPr>
        <w:t>来源：</w:t>
      </w:r>
      <w:hyperlink w:anchor="source-27110">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2. 美国国会收到禁止进口俄能源载体许可的法案草案</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美国国会收到一项法案草案，拟全面禁止发放俄罗斯能源载体进口许可，并撤销已签发的一般许可证；法案文本已发布在相关主管部门官方网站。</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法案作者为共和党议员布莱恩·菲茨帕特里克，拟限制美国财政部签发任何自俄进口能源载体一般许可证的权限，并撤销已签发的一般许可证。法案还禁止美国财政部发起通常伴随并为购买、运输或卸载俄罗斯原油及石油产品所必需的任何操作。俄罗斯总统新闻秘书德米特里·佩斯科夫表示，装载俄罗斯柴油的第一艘油轮已发往美国。</w:t>
      </w:r>
    </w:p>
    <w:p>
      <w:pPr>
        <w:ind w:firstLine="420"/>
      </w:pPr>
      <w:r>
        <w:rPr>
          <w:rFonts w:ascii="微软雅黑" w:hAnsi="微软雅黑" w:eastAsia="微软雅黑" w:cs="微软雅黑"/>
        </w:rPr>
        <w:t>来源：</w:t>
      </w:r>
      <w:hyperlink w:anchor="source-27099">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3. 胡塞武装袭击沙特能源设施，沙特阿美疏散总部员工</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也门胡塞武装加强对沙特能源及交通基础设施的袭击，沙特阿美要求宰赫兰总部员工撤离，市场对地区能源供应中断的担忧加剧。</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也门胡塞武装声称加强了对沙特阿拉伯能源及交通基础设施的袭击，目标包括沙特阿美位于延布和谢拜的设施，并宣称对沙特一个油田和机场发动致命袭击。沙特阿美已要求位于宰赫兰总部的员工撤离，并于周四疏散了位于达兰的总部门。美国扩大中东外交人员撤离范围的消息，以及霍尔木兹海峡附近发生爆炸的未经证实报道，进一步加剧市场对地区能源供应中断的担忧。</w:t>
      </w:r>
    </w:p>
    <w:p>
      <w:pPr>
        <w:ind w:firstLine="420"/>
      </w:pPr>
      <w:r>
        <w:rPr>
          <w:rFonts w:ascii="微软雅黑" w:hAnsi="微软雅黑" w:eastAsia="微软雅黑" w:cs="微软雅黑"/>
        </w:rPr>
        <w:t>来源：</w:t>
      </w:r>
      <w:hyperlink w:anchor="source-26808">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7051">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4. 特朗普称可能对伊朗再发动一次小规模“史诗怒火”行动</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美国总统特朗普10月23日表示，美国或许会再来一次小规模的“史诗怒火”行动，又或者伊朗会选择妥协。</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当地时间10月23日，特朗普表示，美国或许会再来一次小规模的“史诗怒火”行动，又或者伊朗会选择妥协。据美国方面21日消息，美国和以色列军方已制定具体计划，准备在11月美国国会中期选举结束后再次打击伊朗，但特朗普是否会批准实施这一计划尚不确定。2月28日，美国和以色列曾对伊朗发动军事打击，美国国防部称该行动名称为“史诗怒火”。《纽约时报》本周报道称，美国和以色列已制定在下月初美国中期选举结束后再次对伊朗发动打击的计划。</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这场战事仍未结束，燃油价格高企，化肥和大宗商品供应短缺，海湾地区能源设施及出口通道遭到严重破坏。</w:t>
      </w:r>
    </w:p>
    <w:p>
      <w:pPr>
        <w:ind w:firstLine="420"/>
      </w:pPr>
      <w:r>
        <w:rPr>
          <w:rFonts w:ascii="微软雅黑" w:hAnsi="微软雅黑" w:eastAsia="微软雅黑" w:cs="微软雅黑"/>
        </w:rPr>
        <w:t>来源：</w:t>
      </w:r>
      <w:hyperlink w:anchor="source-26910">
        <w:r>
          <w:rPr>
            <w:rFonts w:ascii="微软雅黑" w:hAnsi="微软雅黑" w:eastAsia="微软雅黑" w:cs="微软雅黑"/>
            <w:color w:val="087E89"/>
          </w:rPr>
          <w:t>16</w:t>
        </w:r>
      </w:hyperlink>
      <w:r>
        <w:rPr>
          <w:rFonts w:ascii="微软雅黑" w:hAnsi="微软雅黑" w:eastAsia="微软雅黑" w:cs="微软雅黑"/>
        </w:rPr>
        <w:t xml:space="preserve"> </w:t>
      </w:r>
      <w:hyperlink w:anchor="source-26896">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5. 美国能源部将氦气认定为关键材料</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美国能源部当地时间10月23日宣布将氦气认定为关键材料，理由是该元素对美国国内制造业和半导体生产至关重要，且越来越易受供应链中断影响。</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能源部当地时间10月23日宣布将氦气认定为关键材料，以加强美国制造业和供应链安全。能源部部长赖特表示，特朗普政府致力于“让美国在关键材料方面不再依赖外国进口”。能源部称氦作为惰性气体在许多关键应用中没有可行的替代品，且对美国国内制造业和半导体生产至关重要，越来越易受供应链中断影响。据美国地质调查局数据，美国是全球最大氦生产国，去年产量约占全球43%；卡塔尔和阿联酋也是氦的主要供应国。关键材料清单依据《2020年能源法》设立，涵盖对能源技术至关重要且供应链中断风险较高的非燃料矿产、元素及其他材料。</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全球对氦气的需求增长超过产量增长，加剧了美国制造商面临的供应风险。</w:t>
      </w:r>
    </w:p>
    <w:p>
      <w:pPr>
        <w:ind w:firstLine="420"/>
      </w:pPr>
      <w:r>
        <w:rPr>
          <w:rFonts w:ascii="微软雅黑" w:hAnsi="微软雅黑" w:eastAsia="微软雅黑" w:cs="微软雅黑"/>
        </w:rPr>
        <w:t>来源：</w:t>
      </w:r>
      <w:hyperlink w:anchor="source-26787">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26810">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6. 印尼削减对新加坡天然气出口以优先满足国内需求</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印度尼西亚表示将削减对新加坡的天然气出口合计3100万标准立方英尺/日，以优先满足国内需求。</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印尼将削减对新加坡供应的天然气合计3100万标准立方英尺/日。SKK Migas称此举是为了“确保国内天然气供应的可靠性（用于发电）”。新加坡能源市场管理局表示，该削减量低于该国每日天然气总需求的2%。目前仅新加坡受到影响；新加坡EMA称进口商将依据合同追索相关权益，并已制定应急计划。</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新加坡能源市场管理局表示，该削减量低于该国每日天然气总需求的2%；目前仅新加坡受到影响。</w:t>
      </w:r>
    </w:p>
    <w:p>
      <w:pPr>
        <w:ind w:firstLine="420"/>
      </w:pPr>
      <w:r>
        <w:rPr>
          <w:rFonts w:ascii="微软雅黑" w:hAnsi="微软雅黑" w:eastAsia="微软雅黑" w:cs="微软雅黑"/>
        </w:rPr>
        <w:t>来源：</w:t>
      </w:r>
      <w:hyperlink w:anchor="source-27171">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7. 前三季度原煤产量同比下降3.5% 供应渐进式修复</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2026年前三季度中国规上原煤产量34.5亿吨，同比下降3.5%，但9月日均产量1284万吨，同比降幅收窄至6.8%，供应呈渐进式修复态势。</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前三季度规上原煤产量34.5亿吨，同比下降3.5%；9月日均产量1284万吨，同比降幅收窄至6.8%。研报指出，大秦线秋检结束叠加主产区复产推进，供应渐进式修复，但陕蒙月底减产、印尼雨季延迟及出口新政扰动，进口补充仍受限。</w:t>
      </w:r>
    </w:p>
    <w:p>
      <w:pPr>
        <w:ind w:firstLine="420"/>
      </w:pPr>
      <w:r>
        <w:rPr>
          <w:rFonts w:ascii="微软雅黑" w:hAnsi="微软雅黑" w:eastAsia="微软雅黑" w:cs="微软雅黑"/>
        </w:rPr>
        <w:t>来源：</w:t>
      </w:r>
      <w:hyperlink w:anchor="source-27159">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8. 储能装机增长推动澳大利亚电网规模光伏经济性限出下降54%</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AEMO数据显示，随着独立电网规模储能装机一年增长三倍、叠加联邦补贴推动的家用电池激增，澳大利亚电网规模光伏的经济性限出大幅下降，日间过剩光伏被新需求吸收，价格更常维持在零以上。</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AEMO数据显示，电网规模光伏的经济性限出同比下降54%（平均减少177兆瓦），占平均光伏可用的比例从超过16%降至5.9%。变化最大的昆士兰州，电网规模光伏平均限出下降63%（139兆瓦），降至平均81兆瓦。独立电网规模储能过去一年装机容量增长三倍，叠加联邦补贴带来的家用电池激增，形成新的日间需求，吸收过剩光伏并使价格更常维持在零以上。</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储能形成新的日间需求，吸收过剩光伏，使价格更常维持在零以上。</w:t>
      </w:r>
    </w:p>
    <w:p>
      <w:pPr>
        <w:ind w:firstLine="420"/>
      </w:pPr>
      <w:r>
        <w:rPr>
          <w:rFonts w:ascii="微软雅黑" w:hAnsi="微软雅黑" w:eastAsia="微软雅黑" w:cs="微软雅黑"/>
        </w:rPr>
        <w:t>来源：</w:t>
      </w:r>
      <w:hyperlink w:anchor="source-26988">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9. 阿联酋数据中心用电预计2030年超6太瓦时，吉瓦级光伏储能项目完成融资</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阿联酋水电公司分析报告预计至2030年阿联酋数据中心电力消耗超过6太瓦时，马斯达尔与阿联酋水电公司联合开发的全球首个吉瓦级全天候可再生能源项目今年7月完成61亿美元融资，计划2027年投运。</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阿联酋水电公司（EWEC）分析报告显示，至2030年阿联酋数据中心电力消耗预计超过6太瓦时，AI算力集群对电网调峰与备用电源配置提出严苛标准。由马斯达尔与阿联酋水电公司联合开发的全球首个吉瓦级全天候可再生能源项目已于今年7月完成61亿美元融资，马斯达尔出资10亿美元股权，项目集成5.2吉瓦光伏与19吉瓦时电池储能系统，建成后可稳定输出1吉瓦基荷电力，计划2027年投运。</w:t>
      </w:r>
    </w:p>
    <w:p>
      <w:pPr>
        <w:ind w:firstLine="420"/>
      </w:pPr>
      <w:r>
        <w:rPr>
          <w:rFonts w:ascii="微软雅黑" w:hAnsi="微软雅黑" w:eastAsia="微软雅黑" w:cs="微软雅黑"/>
        </w:rPr>
        <w:t>来源：</w:t>
      </w:r>
      <w:hyperlink w:anchor="source-26920">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10. 美国户用光伏价格上涨3.2%，第三方所有权模式逐渐普及</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2026年上半年美国户用光伏中位报价升至2.57美元/瓦，较2025年下半年上涨3.2%，同时第三方所有权模式逐渐普及。</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上半年美国户用光伏中位报价为2.57美元/瓦，较2025年下半年的2.49美元/瓦上涨3.2%。同期第三方所有权模式逐渐普及：预付费PPA每千瓦时有效成本较现金购买低57%，预付费租赁低39%；但EnergySage提示其长期节省尚未确立。</w:t>
      </w:r>
    </w:p>
    <w:p>
      <w:pPr>
        <w:ind w:firstLine="420"/>
      </w:pPr>
      <w:r>
        <w:rPr>
          <w:rFonts w:ascii="微软雅黑" w:hAnsi="微软雅黑" w:eastAsia="微软雅黑" w:cs="微软雅黑"/>
        </w:rPr>
        <w:t>来源：</w:t>
      </w:r>
      <w:hyperlink w:anchor="source-27108">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11. Gritt Robotics将AI辅助机器人引入光伏施工，应对劳动力短缺</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加州Gritt Robotics宣布已在EPC公司Burns &amp; McDonnell承建的光伏施工现场部署其AI辅助机器人施工系统，以缓解行业劳动力短缺。</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加州Gritt Robotics专注大规模光伏施工，其路线是用计算机控制加AI改造商用施工设备，提供更高灵活性及现场管理支持。Gritt宣布已在EPC公司Burns &amp; McDonnell承建的光伏施工现场部署其机器人施工系统。近期行业报告指出现有在建项目存在5.3万名工人的缺口；有估计称到2031年全国41%的建筑工人将退休。Gritt最终计划将光伏工地的经验推广到数据中心建设及其他基础设施项目。</w:t>
      </w:r>
    </w:p>
    <w:p>
      <w:pPr>
        <w:ind w:firstLine="420"/>
      </w:pPr>
      <w:r>
        <w:rPr>
          <w:rFonts w:ascii="微软雅黑" w:hAnsi="微软雅黑" w:eastAsia="微软雅黑" w:cs="微软雅黑"/>
        </w:rPr>
        <w:t>来源：</w:t>
      </w:r>
      <w:hyperlink w:anchor="source-27109">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12. 2026年10月中旬流通领域重要生产资料价格多数下降</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国家统计局发布2026年10月中旬流通领域重要生产资料市场价格变动情况，与9月下旬相比，50种监测产品中22种上涨、25种下降、3种持平。</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对全国流通领域9大类50种重要生产资料市场价格的监测显示，2026年10月中旬与9月下旬相比，22种产品价格上涨，25种下降，3种持平。注：上期为2026年9月下旬；10月上旬的流通领域生产资料价格旬报因国庆节假日因素取消发布。</w:t>
      </w:r>
    </w:p>
    <w:p>
      <w:pPr>
        <w:ind w:firstLine="420"/>
      </w:pPr>
      <w:r>
        <w:rPr>
          <w:rFonts w:ascii="微软雅黑" w:hAnsi="微软雅黑" w:eastAsia="微软雅黑" w:cs="微软雅黑"/>
        </w:rPr>
        <w:t>来源：</w:t>
      </w:r>
      <w:hyperlink w:anchor="source-26921">
        <w:r>
          <w:rPr>
            <w:rFonts w:ascii="微软雅黑" w:hAnsi="微软雅黑" w:eastAsia="微软雅黑" w:cs="微软雅黑"/>
            <w:color w:val="087E89"/>
          </w:rPr>
          <w:t>5</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13. 国家能源局召开中长期油气增储上产工作推进会</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国家能源局召开中长期油气增储上产工作推进会，强调面对复杂严峻的国际形势，各油气企业必须扛牢保障国家能源安全的核心职责，在未来较长一段时期内千方百计增加油气生产供应能力，全力推动增储上产。</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会议要求深入实施油气勘探开发“十年行动计划”，聚焦重点含油气盆地，加快建立若干个国家级油气战略保障基地。油气企业要继续加大投资和工作量投入力度，强化科技攻关、加强企地协同、深化企业改革，推动“两深一非一老”（深海、深地、非常规、老油田）关键领域油气增储上产，实现原油产量稳中有升、天然气产量快速增长。会议提出为能源强国建设作出新的更大贡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会议明确原油产量稳中有升、天然气产量快速增长的目标方向，油气企业将加大投资和工作量投入。</w:t>
      </w:r>
    </w:p>
    <w:p>
      <w:pPr>
        <w:ind w:firstLine="420"/>
      </w:pPr>
      <w:r>
        <w:rPr>
          <w:rFonts w:ascii="微软雅黑" w:hAnsi="微软雅黑" w:eastAsia="微软雅黑" w:cs="微软雅黑"/>
        </w:rPr>
        <w:t>来源：</w:t>
      </w:r>
      <w:hyperlink w:anchor="source-27189">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14. 国家发改委将电煤、电力、天然气三类保供中长期合同纳入统一制度框架</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国家发展改革委印发《能源保供中长期合同管理办法（试行）》，自2026年12月1日起施行，将电煤、电力、天然气三类能源保供中长期合同纳入统一制度框架。</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办法》将电煤、电力、天然气三类能源保供中长期合同纳入统一制度框架，提升能源保供中长期合同制度化、法治化、规范化水平。《办法》明确能源企业负有保障安全稳定供应的社会责任，供需各方应按市场化方式协商或交易，依法依规签订并履行中长期合同，并明确输送保障企业责任与政府部门职责，形成“企业主责、政府监管、分级负责”的责任链条。</w:t>
      </w:r>
    </w:p>
    <w:p>
      <w:pPr>
        <w:ind w:firstLine="420"/>
      </w:pPr>
      <w:r>
        <w:rPr>
          <w:rFonts w:ascii="微软雅黑" w:hAnsi="微软雅黑" w:eastAsia="微软雅黑" w:cs="微软雅黑"/>
        </w:rPr>
        <w:t>来源：</w:t>
      </w:r>
      <w:hyperlink w:anchor="source-27188">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15. 中煤能源前三季度煤炭业务营收930.50亿元同比增长4.2%</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中国中煤能源股份有限公司发布2026年第三季度报告，披露2026年1-9月煤炭业务经营数据，营业收入与毛利同比增长，自产商品煤量减价升。</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1-9月，煤炭业务营业收入930.50亿元，比上年同期893.33亿元增加37.17亿元，增长4.2%；毛利246.16亿元，比上年同期225.20亿元增加20.96亿元，增长9.3%；营业成本684.34亿元，比上年同期668.13亿元增加16.21亿元，增长2.4%。自产商品煤销售收入521.07亿元，同比增长8.3%，销售价格同比上涨83元/吨、增加收入77.10亿元，销量同比减少786万吨、减少收入37.30亿元；买断贸易煤销售收入407.52亿元，同比下降1.0%，价格同比上涨113元/吨，销量同比减少1,778万吨。</w:t>
      </w:r>
    </w:p>
    <w:p>
      <w:pPr>
        <w:ind w:firstLine="420"/>
      </w:pPr>
      <w:r>
        <w:rPr>
          <w:rFonts w:ascii="微软雅黑" w:hAnsi="微软雅黑" w:eastAsia="微软雅黑" w:cs="微软雅黑"/>
        </w:rPr>
        <w:t>来源：</w:t>
      </w:r>
      <w:hyperlink w:anchor="source-27002">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16. 中国神华拟注册发行300亿元债务融资工具和公司债券</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中国神华拟注册发行总额度人民币300亿元的债务融资工具和公司债券，以支持煤化工、重点煤矿等项目建设资金需求。</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中国神华拟注册发行债务融资工具和公司债券总额度人民币300亿元，其中债务融资工具注册额度200亿元、公司债券注册额度100亿元，最终以批复载明额度为准。债务融资工具在中国银行间市场发行，品种包括超短期融资券、短期融资券、中期票据等，发行利率按簿记建档结果确定。公司称未来3-5年是产业升级、规模扩张的关键阶段，多个煤化工、重点煤矿项目进入集中建设期，相关资金需求显著增加。</w:t>
      </w:r>
    </w:p>
    <w:p>
      <w:pPr>
        <w:ind w:firstLine="420"/>
      </w:pPr>
      <w:r>
        <w:rPr>
          <w:rFonts w:ascii="微软雅黑" w:hAnsi="微软雅黑" w:eastAsia="微软雅黑" w:cs="微软雅黑"/>
        </w:rPr>
        <w:t>来源：</w:t>
      </w:r>
      <w:hyperlink w:anchor="source-26957">
        <w:r>
          <w:rPr>
            <w:rFonts w:ascii="微软雅黑" w:hAnsi="微软雅黑" w:eastAsia="微软雅黑" w:cs="微软雅黑"/>
            <w:color w:val="087E89"/>
          </w:rPr>
          <w:t>26</w:t>
        </w:r>
      </w:hyperlink>
      <w:r>
        <w:rPr>
          <w:rFonts w:ascii="微软雅黑" w:hAnsi="微软雅黑" w:eastAsia="微软雅黑" w:cs="微软雅黑"/>
        </w:rPr>
      </w:r>
    </w:p>
    <w:p>
      <w:pPr>
        <w:pStyle w:val="Heading3"/>
      </w:pPr>
      <w:r>
        <w:rPr>
          <w:rFonts w:ascii="微软雅黑" w:hAnsi="微软雅黑" w:eastAsia="微软雅黑" w:cs="微软雅黑"/>
        </w:rPr>
        <w:t>17. 南方区域电力市场转入正式运行暨高质量发展推进会在广州召开</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10月24日，南方区域电力市场转入正式运行暨高质量发展推进会在广州召开，国家能源局党组书记、局长王宏志出席会议并讲话。</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会议指出，南方区域电力市场转入正式运行，标志着区域电力市场建设转入新阶段，对促进电力资源优化配置、深化全国统一电力市场建设具有重要意义。会议强调要深化落实全国统一大市场建设“五统一、一开放”要求，锚定保供应、促转型、发展新质生产力等重点任务，健全机制、完善治理、扩大规模、提高成效。会议要求加强市场一体化设计，推动跨省与省内市场融合；加强电力基础设施建设、持续扩大有效投资、强化电网网架建设；完善信息披露机制，健全市场运行监测预警体系；加强市场开放衔接，稳妥有序扩大跨境跨国电力交易。</w:t>
      </w:r>
    </w:p>
    <w:p>
      <w:pPr>
        <w:ind w:firstLine="420"/>
      </w:pPr>
      <w:r>
        <w:rPr>
          <w:rFonts w:ascii="微软雅黑" w:hAnsi="微软雅黑" w:eastAsia="微软雅黑" w:cs="微软雅黑"/>
        </w:rPr>
        <w:t>来源：</w:t>
      </w:r>
      <w:hyperlink w:anchor="source-27198">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18. 南方区域电力市场转入正式运行 五省区全电源统一竞价</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10月24日，我国首个区域电力市场——南方区域电力市场从试运行转入正式运行，被称为全国统一电力市场建设的里程碑式节点，标志中国统一电力市场体系建设取得重大突破。</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市场在国家发展改革委、国家能源局指导下，自2025年6月启动连续结算试运行，历经一年多极端工况实战检验，完成从试点探索到制度成熟定型的跨越。广东、广西、云南、贵州、海南五省区发电企业、售电公司、电力用户及新型储能、虚拟电厂等经营主体同台竞价，煤电、水电、核电、风电、光伏、气电全电源类型在同一套规则下统一出清定价，跨电网经营区输电通道实现输电权竞价配置。今年1至9月累计交易电量近9000亿千瓦时，占全网售电量超七成；新增售电量中四成由新能源提供；最大单日出清电量超40亿千瓦时；跨经营区交易电量达194亿千瓦时，创历史新高，西南水电、西北风光跨区域支援粤港澳大湾区、长三角等负荷中心。</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市场转入正式运行后开始全天候不间断运转，交易规则体系全面落地成型；将打破主体品类边界，电源侧丰富新型主体、需求侧逐步放开用户、调节资源侧纳入新型储能参与现货及辅助服务交易。南方电网表示，2026年至2030年将持续向内延伸覆盖范围、向外拓展合作空间，打造融合港澳、融入全国、联合澜湄区域的电力市场体系。</w:t>
      </w:r>
    </w:p>
    <w:p>
      <w:pPr>
        <w:ind w:firstLine="420"/>
      </w:pPr>
      <w:r>
        <w:rPr>
          <w:rFonts w:ascii="微软雅黑" w:hAnsi="微软雅黑" w:eastAsia="微软雅黑" w:cs="微软雅黑"/>
        </w:rPr>
        <w:t>来源：</w:t>
      </w:r>
      <w:hyperlink w:anchor="source-27153">
        <w:r>
          <w:rPr>
            <w:rFonts w:ascii="微软雅黑" w:hAnsi="微软雅黑" w:eastAsia="微软雅黑" w:cs="微软雅黑"/>
            <w:color w:val="087E89"/>
          </w:rPr>
          <w:t>18</w:t>
        </w:r>
      </w:hyperlink>
      <w:r>
        <w:rPr>
          <w:rFonts w:ascii="微软雅黑" w:hAnsi="微软雅黑" w:eastAsia="微软雅黑" w:cs="微软雅黑"/>
        </w:rPr>
        <w:t xml:space="preserve"> </w:t>
      </w:r>
      <w:hyperlink w:anchor="source-26996">
        <w:r>
          <w:rPr>
            <w:rFonts w:ascii="微软雅黑" w:hAnsi="微软雅黑" w:eastAsia="微软雅黑" w:cs="微软雅黑"/>
            <w:color w:val="087E89"/>
          </w:rPr>
          <w:t>19</w:t>
        </w:r>
      </w:hyperlink>
      <w:r>
        <w:rPr>
          <w:rFonts w:ascii="微软雅黑" w:hAnsi="微软雅黑" w:eastAsia="微软雅黑" w:cs="微软雅黑"/>
        </w:rPr>
        <w:t xml:space="preserve"> </w:t>
      </w:r>
      <w:hyperlink w:anchor="source-27112">
        <w:r>
          <w:rPr>
            <w:rFonts w:ascii="微软雅黑" w:hAnsi="微软雅黑" w:eastAsia="微软雅黑" w:cs="微软雅黑"/>
            <w:color w:val="087E89"/>
          </w:rPr>
          <w:t>20</w:t>
        </w:r>
      </w:hyperlink>
      <w:r>
        <w:rPr>
          <w:rFonts w:ascii="微软雅黑" w:hAnsi="微软雅黑" w:eastAsia="微软雅黑" w:cs="微软雅黑"/>
        </w:rPr>
        <w:t xml:space="preserve"> </w:t>
      </w:r>
      <w:hyperlink w:anchor="source-27060">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19. 苏州大学团队破解柔性光伏器件放大效率衰减难题</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苏州大学李耀文教授团队提出“解耦共沉积”新型研发策略，并与苏州尚柔新能源有限公司合作开展中试，量产商用规格的大尺寸柔性光伏器件，光电转化效率稳定超过20%。</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北京时间10月23日，国际学术期刊《科学》在线发表相关成果。柔性钙钛矿薄膜轻、可贴合弯曲表面，但面积稍一放大，光电转化效率和寿命就显著衰减，长期难以走出实验室。一年来团队与苏州尚柔新能源有限公司合作开展中试，量产出一批有效面积达750平方厘米的大尺寸柔性光伏器件，光电转化效率较以往提升一倍多，稳定超过20%。团队从分子层面探究界面层形成，发现一种排他性竞争机制，并提出“解耦共沉积”思路：加入解耦剂促使羟基与有机溶剂分离，再使羟基与界面分子结合，让界面层牢牢附着在基底表面。</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量产的大尺寸柔性光伏器件光电转化效率较以往提升一倍多，稳定超过20%。</w:t>
      </w:r>
    </w:p>
    <w:p>
      <w:pPr>
        <w:ind w:firstLine="420"/>
      </w:pPr>
      <w:r>
        <w:rPr>
          <w:rFonts w:ascii="微软雅黑" w:hAnsi="微软雅黑" w:eastAsia="微软雅黑" w:cs="微软雅黑"/>
        </w:rPr>
        <w:t>来源：</w:t>
      </w:r>
      <w:hyperlink w:anchor="source-26923">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20. 中国神华前三季度发电售电成本同比上升8.1%</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中国神华2026年第三季度报告披露，前三季度发电业务平均售电成本（含售热）同比上升8.1%，主因燃煤采购价格上升。</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2026年1-9月，集团发电业务平均售电成本（含售热）为人民币337.5元/兆瓦时，较2025年同期已重述的312.1元/兆瓦时同比增长8.1%，主要原因是燃煤采购价格上升。</w:t>
      </w:r>
    </w:p>
    <w:p>
      <w:pPr>
        <w:ind w:firstLine="420"/>
      </w:pPr>
      <w:r>
        <w:rPr>
          <w:rFonts w:ascii="微软雅黑" w:hAnsi="微软雅黑" w:eastAsia="微软雅黑" w:cs="微软雅黑"/>
        </w:rPr>
        <w:t>来源：</w:t>
      </w:r>
      <w:hyperlink w:anchor="source-26956">
        <w:r>
          <w:rPr>
            <w:rFonts w:ascii="微软雅黑" w:hAnsi="微软雅黑" w:eastAsia="微软雅黑" w:cs="微软雅黑"/>
            <w:color w:val="087E89"/>
          </w:rPr>
          <w:t>14</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霍尔木兹海峡附近发生爆炸的报道未经证实。 </w:t>
      </w:r>
      <w:hyperlink w:anchor="source-26808">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7051">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EnergySage提示预付费PPA与租赁的长期节省尚未确立。 </w:t>
      </w:r>
      <w:hyperlink w:anchor="source-27108">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尽管美国氦气资源丰富，但有限的提炼能力和漫长的许可审批流程持续制约美国氦气生产。 </w:t>
      </w:r>
      <w:hyperlink w:anchor="source-26787">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26810">
        <w:r>
          <w:rPr>
            <w:rFonts w:ascii="微软雅黑" w:hAnsi="微软雅黑" w:eastAsia="微软雅黑" w:cs="微软雅黑"/>
            <w:color w:val="087E89"/>
          </w:rPr>
          <w:t>11</w:t>
        </w:r>
      </w:hyperlink>
      <w:r>
        <w:rPr>
          <w:rFonts w:ascii="微软雅黑" w:hAnsi="微软雅黑" w:eastAsia="微软雅黑" w:cs="微软雅黑"/>
        </w:rPr>
      </w:r>
    </w:p>
    <w:p>
      <w:pPr>
        <w:pStyle w:val="ListBullet"/>
      </w:pPr>
      <w:r>
        <w:rPr>
          <w:rFonts w:ascii="微软雅黑" w:hAnsi="微软雅黑" w:eastAsia="微软雅黑" w:cs="微软雅黑"/>
        </w:rPr>
        <w:t xml:space="preserve">陕蒙月底减产、印尼雨季延迟及出口新政扰动下，进口补充能否恢复仍待观察。 </w:t>
      </w:r>
      <w:hyperlink w:anchor="source-27159">
        <w:r>
          <w:rPr>
            <w:rFonts w:ascii="微软雅黑" w:hAnsi="微软雅黑" w:eastAsia="微软雅黑" w:cs="微软雅黑"/>
            <w:color w:val="087E89"/>
          </w:rPr>
          <w:t>13</w:t>
        </w:r>
      </w:hyperlink>
      <w:r>
        <w:rPr>
          <w:rFonts w:ascii="微软雅黑" w:hAnsi="微软雅黑" w:eastAsia="微软雅黑" w:cs="微软雅黑"/>
        </w:rPr>
      </w:r>
    </w:p>
    <w:p>
      <w:pPr>
        <w:pStyle w:val="ListBullet"/>
      </w:pPr>
      <w:r>
        <w:rPr>
          <w:rFonts w:ascii="微软雅黑" w:hAnsi="微软雅黑" w:eastAsia="微软雅黑" w:cs="微软雅黑"/>
        </w:rPr>
        <w:t xml:space="preserve">美国和以色列已制定在中期选举结束后再次打击伊朗的具体计划，但特朗普是否会批准实施尚不确定。 </w:t>
      </w:r>
      <w:hyperlink w:anchor="source-26910">
        <w:r>
          <w:rPr>
            <w:rFonts w:ascii="微软雅黑" w:hAnsi="微软雅黑" w:eastAsia="微软雅黑" w:cs="微软雅黑"/>
            <w:color w:val="087E89"/>
          </w:rPr>
          <w:t>16</w:t>
        </w:r>
      </w:hyperlink>
      <w:r>
        <w:rPr>
          <w:rFonts w:ascii="微软雅黑" w:hAnsi="微软雅黑" w:eastAsia="微软雅黑" w:cs="微软雅黑"/>
        </w:rPr>
        <w:t xml:space="preserve"> </w:t>
      </w:r>
      <w:hyperlink w:anchor="source-26896">
        <w:r>
          <w:rPr>
            <w:rFonts w:ascii="微软雅黑" w:hAnsi="微软雅黑" w:eastAsia="微软雅黑" w:cs="微软雅黑"/>
            <w:color w:val="087E89"/>
          </w:rPr>
          <w:t>17</w:t>
        </w:r>
      </w:hyperlink>
      <w:r>
        <w:rPr>
          <w:rFonts w:ascii="微软雅黑" w:hAnsi="微软雅黑" w:eastAsia="微软雅黑" w:cs="微软雅黑"/>
        </w:rPr>
      </w:r>
    </w:p>
    <w:p>
      <w:pPr>
        <w:pStyle w:val="ListBullet"/>
      </w:pPr>
      <w:r>
        <w:rPr>
          <w:rFonts w:ascii="微软雅黑" w:hAnsi="微软雅黑" w:eastAsia="微软雅黑" w:cs="微软雅黑"/>
        </w:rPr>
        <w:t xml:space="preserve">会议要求加强市场一体化设计、推动跨省与省内市场融合，完善信息披露机制、健全市场运行监测预警体系，并稳妥有序扩大跨境跨国电力交易，相关事项尚待落实。 </w:t>
      </w:r>
      <w:hyperlink w:anchor="source-27153">
        <w:r>
          <w:rPr>
            <w:rFonts w:ascii="微软雅黑" w:hAnsi="微软雅黑" w:eastAsia="微软雅黑" w:cs="微软雅黑"/>
            <w:color w:val="087E89"/>
          </w:rPr>
          <w:t>18</w:t>
        </w:r>
      </w:hyperlink>
      <w:r>
        <w:rPr>
          <w:rFonts w:ascii="微软雅黑" w:hAnsi="微软雅黑" w:eastAsia="微软雅黑" w:cs="微软雅黑"/>
        </w:rPr>
        <w:t xml:space="preserve"> </w:t>
      </w:r>
      <w:hyperlink w:anchor="source-26996">
        <w:r>
          <w:rPr>
            <w:rFonts w:ascii="微软雅黑" w:hAnsi="微软雅黑" w:eastAsia="微软雅黑" w:cs="微软雅黑"/>
            <w:color w:val="087E89"/>
          </w:rPr>
          <w:t>19</w:t>
        </w:r>
      </w:hyperlink>
      <w:r>
        <w:rPr>
          <w:rFonts w:ascii="微软雅黑" w:hAnsi="微软雅黑" w:eastAsia="微软雅黑" w:cs="微软雅黑"/>
        </w:rPr>
        <w:t xml:space="preserve"> </w:t>
      </w:r>
      <w:hyperlink w:anchor="source-27112">
        <w:r>
          <w:rPr>
            <w:rFonts w:ascii="微软雅黑" w:hAnsi="微软雅黑" w:eastAsia="微软雅黑" w:cs="微软雅黑"/>
            <w:color w:val="087E89"/>
          </w:rPr>
          <w:t>20</w:t>
        </w:r>
      </w:hyperlink>
      <w:r>
        <w:rPr>
          <w:rFonts w:ascii="微软雅黑" w:hAnsi="微软雅黑" w:eastAsia="微软雅黑" w:cs="微软雅黑"/>
        </w:rPr>
        <w:t xml:space="preserve"> </w:t>
      </w:r>
      <w:hyperlink w:anchor="source-27060">
        <w:r>
          <w:rPr>
            <w:rFonts w:ascii="微软雅黑" w:hAnsi="微软雅黑" w:eastAsia="微软雅黑" w:cs="微软雅黑"/>
            <w:color w:val="087E89"/>
          </w:rPr>
          <w:t>21</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91 篇文章，形成 90 篇有效能源材料；正文引用 26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1 篇材料尚待复核，未纳入本期判断。</w:t>
      </w:r>
    </w:p>
    <w:p>
      <w:pPr>
        <w:pStyle w:val="Heading2"/>
      </w:pPr>
      <w:r>
        <w:rPr>
          <w:rFonts w:ascii="微软雅黑" w:hAnsi="微软雅黑" w:eastAsia="微软雅黑" w:cs="微软雅黑"/>
        </w:rPr>
        <w:t>资料来源</w:t>
      </w:r>
    </w:p>
    <w:p>
      <w:pPr>
        <w:spacing w:after="0" w:line="20" w:lineRule="exact"/>
      </w:pPr>
      <w:bookmarkStart w:id="1" w:name="source-26808"/>
      <w:bookmarkEnd w:id="1" w:name="source-26808"/>
    </w:p>
    <w:p>
      <w:pPr>
        <w:pStyle w:val="ListBullet"/>
      </w:pPr>
      <w:r>
        <w:rPr>
          <w:rFonts w:ascii="微软雅黑" w:hAnsi="微软雅黑" w:eastAsia="微软雅黑" w:cs="微软雅黑"/>
        </w:rPr>
        <w:t>[1] 新浪财经美股市场（经济）｜</w:t>
      </w:r>
      <w:hyperlink r:id="rId11">
        <w:r>
          <w:rPr>
            <w:rFonts w:ascii="微软雅黑" w:hAnsi="微软雅黑" w:eastAsia="微软雅黑" w:cs="微软雅黑"/>
            <w:color w:val="087E89"/>
          </w:rPr>
          <w:t>欧洲股市本周跌超1%：法国财政危机冲击债市，AI融资担忧与油价飙升加剧抛售</w:t>
        </w:r>
      </w:hyperlink>
      <w:r>
        <w:rPr>
          <w:rFonts w:ascii="微软雅黑" w:hAnsi="微软雅黑" w:eastAsia="微软雅黑" w:cs="微软雅黑"/>
        </w:rPr>
      </w:r>
    </w:p>
    <w:p>
      <w:pPr>
        <w:spacing w:after="0" w:line="20" w:lineRule="exact"/>
      </w:pPr>
      <w:bookmarkStart w:id="2" w:name="source-27051"/>
      <w:bookmarkEnd w:id="2" w:name="source-27051"/>
    </w:p>
    <w:p>
      <w:pPr>
        <w:pStyle w:val="ListBullet"/>
      </w:pPr>
      <w:r>
        <w:rPr>
          <w:rFonts w:ascii="微软雅黑" w:hAnsi="微软雅黑" w:eastAsia="微软雅黑" w:cs="微软雅黑"/>
        </w:rPr>
        <w:t>[2] 叙利亚通讯社｜</w:t>
      </w:r>
      <w:hyperlink r:id="rId12">
        <w:r>
          <w:rPr>
            <w:rFonts w:ascii="微软雅黑" w:hAnsi="微软雅黑" w:eastAsia="微软雅黑" w:cs="微软雅黑"/>
            <w:color w:val="087E89"/>
          </w:rPr>
          <w:t>油价上涨逾3美元，布伦特原油结算价触及六个月高点</w:t>
        </w:r>
      </w:hyperlink>
      <w:r>
        <w:rPr>
          <w:rFonts w:ascii="微软雅黑" w:hAnsi="微软雅黑" w:eastAsia="微软雅黑" w:cs="微软雅黑"/>
        </w:rPr>
      </w:r>
    </w:p>
    <w:p>
      <w:pPr>
        <w:spacing w:after="0" w:line="20" w:lineRule="exact"/>
      </w:pPr>
      <w:bookmarkStart w:id="3" w:name="source-27198"/>
      <w:bookmarkEnd w:id="3" w:name="source-27198"/>
    </w:p>
    <w:p>
      <w:pPr>
        <w:pStyle w:val="ListBullet"/>
      </w:pPr>
      <w:r>
        <w:rPr>
          <w:rFonts w:ascii="微软雅黑" w:hAnsi="微软雅黑" w:eastAsia="微软雅黑" w:cs="微软雅黑"/>
        </w:rPr>
        <w:t>[3] 国家能源局｜</w:t>
      </w:r>
      <w:hyperlink r:id="rId13">
        <w:r>
          <w:rPr>
            <w:rFonts w:ascii="微软雅黑" w:hAnsi="微软雅黑" w:eastAsia="微软雅黑" w:cs="微软雅黑"/>
            <w:color w:val="087E89"/>
          </w:rPr>
          <w:t>南方区域电力市场转入正式运行暨高质量发展推进会在广州召开</w:t>
        </w:r>
      </w:hyperlink>
      <w:r>
        <w:rPr>
          <w:rFonts w:ascii="微软雅黑" w:hAnsi="微软雅黑" w:eastAsia="微软雅黑" w:cs="微软雅黑"/>
        </w:rPr>
      </w:r>
    </w:p>
    <w:p>
      <w:pPr>
        <w:spacing w:after="0" w:line="20" w:lineRule="exact"/>
      </w:pPr>
      <w:bookmarkStart w:id="4" w:name="source-27110"/>
      <w:bookmarkEnd w:id="4" w:name="source-27110"/>
    </w:p>
    <w:p>
      <w:pPr>
        <w:pStyle w:val="ListBullet"/>
      </w:pPr>
      <w:r>
        <w:rPr>
          <w:rFonts w:ascii="微软雅黑" w:hAnsi="微软雅黑" w:eastAsia="微软雅黑" w:cs="微软雅黑"/>
        </w:rPr>
        <w:t>[4] 智通财经｜</w:t>
      </w:r>
      <w:hyperlink r:id="rId14">
        <w:r>
          <w:rPr>
            <w:rFonts w:ascii="微软雅黑" w:hAnsi="微软雅黑" w:eastAsia="微软雅黑" w:cs="微软雅黑"/>
            <w:color w:val="087E89"/>
          </w:rPr>
          <w:t>攸关半导体生产！美国能源部将氦气认定为关键材料</w:t>
        </w:r>
      </w:hyperlink>
      <w:r>
        <w:rPr>
          <w:rFonts w:ascii="微软雅黑" w:hAnsi="微软雅黑" w:eastAsia="微软雅黑" w:cs="微软雅黑"/>
        </w:rPr>
      </w:r>
    </w:p>
    <w:p>
      <w:pPr>
        <w:spacing w:after="0" w:line="20" w:lineRule="exact"/>
      </w:pPr>
      <w:bookmarkStart w:id="5" w:name="source-26921"/>
      <w:bookmarkEnd w:id="5" w:name="source-26921"/>
    </w:p>
    <w:p>
      <w:pPr>
        <w:pStyle w:val="ListBullet"/>
      </w:pPr>
      <w:r>
        <w:rPr>
          <w:rFonts w:ascii="微软雅黑" w:hAnsi="微软雅黑" w:eastAsia="微软雅黑" w:cs="微软雅黑"/>
        </w:rPr>
        <w:t>[5] 国家统计局｜</w:t>
      </w:r>
      <w:hyperlink r:id="rId15">
        <w:r>
          <w:rPr>
            <w:rFonts w:ascii="微软雅黑" w:hAnsi="微软雅黑" w:eastAsia="微软雅黑" w:cs="微软雅黑"/>
            <w:color w:val="087E89"/>
          </w:rPr>
          <w:t>2026年10月中旬流通领域重要生产资料市场价格变动情况 - 国家统计局</w:t>
        </w:r>
      </w:hyperlink>
      <w:r>
        <w:rPr>
          <w:rFonts w:ascii="微软雅黑" w:hAnsi="微软雅黑" w:eastAsia="微软雅黑" w:cs="微软雅黑"/>
        </w:rPr>
      </w:r>
    </w:p>
    <w:p>
      <w:pPr>
        <w:spacing w:after="0" w:line="20" w:lineRule="exact"/>
      </w:pPr>
      <w:bookmarkStart w:id="6" w:name="source-27188"/>
      <w:bookmarkEnd w:id="6" w:name="source-27188"/>
    </w:p>
    <w:p>
      <w:pPr>
        <w:pStyle w:val="ListBullet"/>
      </w:pPr>
      <w:r>
        <w:rPr>
          <w:rFonts w:ascii="微软雅黑" w:hAnsi="微软雅黑" w:eastAsia="微软雅黑" w:cs="微软雅黑"/>
        </w:rPr>
        <w:t>[6] Mysteel｜</w:t>
      </w:r>
      <w:hyperlink r:id="rId16">
        <w:r>
          <w:rPr>
            <w:rFonts w:ascii="微软雅黑" w:hAnsi="微软雅黑" w:eastAsia="微软雅黑" w:cs="微软雅黑"/>
            <w:color w:val="087E89"/>
          </w:rPr>
          <w:t>国家发改委：将电煤、电力、天然气三类能源保供中长期合同纳入统一制度框架</w:t>
        </w:r>
      </w:hyperlink>
      <w:r>
        <w:rPr>
          <w:rFonts w:ascii="微软雅黑" w:hAnsi="微软雅黑" w:eastAsia="微软雅黑" w:cs="微软雅黑"/>
        </w:rPr>
      </w:r>
    </w:p>
    <w:p>
      <w:pPr>
        <w:spacing w:after="0" w:line="20" w:lineRule="exact"/>
      </w:pPr>
      <w:bookmarkStart w:id="7" w:name="source-27108"/>
      <w:bookmarkEnd w:id="7" w:name="source-27108"/>
    </w:p>
    <w:p>
      <w:pPr>
        <w:pStyle w:val="ListBullet"/>
      </w:pPr>
      <w:r>
        <w:rPr>
          <w:rFonts w:ascii="微软雅黑" w:hAnsi="微软雅黑" w:eastAsia="微软雅黑" w:cs="微软雅黑"/>
        </w:rPr>
        <w:t>[7] 光伏杂志国际版｜</w:t>
      </w:r>
      <w:hyperlink r:id="rId17">
        <w:r>
          <w:rPr>
            <w:rFonts w:ascii="微软雅黑" w:hAnsi="微软雅黑" w:eastAsia="微软雅黑" w:cs="微软雅黑"/>
            <w:color w:val="087E89"/>
          </w:rPr>
          <w:t>随着第三方所有权模式逐渐普及，美国住宅太阳能价格上涨3.2%</w:t>
        </w:r>
      </w:hyperlink>
      <w:r>
        <w:rPr>
          <w:rFonts w:ascii="微软雅黑" w:hAnsi="微软雅黑" w:eastAsia="微软雅黑" w:cs="微软雅黑"/>
        </w:rPr>
      </w:r>
    </w:p>
    <w:p>
      <w:pPr>
        <w:spacing w:after="0" w:line="20" w:lineRule="exact"/>
      </w:pPr>
      <w:bookmarkStart w:id="8" w:name="source-27002"/>
      <w:bookmarkEnd w:id="8" w:name="source-27002"/>
    </w:p>
    <w:p>
      <w:pPr>
        <w:pStyle w:val="ListBullet"/>
      </w:pPr>
      <w:r>
        <w:rPr>
          <w:rFonts w:ascii="微软雅黑" w:hAnsi="微软雅黑" w:eastAsia="微软雅黑" w:cs="微软雅黑"/>
        </w:rPr>
        <w:t>[8] 上海证券报｜</w:t>
      </w:r>
      <w:hyperlink r:id="rId18">
        <w:r>
          <w:rPr>
            <w:rFonts w:ascii="微软雅黑" w:hAnsi="微软雅黑" w:eastAsia="微软雅黑" w:cs="微软雅黑"/>
            <w:color w:val="087E89"/>
          </w:rPr>
          <w:t>中国中煤能源股份有限公司 2026年第三季度报告</w:t>
        </w:r>
      </w:hyperlink>
      <w:r>
        <w:rPr>
          <w:rFonts w:ascii="微软雅黑" w:hAnsi="微软雅黑" w:eastAsia="微软雅黑" w:cs="微软雅黑"/>
        </w:rPr>
      </w:r>
    </w:p>
    <w:p>
      <w:pPr>
        <w:spacing w:after="0" w:line="20" w:lineRule="exact"/>
      </w:pPr>
      <w:bookmarkStart w:id="9" w:name="source-26988"/>
      <w:bookmarkEnd w:id="9" w:name="source-26988"/>
    </w:p>
    <w:p>
      <w:pPr>
        <w:pStyle w:val="ListBullet"/>
      </w:pPr>
      <w:r>
        <w:rPr>
          <w:rFonts w:ascii="微软雅黑" w:hAnsi="微软雅黑" w:eastAsia="微软雅黑" w:cs="微软雅黑"/>
        </w:rPr>
        <w:t>[9] 澳大利亚可再生能源新闻｜</w:t>
      </w:r>
      <w:hyperlink r:id="rId19">
        <w:r>
          <w:rPr>
            <w:rFonts w:ascii="微软雅黑" w:hAnsi="微软雅黑" w:eastAsia="微软雅黑" w:cs="微软雅黑"/>
            <w:color w:val="087E89"/>
          </w:rPr>
          <w:t>更多电池，无论大型还是小型，都意味着太阳能电站不必那么频繁停机</w:t>
        </w:r>
      </w:hyperlink>
      <w:r>
        <w:rPr>
          <w:rFonts w:ascii="微软雅黑" w:hAnsi="微软雅黑" w:eastAsia="微软雅黑" w:cs="微软雅黑"/>
        </w:rPr>
      </w:r>
    </w:p>
    <w:p>
      <w:pPr>
        <w:spacing w:after="0" w:line="20" w:lineRule="exact"/>
      </w:pPr>
      <w:bookmarkStart w:id="10" w:name="source-26787"/>
      <w:bookmarkEnd w:id="10" w:name="source-26787"/>
    </w:p>
    <w:p>
      <w:pPr>
        <w:pStyle w:val="ListBullet"/>
      </w:pPr>
      <w:r>
        <w:rPr>
          <w:rFonts w:ascii="微软雅黑" w:hAnsi="微软雅黑" w:eastAsia="微软雅黑" w:cs="微软雅黑"/>
        </w:rPr>
        <w:t>[10] 中国新闻网｜</w:t>
      </w:r>
      <w:hyperlink r:id="rId20">
        <w:r>
          <w:rPr>
            <w:rFonts w:ascii="微软雅黑" w:hAnsi="微软雅黑" w:eastAsia="微软雅黑" w:cs="微软雅黑"/>
            <w:color w:val="087E89"/>
          </w:rPr>
          <w:t>美国能源部将氦气认定为关键材料</w:t>
        </w:r>
      </w:hyperlink>
      <w:r>
        <w:rPr>
          <w:rFonts w:ascii="微软雅黑" w:hAnsi="微软雅黑" w:eastAsia="微软雅黑" w:cs="微软雅黑"/>
        </w:rPr>
      </w:r>
    </w:p>
    <w:p>
      <w:pPr>
        <w:spacing w:after="0" w:line="20" w:lineRule="exact"/>
      </w:pPr>
      <w:bookmarkStart w:id="11" w:name="source-26810"/>
      <w:bookmarkEnd w:id="11" w:name="source-26810"/>
    </w:p>
    <w:p>
      <w:pPr>
        <w:pStyle w:val="ListBullet"/>
      </w:pPr>
      <w:r>
        <w:rPr>
          <w:rFonts w:ascii="微软雅黑" w:hAnsi="微软雅黑" w:eastAsia="微软雅黑" w:cs="微软雅黑"/>
        </w:rPr>
        <w:t>[11] 新浪财经美股市场（经济）｜</w:t>
      </w:r>
      <w:hyperlink r:id="rId21">
        <w:r>
          <w:rPr>
            <w:rFonts w:ascii="微软雅黑" w:hAnsi="微软雅黑" w:eastAsia="微软雅黑" w:cs="微软雅黑"/>
            <w:color w:val="087E89"/>
          </w:rPr>
          <w:t>美国将氦列入关键材料清单 供应链中断风险上升</w:t>
        </w:r>
      </w:hyperlink>
      <w:r>
        <w:rPr>
          <w:rFonts w:ascii="微软雅黑" w:hAnsi="微软雅黑" w:eastAsia="微软雅黑" w:cs="微软雅黑"/>
        </w:rPr>
      </w:r>
    </w:p>
    <w:p>
      <w:pPr>
        <w:spacing w:after="0" w:line="20" w:lineRule="exact"/>
      </w:pPr>
      <w:bookmarkStart w:id="12" w:name="source-27189"/>
      <w:bookmarkEnd w:id="12" w:name="source-27189"/>
    </w:p>
    <w:p>
      <w:pPr>
        <w:pStyle w:val="ListBullet"/>
      </w:pPr>
      <w:r>
        <w:rPr>
          <w:rFonts w:ascii="微软雅黑" w:hAnsi="微软雅黑" w:eastAsia="微软雅黑" w:cs="微软雅黑"/>
        </w:rPr>
        <w:t>[12] Mysteel｜</w:t>
      </w:r>
      <w:hyperlink r:id="rId22">
        <w:r>
          <w:rPr>
            <w:rFonts w:ascii="微软雅黑" w:hAnsi="微软雅黑" w:eastAsia="微软雅黑" w:cs="微软雅黑"/>
            <w:color w:val="087E89"/>
          </w:rPr>
          <w:t>国家能源局召开中长期油气增储上产工作推进会</w:t>
        </w:r>
      </w:hyperlink>
      <w:r>
        <w:rPr>
          <w:rFonts w:ascii="微软雅黑" w:hAnsi="微软雅黑" w:eastAsia="微软雅黑" w:cs="微软雅黑"/>
        </w:rPr>
      </w:r>
    </w:p>
    <w:p>
      <w:pPr>
        <w:spacing w:after="0" w:line="20" w:lineRule="exact"/>
      </w:pPr>
      <w:bookmarkStart w:id="13" w:name="source-27159"/>
      <w:bookmarkEnd w:id="13" w:name="source-27159"/>
    </w:p>
    <w:p>
      <w:pPr>
        <w:pStyle w:val="ListBullet"/>
      </w:pPr>
      <w:r>
        <w:rPr>
          <w:rFonts w:ascii="微软雅黑" w:hAnsi="微软雅黑" w:eastAsia="微软雅黑" w:cs="微软雅黑"/>
        </w:rPr>
        <w:t>[13] 中财网｜</w:t>
      </w:r>
      <w:hyperlink r:id="rId23">
        <w:r>
          <w:rPr>
            <w:rFonts w:ascii="微软雅黑" w:hAnsi="微软雅黑" w:eastAsia="微软雅黑" w:cs="微软雅黑"/>
            <w:color w:val="087E89"/>
          </w:rPr>
          <w:t>煤炭供需再平衡 神华中煤三季报分化显韧性</w:t>
        </w:r>
      </w:hyperlink>
      <w:r>
        <w:rPr>
          <w:rFonts w:ascii="微软雅黑" w:hAnsi="微软雅黑" w:eastAsia="微软雅黑" w:cs="微软雅黑"/>
        </w:rPr>
      </w:r>
    </w:p>
    <w:p>
      <w:pPr>
        <w:spacing w:after="0" w:line="20" w:lineRule="exact"/>
      </w:pPr>
      <w:bookmarkStart w:id="14" w:name="source-26956"/>
      <w:bookmarkEnd w:id="14" w:name="source-26956"/>
    </w:p>
    <w:p>
      <w:pPr>
        <w:pStyle w:val="ListBullet"/>
      </w:pPr>
      <w:r>
        <w:rPr>
          <w:rFonts w:ascii="微软雅黑" w:hAnsi="微软雅黑" w:eastAsia="微软雅黑" w:cs="微软雅黑"/>
        </w:rPr>
        <w:t>[14] 上海证券报｜</w:t>
      </w:r>
      <w:hyperlink r:id="rId24">
        <w:r>
          <w:rPr>
            <w:rFonts w:ascii="微软雅黑" w:hAnsi="微软雅黑" w:eastAsia="微软雅黑" w:cs="微软雅黑"/>
            <w:color w:val="087E89"/>
          </w:rPr>
          <w:t>中国神华能源股份有限公司2026年第三季度报告</w:t>
        </w:r>
      </w:hyperlink>
      <w:r>
        <w:rPr>
          <w:rFonts w:ascii="微软雅黑" w:hAnsi="微软雅黑" w:eastAsia="微软雅黑" w:cs="微软雅黑"/>
        </w:rPr>
      </w:r>
    </w:p>
    <w:p>
      <w:pPr>
        <w:spacing w:after="0" w:line="20" w:lineRule="exact"/>
      </w:pPr>
      <w:bookmarkStart w:id="15" w:name="source-26923"/>
      <w:bookmarkEnd w:id="15" w:name="source-26923"/>
    </w:p>
    <w:p>
      <w:pPr>
        <w:pStyle w:val="ListBullet"/>
      </w:pPr>
      <w:r>
        <w:rPr>
          <w:rFonts w:ascii="微软雅黑" w:hAnsi="微软雅黑" w:eastAsia="微软雅黑" w:cs="微软雅黑"/>
        </w:rPr>
        <w:t>[15] 人民日报｜</w:t>
      </w:r>
      <w:hyperlink r:id="rId25">
        <w:r>
          <w:rPr>
            <w:rFonts w:ascii="微软雅黑" w:hAnsi="微软雅黑" w:eastAsia="微软雅黑" w:cs="微软雅黑"/>
            <w:color w:val="087E89"/>
          </w:rPr>
          <w:t>我国科研人员破解柔性光伏“长不大”难题</w:t>
        </w:r>
      </w:hyperlink>
      <w:r>
        <w:rPr>
          <w:rFonts w:ascii="微软雅黑" w:hAnsi="微软雅黑" w:eastAsia="微软雅黑" w:cs="微软雅黑"/>
        </w:rPr>
      </w:r>
    </w:p>
    <w:p>
      <w:pPr>
        <w:spacing w:after="0" w:line="20" w:lineRule="exact"/>
      </w:pPr>
      <w:bookmarkStart w:id="16" w:name="source-26910"/>
      <w:bookmarkEnd w:id="16" w:name="source-26910"/>
    </w:p>
    <w:p>
      <w:pPr>
        <w:pStyle w:val="ListBullet"/>
      </w:pPr>
      <w:r>
        <w:rPr>
          <w:rFonts w:ascii="微软雅黑" w:hAnsi="微软雅黑" w:eastAsia="微软雅黑" w:cs="微软雅黑"/>
        </w:rPr>
        <w:t>[16] 中国新闻网｜</w:t>
      </w:r>
      <w:hyperlink r:id="rId26">
        <w:r>
          <w:rPr>
            <w:rFonts w:ascii="微软雅黑" w:hAnsi="微软雅黑" w:eastAsia="微软雅黑" w:cs="微软雅黑"/>
            <w:color w:val="087E89"/>
          </w:rPr>
          <w:t>特朗普称可能对伊发动一次小规模“史诗怒火”行动</w:t>
        </w:r>
      </w:hyperlink>
      <w:r>
        <w:rPr>
          <w:rFonts w:ascii="微软雅黑" w:hAnsi="微软雅黑" w:eastAsia="微软雅黑" w:cs="微软雅黑"/>
        </w:rPr>
      </w:r>
    </w:p>
    <w:p>
      <w:pPr>
        <w:spacing w:after="0" w:line="20" w:lineRule="exact"/>
      </w:pPr>
      <w:bookmarkStart w:id="17" w:name="source-26896"/>
      <w:bookmarkEnd w:id="17" w:name="source-26896"/>
    </w:p>
    <w:p>
      <w:pPr>
        <w:pStyle w:val="ListBullet"/>
      </w:pPr>
      <w:r>
        <w:rPr>
          <w:rFonts w:ascii="微软雅黑" w:hAnsi="微软雅黑" w:eastAsia="微软雅黑" w:cs="微软雅黑"/>
        </w:rPr>
        <w:t>[17] 新浪财经｜</w:t>
      </w:r>
      <w:hyperlink r:id="rId27">
        <w:r>
          <w:rPr>
            <w:rFonts w:ascii="微软雅黑" w:hAnsi="微软雅黑" w:eastAsia="微软雅黑" w:cs="微软雅黑"/>
            <w:color w:val="087E89"/>
          </w:rPr>
          <w:t>大宗商品综述：油价大涨 铜价收窄周跌幅 金价下跌</w:t>
        </w:r>
      </w:hyperlink>
      <w:r>
        <w:rPr>
          <w:rFonts w:ascii="微软雅黑" w:hAnsi="微软雅黑" w:eastAsia="微软雅黑" w:cs="微软雅黑"/>
        </w:rPr>
      </w:r>
    </w:p>
    <w:p>
      <w:pPr>
        <w:spacing w:after="0" w:line="20" w:lineRule="exact"/>
      </w:pPr>
      <w:bookmarkStart w:id="18" w:name="source-27153"/>
      <w:bookmarkEnd w:id="18" w:name="source-27153"/>
    </w:p>
    <w:p>
      <w:pPr>
        <w:pStyle w:val="ListBullet"/>
      </w:pPr>
      <w:r>
        <w:rPr>
          <w:rFonts w:ascii="微软雅黑" w:hAnsi="微软雅黑" w:eastAsia="微软雅黑" w:cs="微软雅黑"/>
        </w:rPr>
        <w:t>[18] 科技日报｜</w:t>
      </w:r>
      <w:hyperlink r:id="rId28">
        <w:r>
          <w:rPr>
            <w:rFonts w:ascii="微软雅黑" w:hAnsi="微软雅黑" w:eastAsia="微软雅黑" w:cs="微软雅黑"/>
            <w:color w:val="087E89"/>
          </w:rPr>
          <w:t>我国首个区域电力市场正式运行</w:t>
        </w:r>
      </w:hyperlink>
      <w:r>
        <w:rPr>
          <w:rFonts w:ascii="微软雅黑" w:hAnsi="微软雅黑" w:eastAsia="微软雅黑" w:cs="微软雅黑"/>
        </w:rPr>
      </w:r>
    </w:p>
    <w:p>
      <w:pPr>
        <w:spacing w:after="0" w:line="20" w:lineRule="exact"/>
      </w:pPr>
      <w:bookmarkStart w:id="19" w:name="source-26996"/>
      <w:bookmarkEnd w:id="19" w:name="source-26996"/>
    </w:p>
    <w:p>
      <w:pPr>
        <w:pStyle w:val="ListBullet"/>
      </w:pPr>
      <w:r>
        <w:rPr>
          <w:rFonts w:ascii="微软雅黑" w:hAnsi="微软雅黑" w:eastAsia="微软雅黑" w:cs="微软雅黑"/>
        </w:rPr>
        <w:t>[19] 科技日报｜</w:t>
      </w:r>
      <w:hyperlink r:id="rId29">
        <w:r>
          <w:rPr>
            <w:rFonts w:ascii="微软雅黑" w:hAnsi="微软雅黑" w:eastAsia="微软雅黑" w:cs="微软雅黑"/>
            <w:color w:val="087E89"/>
          </w:rPr>
          <w:t>我国首个区域电力市场正式运行</w:t>
        </w:r>
      </w:hyperlink>
      <w:r>
        <w:rPr>
          <w:rFonts w:ascii="微软雅黑" w:hAnsi="微软雅黑" w:eastAsia="微软雅黑" w:cs="微软雅黑"/>
        </w:rPr>
      </w:r>
    </w:p>
    <w:p>
      <w:pPr>
        <w:spacing w:after="0" w:line="20" w:lineRule="exact"/>
      </w:pPr>
      <w:bookmarkStart w:id="20" w:name="source-27112"/>
      <w:bookmarkEnd w:id="20" w:name="source-27112"/>
    </w:p>
    <w:p>
      <w:pPr>
        <w:pStyle w:val="ListBullet"/>
      </w:pPr>
      <w:r>
        <w:rPr>
          <w:rFonts w:ascii="微软雅黑" w:hAnsi="微软雅黑" w:eastAsia="微软雅黑" w:cs="微软雅黑"/>
        </w:rPr>
        <w:t>[20] 中国新闻网｜</w:t>
      </w:r>
      <w:hyperlink r:id="rId30">
        <w:r>
          <w:rPr>
            <w:rFonts w:ascii="微软雅黑" w:hAnsi="微软雅黑" w:eastAsia="微软雅黑" w:cs="微软雅黑"/>
            <w:color w:val="087E89"/>
          </w:rPr>
          <w:t>中国首个区域电力市场正式运行</w:t>
        </w:r>
      </w:hyperlink>
      <w:r>
        <w:rPr>
          <w:rFonts w:ascii="微软雅黑" w:hAnsi="微软雅黑" w:eastAsia="微软雅黑" w:cs="微软雅黑"/>
        </w:rPr>
      </w:r>
    </w:p>
    <w:p>
      <w:pPr>
        <w:spacing w:after="0" w:line="20" w:lineRule="exact"/>
      </w:pPr>
      <w:bookmarkStart w:id="21" w:name="source-27060"/>
      <w:bookmarkEnd w:id="21" w:name="source-27060"/>
    </w:p>
    <w:p>
      <w:pPr>
        <w:pStyle w:val="ListBullet"/>
      </w:pPr>
      <w:r>
        <w:rPr>
          <w:rFonts w:ascii="微软雅黑" w:hAnsi="微软雅黑" w:eastAsia="微软雅黑" w:cs="微软雅黑"/>
        </w:rPr>
        <w:t>[21] 央视新闻等｜</w:t>
      </w:r>
      <w:hyperlink r:id="rId31">
        <w:r>
          <w:rPr>
            <w:rFonts w:ascii="微软雅黑" w:hAnsi="微软雅黑" w:eastAsia="微软雅黑" w:cs="微软雅黑"/>
            <w:color w:val="087E89"/>
          </w:rPr>
          <w:t>南方区域电力市场顺利“转正” 电力交易更便捷、更灵活</w:t>
        </w:r>
      </w:hyperlink>
      <w:r>
        <w:rPr>
          <w:rFonts w:ascii="微软雅黑" w:hAnsi="微软雅黑" w:eastAsia="微软雅黑" w:cs="微软雅黑"/>
        </w:rPr>
      </w:r>
    </w:p>
    <w:p>
      <w:pPr>
        <w:spacing w:after="0" w:line="20" w:lineRule="exact"/>
      </w:pPr>
      <w:bookmarkStart w:id="22" w:name="source-27099"/>
      <w:bookmarkEnd w:id="22" w:name="source-27099"/>
    </w:p>
    <w:p>
      <w:pPr>
        <w:pStyle w:val="ListBullet"/>
      </w:pPr>
      <w:r>
        <w:rPr>
          <w:rFonts w:ascii="微软雅黑" w:hAnsi="微软雅黑" w:eastAsia="微软雅黑" w:cs="微软雅黑"/>
        </w:rPr>
        <w:t>[22] Interfax｜</w:t>
      </w:r>
      <w:hyperlink r:id="rId32">
        <w:r>
          <w:rPr>
            <w:rFonts w:ascii="微软雅黑" w:hAnsi="微软雅黑" w:eastAsia="微软雅黑" w:cs="微软雅黑"/>
            <w:color w:val="087E89"/>
          </w:rPr>
          <w:t>美国国会收到一项法案草案，内容是禁止发放进口俄罗斯联邦能源载体的许可证</w:t>
        </w:r>
      </w:hyperlink>
      <w:r>
        <w:rPr>
          <w:rFonts w:ascii="微软雅黑" w:hAnsi="微软雅黑" w:eastAsia="微软雅黑" w:cs="微软雅黑"/>
        </w:rPr>
      </w:r>
    </w:p>
    <w:p>
      <w:pPr>
        <w:spacing w:after="0" w:line="20" w:lineRule="exact"/>
      </w:pPr>
      <w:bookmarkStart w:id="23" w:name="source-26920"/>
      <w:bookmarkEnd w:id="23" w:name="source-26920"/>
    </w:p>
    <w:p>
      <w:pPr>
        <w:pStyle w:val="ListBullet"/>
      </w:pPr>
      <w:r>
        <w:rPr>
          <w:rFonts w:ascii="微软雅黑" w:hAnsi="微软雅黑" w:eastAsia="微软雅黑" w:cs="微软雅黑"/>
        </w:rPr>
        <w:t>[23] 经济日报｜</w:t>
      </w:r>
      <w:hyperlink r:id="rId33">
        <w:r>
          <w:rPr>
            <w:rFonts w:ascii="微软雅黑" w:hAnsi="微软雅黑" w:eastAsia="微软雅黑" w:cs="微软雅黑"/>
            <w:color w:val="087E89"/>
          </w:rPr>
          <w:t>中东国家发展可再生能源破解算电约束</w:t>
        </w:r>
      </w:hyperlink>
      <w:r>
        <w:rPr>
          <w:rFonts w:ascii="微软雅黑" w:hAnsi="微软雅黑" w:eastAsia="微软雅黑" w:cs="微软雅黑"/>
        </w:rPr>
      </w:r>
    </w:p>
    <w:p>
      <w:pPr>
        <w:spacing w:after="0" w:line="20" w:lineRule="exact"/>
      </w:pPr>
      <w:bookmarkStart w:id="24" w:name="source-27171"/>
      <w:bookmarkEnd w:id="24" w:name="source-27171"/>
    </w:p>
    <w:p>
      <w:pPr>
        <w:pStyle w:val="ListBullet"/>
      </w:pPr>
      <w:r>
        <w:rPr>
          <w:rFonts w:ascii="微软雅黑" w:hAnsi="微软雅黑" w:eastAsia="微软雅黑" w:cs="微软雅黑"/>
        </w:rPr>
        <w:t>[24] The Edge Malaysia等｜</w:t>
      </w:r>
      <w:hyperlink r:id="rId34">
        <w:r>
          <w:rPr>
            <w:rFonts w:ascii="微软雅黑" w:hAnsi="微软雅黑" w:eastAsia="微软雅黑" w:cs="微软雅黑"/>
            <w:color w:val="087E89"/>
          </w:rPr>
          <w:t>印度尼西亚表示将削减对新加坡的天然气出口，以优先满足国内需求</w:t>
        </w:r>
      </w:hyperlink>
      <w:r>
        <w:rPr>
          <w:rFonts w:ascii="微软雅黑" w:hAnsi="微软雅黑" w:eastAsia="微软雅黑" w:cs="微软雅黑"/>
        </w:rPr>
      </w:r>
    </w:p>
    <w:p>
      <w:pPr>
        <w:spacing w:after="0" w:line="20" w:lineRule="exact"/>
      </w:pPr>
      <w:bookmarkStart w:id="25" w:name="source-27109"/>
      <w:bookmarkEnd w:id="25" w:name="source-27109"/>
    </w:p>
    <w:p>
      <w:pPr>
        <w:pStyle w:val="ListBullet"/>
      </w:pPr>
      <w:r>
        <w:rPr>
          <w:rFonts w:ascii="微软雅黑" w:hAnsi="微软雅黑" w:eastAsia="微软雅黑" w:cs="微软雅黑"/>
        </w:rPr>
        <w:t>[25] 光伏杂志国际版｜</w:t>
      </w:r>
      <w:hyperlink r:id="rId35">
        <w:r>
          <w:rPr>
            <w:rFonts w:ascii="微软雅黑" w:hAnsi="微软雅黑" w:eastAsia="微软雅黑" w:cs="微软雅黑"/>
            <w:color w:val="087E89"/>
          </w:rPr>
          <w:t>Gritt Robotics 将人工智能辅助机器人技术引入，以缓解日益萎缩的太阳能行业劳动力短缺问题</w:t>
        </w:r>
      </w:hyperlink>
      <w:r>
        <w:rPr>
          <w:rFonts w:ascii="微软雅黑" w:hAnsi="微软雅黑" w:eastAsia="微软雅黑" w:cs="微软雅黑"/>
        </w:rPr>
      </w:r>
    </w:p>
    <w:p>
      <w:pPr>
        <w:spacing w:after="0" w:line="20" w:lineRule="exact"/>
      </w:pPr>
      <w:bookmarkStart w:id="26" w:name="source-26957"/>
      <w:bookmarkEnd w:id="26" w:name="source-26957"/>
    </w:p>
    <w:p>
      <w:pPr>
        <w:pStyle w:val="ListBullet"/>
      </w:pPr>
      <w:r>
        <w:rPr>
          <w:rFonts w:ascii="微软雅黑" w:hAnsi="微软雅黑" w:eastAsia="微软雅黑" w:cs="微软雅黑"/>
        </w:rPr>
        <w:t>[26] 上海证券报｜</w:t>
      </w:r>
      <w:hyperlink r:id="rId36">
        <w:r>
          <w:rPr>
            <w:rFonts w:ascii="微软雅黑" w:hAnsi="微软雅黑" w:eastAsia="微软雅黑" w:cs="微软雅黑"/>
            <w:color w:val="087E89"/>
          </w:rPr>
          <w:t>中国神华能源股份有限公司</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finance.sina.com.cn/stock/usstock/c/2026-10-24/doc-iniwhakh2457953.shtml" TargetMode="External"/><Relationship Id="rId12" Type="http://schemas.openxmlformats.org/officeDocument/2006/relationships/hyperlink" Target="https://sana.sy/en/economic/2353230/" TargetMode="External"/><Relationship Id="rId13" Type="http://schemas.openxmlformats.org/officeDocument/2006/relationships/hyperlink" Target="https://www.nea.gov.cn/20261024/5507e2777ede4b7e97ae56de1d275d46/c.html" TargetMode="External"/><Relationship Id="rId14" Type="http://schemas.openxmlformats.org/officeDocument/2006/relationships/hyperlink" Target="https://www.zhitongcaijing.com/content/detail/1511970.html" TargetMode="External"/><Relationship Id="rId15" Type="http://schemas.openxmlformats.org/officeDocument/2006/relationships/hyperlink" Target="https://www.stats.gov.cn/sj/zxfb/202610/t20261023_1965679.html" TargetMode="External"/><Relationship Id="rId16" Type="http://schemas.openxmlformats.org/officeDocument/2006/relationships/hyperlink" Target="https://news.mysteel.com/a/26102409/43A029D4B3112FC9.html" TargetMode="External"/><Relationship Id="rId17" Type="http://schemas.openxmlformats.org/officeDocument/2006/relationships/hyperlink" Target="https://www.pv-magazine.com/2026/10/24/residential-solar-prices-rise-3-2-as-third-party-ownership-gains-ground/" TargetMode="External"/><Relationship Id="rId18" Type="http://schemas.openxmlformats.org/officeDocument/2006/relationships/hyperlink" Target="https://paper.cnstock.com/html/2026-10/24/content_2280673.htm" TargetMode="External"/><Relationship Id="rId19" Type="http://schemas.openxmlformats.org/officeDocument/2006/relationships/hyperlink" Target="https://reneweconomy.com.au/more-batteries-both-big-and-small-mean-solar-farms-dont-have-to-shut-down-so-often/?utm_source=rss&amp;utm_medium=rss&amp;utm_campaign=more-batteries-both-big-and-small-mean-solar-farms-dont-have-to-shut-down-so-often" TargetMode="External"/><Relationship Id="rId20" Type="http://schemas.openxmlformats.org/officeDocument/2006/relationships/hyperlink" Target="https://www.chinanews.com.cn/gj/2026/10-24/10720163.shtml" TargetMode="External"/><Relationship Id="rId21" Type="http://schemas.openxmlformats.org/officeDocument/2006/relationships/hyperlink" Target="https://finance.sina.com.cn/stock/usstock/c/2026-10-24/doc-iniwfwak2554284.shtml" TargetMode="External"/><Relationship Id="rId22" Type="http://schemas.openxmlformats.org/officeDocument/2006/relationships/hyperlink" Target="https://news.mysteel.com/a/26102409/3C94DD81E99C4357.html" TargetMode="External"/><Relationship Id="rId23" Type="http://schemas.openxmlformats.org/officeDocument/2006/relationships/hyperlink" Target="https://industry.cfi.cn/p20261024000212.html" TargetMode="External"/><Relationship Id="rId24" Type="http://schemas.openxmlformats.org/officeDocument/2006/relationships/hyperlink" Target="https://paper.cnstock.com/html/2026-10/24/content_2280574.htm" TargetMode="External"/><Relationship Id="rId25" Type="http://schemas.openxmlformats.org/officeDocument/2006/relationships/hyperlink" Target="http://finance.people.com.cn/n1/2026/1024/c1004-40820684.html" TargetMode="External"/><Relationship Id="rId26" Type="http://schemas.openxmlformats.org/officeDocument/2006/relationships/hyperlink" Target="https://www.chinanews.com.cn/gj/2026/10-24/10720168.shtml" TargetMode="External"/><Relationship Id="rId27" Type="http://schemas.openxmlformats.org/officeDocument/2006/relationships/hyperlink" Target="https://finance.sina.com.cn/world/2026-10-24/doc-iniwhhrw8286322.shtml" TargetMode="External"/><Relationship Id="rId28" Type="http://schemas.openxmlformats.org/officeDocument/2006/relationships/hyperlink" Target="https://www.stdaily.com/web/gdxw/2026-10/24/content_602213.html" TargetMode="External"/><Relationship Id="rId29" Type="http://schemas.openxmlformats.org/officeDocument/2006/relationships/hyperlink" Target="https://www.stdaily.com/web/gdxw/2026-10/24/content_602086.html" TargetMode="External"/><Relationship Id="rId30" Type="http://schemas.openxmlformats.org/officeDocument/2006/relationships/hyperlink" Target="https://www.chinanews.com.cn/cj/2026/10-24/10720447.shtml" TargetMode="External"/><Relationship Id="rId31" Type="http://schemas.openxmlformats.org/officeDocument/2006/relationships/hyperlink" Target="https://news.cctv.com/2026/10/24/ARTIU01CYM23MvARiD1OrPmk261024.shtml" TargetMode="External"/><Relationship Id="rId32" Type="http://schemas.openxmlformats.org/officeDocument/2006/relationships/hyperlink" Target="https://www.interfax.ru/world/1124733" TargetMode="External"/><Relationship Id="rId33" Type="http://schemas.openxmlformats.org/officeDocument/2006/relationships/hyperlink" Target="http://www.ce.cn/cysc/newmain/yc/jsxw/202610/t20261024_3269897.shtml" TargetMode="External"/><Relationship Id="rId34" Type="http://schemas.openxmlformats.org/officeDocument/2006/relationships/hyperlink" Target="https://theedgemalaysia.com/node/823121" TargetMode="External"/><Relationship Id="rId35" Type="http://schemas.openxmlformats.org/officeDocument/2006/relationships/hyperlink" Target="https://www.pv-magazine.com/2026/10/24/gritt-robotics-brings-ai-assisted-robotics-to-bolster-shrinking-solar-workforce/" TargetMode="External"/><Relationship Id="rId36" Type="http://schemas.openxmlformats.org/officeDocument/2006/relationships/hyperlink" Target="https://paper.cnstock.com/html/2026-10/24/content_228057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2026年10月24日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