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信息覆盖时段：2026-10-18 00:00 至 2026-10-19 00:00（不含），Asia/Shanghai。</w:t>
      </w:r>
    </w:p>
    <w:p>
      <w:pPr/>
      <w:r>
        <w:rPr>
          <w:rFonts w:ascii="微软雅黑" w:hAnsi="微软雅黑" w:eastAsia="微软雅黑" w:cs="微软雅黑"/>
        </w:rPr>
        <w:t>统计区间：2026-10-18 至 2026-10-19（结束日不含，北京时间）</w:t>
      </w:r>
    </w:p>
    <w:p>
      <w:pPr>
        <w:ind w:firstLine="420"/>
      </w:pPr>
      <w:r>
        <w:rPr>
          <w:rFonts w:ascii="微软雅黑" w:hAnsi="微软雅黑" w:eastAsia="微软雅黑" w:cs="微软雅黑"/>
        </w:rPr>
        <w:t>资料更新截止：2026-10-19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伊朗称七日内重开霍尔木兹海峡提议仍有效，等待美方回应 </w:t>
      </w:r>
      <w:hyperlink w:anchor="source-22573">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261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美方提议将欧洲恢复采购俄气纳入乌克兰和平协议，德国反对 </w:t>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首艘满载俄罗斯石油油轮自北极港迪克森启航 </w:t>
      </w:r>
      <w:hyperlink w:anchor="source-2247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中国拟禁止钙钛矿硅叠层太阳能电池生产技术出口 </w:t>
      </w:r>
      <w:hyperlink w:anchor="source-224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习近平考察乌兰察布“东数西算”枢纽节点与绿色算力产业 </w:t>
      </w:r>
      <w:hyperlink w:anchor="source-22614">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俄罗斯对美及国际市场柴油供应量（10月计划）</w:t>
            </w:r>
          </w:p>
        </w:tc>
        <w:tc>
          <w:tcPr>
            <w:tcW w:type="dxa" w:w="2268"/>
          </w:tcPr>
          <w:p>
            <w:pPr>
              <w:spacing w:after="40"/>
            </w:pPr>
            <w:r>
              <w:rPr>
                <w:rFonts w:ascii="微软雅黑" w:hAnsi="微软雅黑" w:eastAsia="微软雅黑" w:cs="微软雅黑"/>
              </w:rPr>
              <w:t>30万吨</w:t>
            </w:r>
          </w:p>
        </w:tc>
        <w:tc>
          <w:tcPr>
            <w:tcW w:type="dxa" w:w="2268"/>
          </w:tcPr>
          <w:p>
            <w:pPr>
              <w:spacing w:after="40"/>
            </w:pPr>
            <w:r>
              <w:rPr>
                <w:rFonts w:ascii="微软雅黑" w:hAnsi="微软雅黑" w:eastAsia="微软雅黑" w:cs="微软雅黑"/>
              </w:rPr>
              <w:t>10月</w:t>
            </w:r>
          </w:p>
        </w:tc>
        <w:tc>
          <w:tcPr>
            <w:tcW w:type="dxa" w:w="2268"/>
          </w:tcPr>
          <w:p>
            <w:pPr>
              <w:spacing w:after="40"/>
            </w:pPr>
            <w:r>
              <w:rPr>
                <w:rFonts w:ascii="微软雅黑" w:hAnsi="微软雅黑" w:eastAsia="微软雅黑" w:cs="微软雅黑"/>
              </w:rPr>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俄罗斯对美及国际市场柴油供应量（12月计划）</w:t>
            </w:r>
          </w:p>
        </w:tc>
        <w:tc>
          <w:tcPr>
            <w:tcW w:type="dxa" w:w="2268"/>
          </w:tcPr>
          <w:p>
            <w:pPr>
              <w:spacing w:after="40"/>
            </w:pPr>
            <w:r>
              <w:rPr>
                <w:rFonts w:ascii="微软雅黑" w:hAnsi="微软雅黑" w:eastAsia="微软雅黑" w:cs="微软雅黑"/>
              </w:rPr>
              <w:t>100万吨</w:t>
            </w:r>
          </w:p>
        </w:tc>
        <w:tc>
          <w:tcPr>
            <w:tcW w:type="dxa" w:w="2268"/>
          </w:tcPr>
          <w:p>
            <w:pPr>
              <w:spacing w:after="40"/>
            </w:pPr>
            <w:r>
              <w:rPr>
                <w:rFonts w:ascii="微软雅黑" w:hAnsi="微软雅黑" w:eastAsia="微软雅黑" w:cs="微软雅黑"/>
              </w:rPr>
              <w:t>12月</w:t>
            </w:r>
          </w:p>
        </w:tc>
        <w:tc>
          <w:tcPr>
            <w:tcW w:type="dxa" w:w="2268"/>
          </w:tcPr>
          <w:p>
            <w:pPr>
              <w:spacing w:after="40"/>
            </w:pPr>
            <w:r>
              <w:rPr>
                <w:rFonts w:ascii="微软雅黑" w:hAnsi="微软雅黑" w:eastAsia="微软雅黑" w:cs="微软雅黑"/>
              </w:rPr>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美方拟豁免的对俄罗斯能源前五大购买国商品加征关税税率</w:t>
            </w:r>
          </w:p>
        </w:tc>
        <w:tc>
          <w:tcPr>
            <w:tcW w:type="dxa" w:w="2268"/>
          </w:tcPr>
          <w:p>
            <w:pPr>
              <w:spacing w:after="40"/>
            </w:pPr>
            <w:r>
              <w:rPr>
                <w:rFonts w:ascii="微软雅黑" w:hAnsi="微软雅黑" w:eastAsia="微软雅黑" w:cs="微软雅黑"/>
              </w:rPr>
              <w:t>100%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诺瓦克称当前全球石油市场每日短缺量</w:t>
            </w:r>
          </w:p>
        </w:tc>
        <w:tc>
          <w:tcPr>
            <w:tcW w:type="dxa" w:w="2268"/>
          </w:tcPr>
          <w:p>
            <w:pPr>
              <w:spacing w:after="40"/>
            </w:pPr>
            <w:r>
              <w:rPr>
                <w:rFonts w:ascii="微软雅黑" w:hAnsi="微软雅黑" w:eastAsia="微软雅黑" w:cs="微软雅黑"/>
              </w:rPr>
              <w:t>约400万至600万桶/日</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47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中国拟禁止出口技术覆盖的钙钛矿硅叠层电池硅片尺寸下限</w:t>
            </w:r>
          </w:p>
        </w:tc>
        <w:tc>
          <w:tcPr>
            <w:tcW w:type="dxa" w:w="2268"/>
          </w:tcPr>
          <w:p>
            <w:pPr>
              <w:spacing w:after="40"/>
            </w:pPr>
            <w:r>
              <w:rPr>
                <w:rFonts w:ascii="微软雅黑" w:hAnsi="微软雅黑" w:eastAsia="微软雅黑" w:cs="微软雅黑"/>
              </w:rPr>
              <w:t>182毫米及以上</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4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中国拟禁止出口技术覆盖的叠层电池转换效率门槛</w:t>
            </w:r>
          </w:p>
        </w:tc>
        <w:tc>
          <w:tcPr>
            <w:tcW w:type="dxa" w:w="2268"/>
          </w:tcPr>
          <w:p>
            <w:pPr>
              <w:spacing w:after="40"/>
            </w:pPr>
            <w:r>
              <w:rPr>
                <w:rFonts w:ascii="微软雅黑" w:hAnsi="微软雅黑" w:eastAsia="微软雅黑" w:cs="微软雅黑"/>
              </w:rPr>
              <w:t>30%及以上</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4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内蒙古乌兰察布年日照时数</w:t>
            </w:r>
          </w:p>
        </w:tc>
        <w:tc>
          <w:tcPr>
            <w:tcW w:type="dxa" w:w="2268"/>
          </w:tcPr>
          <w:p>
            <w:pPr>
              <w:spacing w:after="40"/>
            </w:pPr>
            <w:r>
              <w:rPr>
                <w:rFonts w:ascii="微软雅黑" w:hAnsi="微软雅黑" w:eastAsia="微软雅黑" w:cs="微软雅黑"/>
              </w:rPr>
              <w:t>3200小时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614">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内蒙古乌兰察布有效风场面积占全国比重</w:t>
            </w:r>
          </w:p>
        </w:tc>
        <w:tc>
          <w:tcPr>
            <w:tcW w:type="dxa" w:w="2268"/>
          </w:tcPr>
          <w:p>
            <w:pPr>
              <w:spacing w:after="40"/>
            </w:pPr>
            <w:r>
              <w:rPr>
                <w:rFonts w:ascii="微软雅黑" w:hAnsi="微软雅黑" w:eastAsia="微软雅黑" w:cs="微软雅黑"/>
              </w:rPr>
              <w:t>占全国十分之一</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614">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全球电力需求同比增量（Ember口径，去年）</w:t>
            </w:r>
          </w:p>
        </w:tc>
        <w:tc>
          <w:tcPr>
            <w:tcW w:type="dxa" w:w="2268"/>
          </w:tcPr>
          <w:p>
            <w:pPr>
              <w:spacing w:after="40"/>
            </w:pPr>
            <w:r>
              <w:rPr>
                <w:rFonts w:ascii="微软雅黑" w:hAnsi="微软雅黑" w:eastAsia="微软雅黑" w:cs="微软雅黑"/>
              </w:rPr>
              <w:t>849太瓦时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544">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全球清洁能源发电量同比增量（Ember口径，去年）</w:t>
            </w:r>
          </w:p>
        </w:tc>
        <w:tc>
          <w:tcPr>
            <w:tcW w:type="dxa" w:w="2268"/>
          </w:tcPr>
          <w:p>
            <w:pPr>
              <w:spacing w:after="40"/>
            </w:pPr>
            <w:r>
              <w:rPr>
                <w:rFonts w:ascii="微软雅黑" w:hAnsi="微软雅黑" w:eastAsia="微软雅黑" w:cs="微软雅黑"/>
              </w:rPr>
              <w:t>887太瓦时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2544">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伊朗称七日内重开霍尔木兹海峡提议仍有效，等待美方回应</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伊朗外长阿拉格齐在巴格达出席伊斯兰合作组织外长理事会第52次会议期间表示，伊朗此前提出的“七日内重开霍尔木兹海峡”方案依然有效，美方已就该计划提出意见，伊朗正在评估美方回应。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称已通过卡塔尔向美国转达重新开放霍尔木兹海峡的计划，若美方满足伊朗条件，海峡将在第六天重新开放，谈判在第七天恢复。阿拉格齐强调愿随时通过外交途径解决问题，但必须建立在尊严与荣誉的基础之上。塔斯尼姆通讯社10月18日报道称该计划仍在谈判桌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条件未获满足前，海峡通行状态未改变；来源明确指出美方已提出意见、伊朗正在评估，尚未形成重开安排。</w:t>
      </w:r>
    </w:p>
    <w:p>
      <w:pPr>
        <w:ind w:firstLine="420"/>
      </w:pPr>
      <w:r>
        <w:rPr>
          <w:rFonts w:ascii="微软雅黑" w:hAnsi="微软雅黑" w:eastAsia="微软雅黑" w:cs="微软雅黑"/>
        </w:rPr>
        <w:t>来源：</w:t>
      </w:r>
      <w:hyperlink w:anchor="source-22573">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261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伊朗在霍尔木兹海峡拦截违规船只，两艘超级油轮触雷起火</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武装部队于当地时间17日18时15分从锡里克地区附近向在霍尔木兹海峡试图“违规”通行的船只开火并将其拦截；伊朗伊斯兰革命卫队海军称“第二艘超级油轮”当天在海峡触雷后爆炸起火，另一艘油轮在阿曼湾燃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革命卫队10月17日表示两艘超级油轮触及水雷并起火，伊朗海军另称一艘油轮在阿曼湾燃烧；其中一艘载有超过200万桶原油，在关闭所有导航和雷达系统后试图在美军支持下通过海峡。革命卫队重申海峡仍对未经伊朗授权通行的船舶关闭；美中央司令部称试图通过海峡的船舶中97%未被伊朗弹体击中并完成通行，美军已要求138艘商业船舶改变航线以执行对伊朗港口的封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巴基斯坦俾路支省查盖地区官员表示出于安全考虑已暂时中止巴伊边境贸易。</w:t>
      </w:r>
    </w:p>
    <w:p>
      <w:pPr>
        <w:ind w:firstLine="420"/>
      </w:pPr>
      <w:r>
        <w:rPr>
          <w:rFonts w:ascii="微软雅黑" w:hAnsi="微软雅黑" w:eastAsia="微软雅黑" w:cs="微软雅黑"/>
        </w:rPr>
        <w:t>来源：</w:t>
      </w:r>
      <w:hyperlink w:anchor="source-22513">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22049">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3. 俄军大规模打击乌克兰能源设施，泽连斯基称逾15处关键设施遇袭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俄罗斯国防部称当地时间17日凌晨对乌克兰多地为乌军方提供保障的相关企业和能源设施实施大规模打击；泽连斯基称俄方发动了针对乌能源部门最大规模攻击之一，打击全国多地超过15处关键发电和输电设施。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泽连斯基称俄军17日晚袭击文尼察州、日托米尔州、赫梅利尼茨基州和敖德萨州等地变电站，导致数以万计家庭断电，并称特朗普宣称俄乌“能源停火”一周来俄方对乌电力、石油和天然气设施发动76次袭击；过去一周俄军向乌境内发射2700架攻击型无人机、1700余枚航空炸弹和66枚导弹。乌空军称17日晚至18日凌晨俄军发射1枚“伊斯坎德尔-M”弹道导弹和180架攻击型无人机。Ukrenergo在多地实施紧急停电，DTEK按乌国家电力公司指令对基辅州部分区域紧急停电，不同街区停电1.5小时至7小时不等。泽连斯基称俄试图在入冬前造成乌全境停电，并批评美国暂停对俄石油收入制裁的决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乌全国多地实施紧急停电，基辅州部分街区停电时间从1.5小时至7小时不等。</w:t>
      </w:r>
    </w:p>
    <w:p>
      <w:pPr>
        <w:ind w:firstLine="420"/>
      </w:pPr>
      <w:r>
        <w:rPr>
          <w:rFonts w:ascii="微软雅黑" w:hAnsi="微软雅黑" w:eastAsia="微软雅黑" w:cs="微软雅黑"/>
        </w:rPr>
        <w:t>来源：</w:t>
      </w:r>
      <w:hyperlink w:anchor="source-22047">
        <w:r>
          <w:rPr>
            <w:rFonts w:ascii="微软雅黑" w:hAnsi="微软雅黑" w:eastAsia="微软雅黑" w:cs="微软雅黑"/>
            <w:color w:val="087E89"/>
          </w:rPr>
          <w:t>17</w:t>
        </w:r>
      </w:hyperlink>
      <w:r>
        <w:rPr>
          <w:rFonts w:ascii="微软雅黑" w:hAnsi="微软雅黑" w:eastAsia="微软雅黑" w:cs="微软雅黑"/>
        </w:rPr>
        <w:t xml:space="preserve"> </w:t>
      </w:r>
      <w:hyperlink w:anchor="source-22012">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22565">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4. 乌方称无人机袭击圣彼得堡数据中心及鲁奇油库、石油码头</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乌克兰国防企业18日在社交平台通报称，乌军当天凌晨使用FP-1无人机袭击了俄罗斯圣彼得堡的一个数据中心、鲁奇油库和圣彼得堡石油码头，油库和码头区域发生火灾，数据中心遭到严重破坏。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报称乌军当天凌晨使用FP-1无人机实施袭击，圣彼得堡石油码头年吞吐能力为1250万吨。特朗普此前指责乌克兰袭击俄炼油厂导致油价飙升，要求乌方停止袭击；同期乌方称美“星链”军用版“星盾”遭限速。乌方另称最快下周与美举行会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圣彼得堡两处石油设施区域发生火灾、数据中心被严重破坏。</w:t>
      </w:r>
    </w:p>
    <w:p>
      <w:pPr>
        <w:ind w:firstLine="420"/>
      </w:pPr>
      <w:r>
        <w:rPr>
          <w:rFonts w:ascii="微软雅黑" w:hAnsi="微软雅黑" w:eastAsia="微软雅黑" w:cs="微软雅黑"/>
        </w:rPr>
        <w:t>来源：</w:t>
      </w:r>
      <w:hyperlink w:anchor="source-22621">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22049">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5. 特朗普签署行政令豁免对俄多项制裁，美政界与欧盟反弹</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政府9日宣布放松对俄柴油贸易制裁，并称已与俄方达成由俄向美及全球市场提供柴油的协议；16日特朗普签署行政令，豁免对俄罗斯的多项制裁措施，内容涉及《2026年格雷厄姆制裁俄罗斯和伊朗法案》中的大部分条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指责乌克兰袭击俄炼油厂导致油价飙升，要求乌方停止袭击。民主党参议院领袖舒默谴责豁免令是“给俄罗斯经济提供生命支持”，共和党参议员克鲁兹、麦考尔等也称这是“错误”。分析人士认为放松对俄制裁意在11月初中期选举前平抑能源价格，但抑价效果存疑，且与美国政界反俄挺乌共识相悖；专家指出俄柴油产能存在不确定性，初步供应量与全球成品油贸易体量相比不值一提，且影响滞后。欧盟峰会联合声明对美方暂时解除对俄柴油制裁表示遗憾，法国总统马克龙称此举释放美欧分裂信号。</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来源明确指出放松对俄柴油制裁将削弱欧盟通过制裁削减俄能源收入的效果，并暴露美欧利益分歧。</w:t>
      </w:r>
    </w:p>
    <w:p>
      <w:pPr>
        <w:ind w:firstLine="420"/>
      </w:pPr>
      <w:r>
        <w:rPr>
          <w:rFonts w:ascii="微软雅黑" w:hAnsi="微软雅黑" w:eastAsia="微软雅黑" w:cs="微软雅黑"/>
        </w:rPr>
        <w:t>来源：</w:t>
      </w:r>
      <w:hyperlink w:anchor="source-22566">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22049">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6. 首艘满载俄罗斯石油油轮自北极港迪克森启航</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俄罗斯副总理诺瓦克表示，首艘满载俄罗斯石油的油轮已从喀拉海沿岸克拉斯诺亚尔斯克边疆区的北极港口迪克森装货启航。</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诺瓦克称俄罗斯石油销售“没有问题”，许多国家有兴趣成为俄油买家；并称市场目前每日短缺约400万至600万桶石油，推高了价格。关于北溪，他称四条管线中三条因爆炸损毁、一条完好，经北溪恢复对欧供气技术上仍可行，能否输气取决于欧洲方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北溪四条管线中三条损毁、一条完好。</w:t>
      </w:r>
    </w:p>
    <w:p>
      <w:pPr>
        <w:ind w:firstLine="420"/>
      </w:pPr>
      <w:r>
        <w:rPr>
          <w:rFonts w:ascii="微软雅黑" w:hAnsi="微软雅黑" w:eastAsia="微软雅黑" w:cs="微软雅黑"/>
        </w:rPr>
        <w:t>来源：</w:t>
      </w:r>
      <w:hyperlink w:anchor="source-22477">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7. 诺瓦克称IEA国家释放储备无法弥补供应缺口</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俄罗斯副总理诺瓦克表示，IEA成员国释放石油储备无法弥补全球石油供应缺口，尽管这些国家此前烃类储备水平较高。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诺瓦克指出，OECD国家储备释放能力终将耗尽；进一步释放储备将损害建立储备的国家，且市场恢复后需要回补储备，这将压制需求。</w:t>
      </w:r>
    </w:p>
    <w:p>
      <w:pPr>
        <w:ind w:firstLine="420"/>
      </w:pPr>
      <w:r>
        <w:rPr>
          <w:rFonts w:ascii="微软雅黑" w:hAnsi="微软雅黑" w:eastAsia="微软雅黑" w:cs="微软雅黑"/>
        </w:rPr>
        <w:t>来源：</w:t>
      </w:r>
      <w:hyperlink w:anchor="source-22006">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8. 委内瑞拉预计未来五年油气投资近760亿美元</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委内瑞拉代总统德尔西·罗德里格斯表示，在近期达成的协议框架内，委内瑞拉预计未来五年石油和天然气领域将获得近760亿美元投资。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投资包括与美国签署的、规定运营250座钻井平台的双边协议。委内瑞拉已在油气领域签署61项协议，另有44项在谈判中；根据已签署协议，未来几年将创造32.4万个直接、间接和衍生就业岗位。苏利亚州石油产量已从7万桶/日增至37万桶/日，今年将达40万桶/日，明年有望成为液化天然气生产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苏利亚州石油产量今年将达到40万桶/日。</w:t>
      </w:r>
    </w:p>
    <w:p>
      <w:pPr>
        <w:ind w:firstLine="420"/>
      </w:pPr>
      <w:r>
        <w:rPr>
          <w:rFonts w:ascii="微软雅黑" w:hAnsi="微软雅黑" w:eastAsia="微软雅黑" w:cs="微软雅黑"/>
        </w:rPr>
        <w:t>来源：</w:t>
      </w:r>
      <w:hyperlink w:anchor="source-22562">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9. 埃克森美孚警示莫桑比克管道气下滑，促南非加快LNG审批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埃克森美孚警告莫桑比克管道气供应下降，并称到2050年气体需求可能增至三倍以上，LNG进口是关键选项。</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该公司已与Zululand Energy Terminal签署协议框架，拟在理查兹湾建设LNG进口设施；公司敦促南非加快许可审批以释放能源投资。</w:t>
      </w:r>
    </w:p>
    <w:p>
      <w:pPr>
        <w:ind w:firstLine="420"/>
      </w:pPr>
      <w:r>
        <w:rPr>
          <w:rFonts w:ascii="微软雅黑" w:hAnsi="微软雅黑" w:eastAsia="微软雅黑" w:cs="微软雅黑"/>
        </w:rPr>
        <w:t>来源：</w:t>
      </w:r>
      <w:hyperlink w:anchor="source-22545">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10. 台湾经济部称年底油气供应无虞，规划26GW燃气机组</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台湾经济部因应中东冲突成立专案小组戮力调度能源，并请各界支持特别预算以稳定能源供应与价格，称至年底国内油气供应无虞。</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东冲突以来台湾中油转向美国、非洲等地寻找替代油气源，并已提前展开明年第1季油气采购作业。经济部表示目前无缺电问题，因应半导体及AI资讯中心用电需求，规划新增25部共26GW燃气机组；台湾电价未调整。布兰特原油较战前上涨66%，汽油涨14%、柴油涨12%。</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澳洲汽油涨50%、新加坡23%、韩国19%、日本8%；相较年初（战前）日本电价上涨4.2%、新加坡上涨19%。</w:t>
      </w:r>
    </w:p>
    <w:p>
      <w:pPr>
        <w:ind w:firstLine="420"/>
      </w:pPr>
      <w:r>
        <w:rPr>
          <w:rFonts w:ascii="微软雅黑" w:hAnsi="微软雅黑" w:eastAsia="微软雅黑" w:cs="微软雅黑"/>
        </w:rPr>
        <w:t>来源：</w:t>
      </w:r>
      <w:hyperlink w:anchor="source-22539">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11. 美方提议将欧洲恢复采购俄气纳入乌克兰和平协议，德国反对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纽约时报》援引消息人士报道，特朗普政府计划提议欧盟恢复购买俄罗斯天然气，将其作为确保乌克兰和平计划的关键要素，并认为“北溪”水下管道恢复运营是“容易实现的目标”。该提议尚未落实，美方特使库什纳与威特科夫已就此探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纽约时报》称美方拟以恢复俄气采购换取乌克兰和平，可能为莫斯科带来数百亿美元收入；报道所述豁免范围包括对俄罗斯输美商品加征500%关税、对俄罗斯能源前五大购买国商品加征100%关税及针对官员、银行和组织的限制。美特使贾里德·库什纳与威特科夫已探讨重启途经乌克兰的俄天然气管道，并考虑恢复北溪管道，美国投资者也可分得部分利润。德国强烈反对并警告再度依赖俄能源威胁欧洲安全，德国选择党（AfD）则支持以压低能源价格。</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若实施可为俄罗斯带来数百亿美元收入并重获经济影响力；德国警告欧洲安全将受威胁。</w:t>
      </w:r>
    </w:p>
    <w:p>
      <w:pPr>
        <w:ind w:firstLine="420"/>
      </w:pPr>
      <w:r>
        <w:rPr>
          <w:rFonts w:ascii="微软雅黑" w:hAnsi="微软雅黑" w:eastAsia="微软雅黑" w:cs="微软雅黑"/>
        </w:rPr>
        <w:t>来源：</w:t>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12. 贝克休斯与Venture Global、GE Vernova签署美国天然气发电框架协议</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贝克休斯宣布与Venture Global和GE Vernova签署电力框架协议，支持美国的表后发电，服务于LNG生产及潜在的未来数据中心项目；交付计划安排在2028年至2034年之间。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下贝克休斯将提供控制与电气集成技术，包括E-house预制电气模块和电气控制系统，支持美国表后发电，服务LNG生产及潜在的未来数据中心项目。交付计划在2028年至2034年之间进行。该举措建立在贝克休斯此前在Venture Global设施部署的电力岛系统之上，形成可复制的模式。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双方称将此前在Venture Global设施部署的电力岛系统经验复制到新项目。</w:t>
      </w:r>
    </w:p>
    <w:p>
      <w:pPr>
        <w:ind w:firstLine="420"/>
      </w:pPr>
      <w:r>
        <w:rPr>
          <w:rFonts w:ascii="微软雅黑" w:hAnsi="微软雅黑" w:eastAsia="微软雅黑" w:cs="微软雅黑"/>
        </w:rPr>
        <w:t>来源：</w:t>
      </w:r>
      <w:hyperlink w:anchor="source-22478">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13. 三部门印发行动方案推动内河新能源船舶全场景应用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交通运输部等三部门印发行动方案，重点推动内河电动、甲醇动力船舶全场景应用，并提出到2028年内河新能源船舶保有量较2025年翻倍的目标。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交通运输部等三部门印发行动方案，聚焦内河电动船舶与甲醇动力船舶的全场景应用；量化目标为到2028年，内河新能源船舶保有量较2025年翻倍。该方案为已印发文件，目标为规划期目标，落地节奏尚待后续推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到2028年内河新能源船舶保有量较2025年翻倍</w:t>
      </w:r>
    </w:p>
    <w:p>
      <w:pPr>
        <w:ind w:firstLine="420"/>
      </w:pPr>
      <w:r>
        <w:rPr>
          <w:rFonts w:ascii="微软雅黑" w:hAnsi="微软雅黑" w:eastAsia="微软雅黑" w:cs="微软雅黑"/>
        </w:rPr>
        <w:t>来源：</w:t>
      </w:r>
      <w:hyperlink w:anchor="source-22041">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14. Quantum Leap Energy与南非Necsa成立合资企业开发HALEU</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美国上市公司ASP Isotopes全资子公司Quantum Leap Energy与南非核能公司Necsa签署具有约束力的商业框架，成立合资企业，在南非Pelindaba开发、融资、建设、拥有并运营试验台及商业规模的HALEU（高浓低浓铀）生产设施。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Quantum Leap Energy持有合资企业约80%股份并主导运营和资本安排，Necsa持有约20%，提供场址准入、核保障与监管支持。拟生产的HALEU已通过与先进反应堆开发商TerraPower的供应协议锁定承购。试验台设施已建成，其所在基础设施的翻新正在进行中，并与相关主管部门展开沟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该框架为先进反应堆用HALEU在南半球新增供应来源，但设施仍处于试验台已建成、基础设施翻新进行中的阶段。</w:t>
      </w:r>
    </w:p>
    <w:p>
      <w:pPr>
        <w:ind w:firstLine="420"/>
      </w:pPr>
      <w:r>
        <w:rPr>
          <w:rFonts w:ascii="微软雅黑" w:hAnsi="微软雅黑" w:eastAsia="微软雅黑" w:cs="微软雅黑"/>
        </w:rPr>
        <w:t>来源：</w:t>
      </w:r>
      <w:hyperlink w:anchor="source-22163">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15. Ember：清洁能源发电增量超过全球电力需求增量</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Ember智库土耳其和高加索地区负责人Alparslan表示，去年全球电力需求较上年增加849太瓦时，同期清洁能源发电量增加887太瓦时，其中太阳能增加636太瓦时、风电增加205太瓦时。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Alparslan认为化石能源向可再生能源的转型还需依靠工业、交通和建筑领域的电气化。数据显示清洁能源发电增量高于全球电力需求增量，可再生能源在满足全球电力需求中的作用日益重要。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按该数据，清洁能源发电增量（887太瓦时）已超过全球电力需求增量（849太瓦时）。</w:t>
      </w:r>
    </w:p>
    <w:p>
      <w:pPr>
        <w:ind w:firstLine="420"/>
      </w:pPr>
      <w:r>
        <w:rPr>
          <w:rFonts w:ascii="微软雅黑" w:hAnsi="微软雅黑" w:eastAsia="微软雅黑" w:cs="微软雅黑"/>
        </w:rPr>
        <w:t>来源：</w:t>
      </w:r>
      <w:hyperlink w:anchor="source-22544">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16. GlobalData预测南非可再生能源装机2035年前超过火电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GlobalData预测，受太阳能和风能项目扩张、私人投资及老旧燃煤电厂退役推动，南非可再生能源装机预计在2035年前超过火电；投资将集中于光伏、陆上风电、电池储能和输电基础设施。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预测称，发电许可门槛取消后，矿山、制造商、零售商等大型用户可直接向独立发电商购电，推动企业购电协议和输电转供（wheeling）扩大，私人电力交易通过双边合同和持牌交易商扩大。分析师指出核心制约正日益转向电网，风电和光伏主要走廊的输电容量已被大量占用。该结论为来源预测，非既成事实。</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输电容量在风电和光伏主要走廊已被大量占用，成为南非新能源扩张的核心制约。</w:t>
      </w:r>
    </w:p>
    <w:p>
      <w:pPr>
        <w:ind w:firstLine="420"/>
      </w:pPr>
      <w:r>
        <w:rPr>
          <w:rFonts w:ascii="微软雅黑" w:hAnsi="微软雅黑" w:eastAsia="微软雅黑" w:cs="微软雅黑"/>
        </w:rPr>
        <w:t>来源：</w:t>
      </w:r>
      <w:hyperlink w:anchor="source-22549">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赞比西河管理局削减卡里巴2027年发电用水配额36%</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赞比西河管理局批准2027年卡里巴大坝发电用水总量配额为230亿立方米，较2026年的360亿立方米减少36%，赞比亚与津巴布韦通过ZESCO和津巴布韦电力公司各获115亿立方米。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配额削减后，公告当日卡里巴电站出力415兆瓦，占津巴布韦1577兆瓦可用电力供应的26%。若2027年配额用满，管理局预计卡里巴湖年底水位降至476.80米，剩余可用水58.3亿立方米，相当于活库容的9%。</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津巴布韦可用电力供应中约四分之一来自卡里巴，配额下降将影响其水电出力与进口需求。</w:t>
      </w:r>
    </w:p>
    <w:p>
      <w:pPr>
        <w:ind w:firstLine="420"/>
      </w:pPr>
      <w:r>
        <w:rPr>
          <w:rFonts w:ascii="微软雅黑" w:hAnsi="微软雅黑" w:eastAsia="微软雅黑" w:cs="微软雅黑"/>
        </w:rPr>
        <w:t>来源：</w:t>
      </w:r>
      <w:hyperlink w:anchor="source-22162">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18. 习近平考察乌兰察布“东数西算”枢纽节点与绿色算力产业</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10月16日，习近平总书记在内蒙古乌兰察布察哈尔高新技术开发区考察，了解“东数西算”工程枢纽节点建设和绿色算力产业发展情况。乌兰察布有效风场面积占全国十分之一，年日照时数达3200小时。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习近平总书记在察哈尔高新技术开发区考察“东数西算”工程枢纽节点建设和绿色算力产业发展，要求算力行业落实高效、绿色、安全要求，注重“算电协同”“算水协同”，推动绿色算力产业发展；并要求加强科学规划、要素支撑、安全保障，确保已建成项目高效运行并如期完成后续项目建设，把算力优势转化为发展优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官方要求推动“算电协同”“算水协同”，并确保已建成项目高效运行、后续项目如期建成。</w:t>
      </w:r>
    </w:p>
    <w:p>
      <w:pPr>
        <w:ind w:firstLine="420"/>
      </w:pPr>
      <w:r>
        <w:rPr>
          <w:rFonts w:ascii="微软雅黑" w:hAnsi="微软雅黑" w:eastAsia="微软雅黑" w:cs="微软雅黑"/>
        </w:rPr>
        <w:t>来源：</w:t>
      </w:r>
      <w:hyperlink w:anchor="source-22614">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19. 中国拟禁止钙钛矿硅叠层太阳能电池生产技术出口</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中国商务部与科技部发布《禁止出口限制出口技术目录》修订草案，拟全面禁止钙钛矿硅叠层太阳能电池生产工艺及相关设备制造技术的出口，并列出对应的禁止出口技术范围。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禁令涵盖在182毫米及以上硅片上制备、转换效率达30%及以上的叠层电池相关技术；列入限制类的技术须经政府批准并取得许可方可向境外转让。成品电池和组件不受直接影响，但技术许可、海外产线安装调试、设备出口和现场技术支持可能被禁止或需要审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成品电池和组件出口不受直接影响，海外产线安装调试、设备出口与现场技术支持面临禁止或审批要求。</w:t>
      </w:r>
    </w:p>
    <w:p>
      <w:pPr>
        <w:ind w:firstLine="420"/>
      </w:pPr>
      <w:r>
        <w:rPr>
          <w:rFonts w:ascii="微软雅黑" w:hAnsi="微软雅黑" w:eastAsia="微软雅黑" w:cs="微软雅黑"/>
        </w:rPr>
        <w:t>来源：</w:t>
      </w:r>
      <w:hyperlink w:anchor="source-22447">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20. 工信部等三部门批准五个城市群开展氢能综合应用试点</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财政部、国家发展改革委16日发布通知，原则同意京津冀、大湾区、东北（含蒙东）—长三角、新疆—成渝地区双城经济圈、黄河几字弯—中原5个城市群的氢能综合应用试点工作方案，试点为期4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经形式审查、专家评审、现场答辩，三部门原则同意上述5个城市群方案，并将跟踪指导、考核评价，评价结果作为中央财政安排奖励资金的依据。各城市需推进氢能技术装备攻关、工业领域氢能项目、燃料电池汽车推广、加氢站建设4张清单落地，建立安全管理制度并明确责任部门。通知要求中央财政奖励资金及时拨付到位，降低用氢成本并传导至终端；资金由地方统筹用于氢能综合应用，不得用于平衡预算、偿还政府债务或清理拖欠企业账款。</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中央财政奖励资金将依据考核评价结果安排，要求降低用氢成本并传导至终端。</w:t>
      </w:r>
    </w:p>
    <w:p>
      <w:pPr>
        <w:ind w:firstLine="420"/>
      </w:pPr>
      <w:r>
        <w:rPr>
          <w:rFonts w:ascii="微软雅黑" w:hAnsi="微软雅黑" w:eastAsia="微软雅黑" w:cs="微软雅黑"/>
        </w:rPr>
        <w:t>来源：</w:t>
      </w:r>
      <w:hyperlink w:anchor="source-22452">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需关注美方对伊方条件的回应及伊朗评估结果，以及海峡实际通行是否恢复。 </w:t>
      </w:r>
      <w:hyperlink w:anchor="source-22573">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261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报道称俄副总理诺瓦克表示，莫斯科准备10月向美国和国际市场供应30万吨柴油、11月50万吨、12月可达100万吨；上述均为美方计划与表态，尚非已达成协议。 </w:t>
      </w:r>
      <w:hyperlink w:anchor="source-22176">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007">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北溪恢复对欧供气取决于欧洲方面决定。 </w:t>
      </w:r>
      <w:hyperlink w:anchor="source-2247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草案尚为修订草案，技术许可与设备出口的具体审批执行情况待明确。 </w:t>
      </w:r>
      <w:hyperlink w:anchor="source-224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已建成项目高效运行、后续项目建设如期完成仍需加强科学规划、要素支撑与安全保障。 </w:t>
      </w:r>
      <w:hyperlink w:anchor="source-22614">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Alparslan指出转型还需工业、交通和建筑领域电气化配合。 </w:t>
      </w:r>
      <w:hyperlink w:anchor="source-22544">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70 篇文章，形成 69 篇有效能源材料；正文引用 25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pStyle w:val="Heading2"/>
      </w:pPr>
      <w:r>
        <w:rPr>
          <w:rFonts w:ascii="微软雅黑" w:hAnsi="微软雅黑" w:eastAsia="微软雅黑" w:cs="微软雅黑"/>
        </w:rPr>
        <w:t>资料来源</w:t>
      </w:r>
    </w:p>
    <w:p>
      <w:pPr>
        <w:spacing w:after="0" w:line="20" w:lineRule="exact"/>
      </w:pPr>
      <w:bookmarkStart w:id="1" w:name="source-22573"/>
      <w:bookmarkEnd w:id="1" w:name="source-22573"/>
    </w:p>
    <w:p>
      <w:pPr>
        <w:pStyle w:val="ListBullet"/>
      </w:pPr>
      <w:r>
        <w:rPr>
          <w:rFonts w:ascii="微软雅黑" w:hAnsi="微软雅黑" w:eastAsia="微软雅黑" w:cs="微软雅黑"/>
        </w:rPr>
        <w:t>[1] 人民财讯等｜</w:t>
      </w:r>
      <w:hyperlink r:id="rId11">
        <w:r>
          <w:rPr>
            <w:rFonts w:ascii="微软雅黑" w:hAnsi="微软雅黑" w:eastAsia="微软雅黑" w:cs="微软雅黑"/>
            <w:color w:val="087E89"/>
          </w:rPr>
          <w:t>伊朗：重开霍尔木兹计划仍在谈判桌上</w:t>
        </w:r>
      </w:hyperlink>
      <w:r>
        <w:rPr>
          <w:rFonts w:ascii="微软雅黑" w:hAnsi="微软雅黑" w:eastAsia="微软雅黑" w:cs="微软雅黑"/>
        </w:rPr>
      </w:r>
    </w:p>
    <w:p>
      <w:pPr>
        <w:spacing w:after="0" w:line="20" w:lineRule="exact"/>
      </w:pPr>
      <w:bookmarkStart w:id="2" w:name="source-22615"/>
      <w:bookmarkEnd w:id="2" w:name="source-22615"/>
    </w:p>
    <w:p>
      <w:pPr>
        <w:pStyle w:val="ListBullet"/>
      </w:pPr>
      <w:r>
        <w:rPr>
          <w:rFonts w:ascii="微软雅黑" w:hAnsi="微软雅黑" w:eastAsia="微软雅黑" w:cs="微软雅黑"/>
        </w:rPr>
        <w:t>[2] 新华社国际要闻（战略与能源）｜</w:t>
      </w:r>
      <w:hyperlink r:id="rId12">
        <w:r>
          <w:rPr>
            <w:rFonts w:ascii="微软雅黑" w:hAnsi="微软雅黑" w:eastAsia="微软雅黑" w:cs="微软雅黑"/>
            <w:color w:val="087E89"/>
          </w:rPr>
          <w:t>伊朗外长说“七日内重开霍尔木兹海峡”提议依然有效</w:t>
        </w:r>
      </w:hyperlink>
      <w:r>
        <w:rPr>
          <w:rFonts w:ascii="微软雅黑" w:hAnsi="微软雅黑" w:eastAsia="微软雅黑" w:cs="微软雅黑"/>
        </w:rPr>
      </w:r>
    </w:p>
    <w:p>
      <w:pPr>
        <w:spacing w:after="0" w:line="20" w:lineRule="exact"/>
      </w:pPr>
      <w:bookmarkStart w:id="3" w:name="source-22176"/>
      <w:bookmarkEnd w:id="3" w:name="source-22176"/>
    </w:p>
    <w:p>
      <w:pPr>
        <w:pStyle w:val="ListBullet"/>
      </w:pPr>
      <w:r>
        <w:rPr>
          <w:rFonts w:ascii="微软雅黑" w:hAnsi="微软雅黑" w:eastAsia="微软雅黑" w:cs="微软雅黑"/>
        </w:rPr>
        <w:t>[3] 俄罗斯卫星通讯社｜</w:t>
      </w:r>
      <w:hyperlink r:id="rId13">
        <w:r>
          <w:rPr>
            <w:rFonts w:ascii="微软雅黑" w:hAnsi="微软雅黑" w:eastAsia="微软雅黑" w:cs="微软雅黑"/>
            <w:color w:val="087E89"/>
          </w:rPr>
          <w:t>媒体：美国拟提议欧洲恢复采购俄罗斯天然气</w:t>
        </w:r>
      </w:hyperlink>
      <w:r>
        <w:rPr>
          <w:rFonts w:ascii="微软雅黑" w:hAnsi="微软雅黑" w:eastAsia="微软雅黑" w:cs="微软雅黑"/>
        </w:rPr>
      </w:r>
    </w:p>
    <w:p>
      <w:pPr>
        <w:spacing w:after="0" w:line="20" w:lineRule="exact"/>
      </w:pPr>
      <w:bookmarkStart w:id="4" w:name="source-22007"/>
      <w:bookmarkEnd w:id="4" w:name="source-22007"/>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特朗普政府提议乌和平协议包含欧洲重购俄天然气，德国明确反对</w:t>
        </w:r>
      </w:hyperlink>
      <w:r>
        <w:rPr>
          <w:rFonts w:ascii="微软雅黑" w:hAnsi="微软雅黑" w:eastAsia="微软雅黑" w:cs="微软雅黑"/>
        </w:rPr>
      </w:r>
    </w:p>
    <w:p>
      <w:pPr>
        <w:spacing w:after="0" w:line="20" w:lineRule="exact"/>
      </w:pPr>
      <w:bookmarkStart w:id="5" w:name="source-22477"/>
      <w:bookmarkEnd w:id="5" w:name="source-22477"/>
    </w:p>
    <w:p>
      <w:pPr>
        <w:pStyle w:val="ListBullet"/>
      </w:pPr>
      <w:r>
        <w:rPr>
          <w:rFonts w:ascii="微软雅黑" w:hAnsi="微软雅黑" w:eastAsia="微软雅黑" w:cs="微软雅黑"/>
        </w:rPr>
        <w:t>[5] Anadolu Agency｜</w:t>
      </w:r>
      <w:hyperlink r:id="rId15">
        <w:r>
          <w:rPr>
            <w:rFonts w:ascii="微软雅黑" w:hAnsi="微软雅黑" w:eastAsia="微软雅黑" w:cs="微软雅黑"/>
            <w:color w:val="087E89"/>
          </w:rPr>
          <w:t>莫斯科称，首艘运载俄罗斯石油驶向世界市场的油轮已经启航</w:t>
        </w:r>
      </w:hyperlink>
      <w:r>
        <w:rPr>
          <w:rFonts w:ascii="微软雅黑" w:hAnsi="微软雅黑" w:eastAsia="微软雅黑" w:cs="微软雅黑"/>
        </w:rPr>
      </w:r>
    </w:p>
    <w:p>
      <w:pPr>
        <w:spacing w:after="0" w:line="20" w:lineRule="exact"/>
      </w:pPr>
      <w:bookmarkStart w:id="6" w:name="source-22447"/>
      <w:bookmarkEnd w:id="6" w:name="source-22447"/>
    </w:p>
    <w:p>
      <w:pPr>
        <w:pStyle w:val="ListBullet"/>
      </w:pPr>
      <w:r>
        <w:rPr>
          <w:rFonts w:ascii="微软雅黑" w:hAnsi="微软雅黑" w:eastAsia="微软雅黑" w:cs="微软雅黑"/>
        </w:rPr>
        <w:t>[6] Green Building Africa｜</w:t>
      </w:r>
      <w:hyperlink r:id="rId16">
        <w:r>
          <w:rPr>
            <w:rFonts w:ascii="微软雅黑" w:hAnsi="微软雅黑" w:eastAsia="微软雅黑" w:cs="微软雅黑"/>
            <w:color w:val="087E89"/>
          </w:rPr>
          <w:t>中国采取措施限制先进太阳能制造技术出口</w:t>
        </w:r>
      </w:hyperlink>
      <w:r>
        <w:rPr>
          <w:rFonts w:ascii="微软雅黑" w:hAnsi="微软雅黑" w:eastAsia="微软雅黑" w:cs="微软雅黑"/>
        </w:rPr>
      </w:r>
    </w:p>
    <w:p>
      <w:pPr>
        <w:spacing w:after="0" w:line="20" w:lineRule="exact"/>
      </w:pPr>
      <w:bookmarkStart w:id="7" w:name="source-22614"/>
      <w:bookmarkEnd w:id="7" w:name="source-22614"/>
    </w:p>
    <w:p>
      <w:pPr>
        <w:pStyle w:val="ListBullet"/>
      </w:pPr>
      <w:r>
        <w:rPr>
          <w:rFonts w:ascii="微软雅黑" w:hAnsi="微软雅黑" w:eastAsia="微软雅黑" w:cs="微软雅黑"/>
        </w:rPr>
        <w:t>[7] 人民日报｜</w:t>
      </w:r>
      <w:hyperlink r:id="rId17">
        <w:r>
          <w:rPr>
            <w:rFonts w:ascii="微软雅黑" w:hAnsi="微软雅黑" w:eastAsia="微软雅黑" w:cs="微软雅黑"/>
            <w:color w:val="087E89"/>
          </w:rPr>
          <w:t>时政微观察丨内蒙古之行，总书记考察算力产业有何深意？</w:t>
        </w:r>
      </w:hyperlink>
      <w:r>
        <w:rPr>
          <w:rFonts w:ascii="微软雅黑" w:hAnsi="微软雅黑" w:eastAsia="微软雅黑" w:cs="微软雅黑"/>
        </w:rPr>
      </w:r>
    </w:p>
    <w:p>
      <w:pPr>
        <w:spacing w:after="0" w:line="20" w:lineRule="exact"/>
      </w:pPr>
      <w:bookmarkStart w:id="8" w:name="source-22544"/>
      <w:bookmarkEnd w:id="8" w:name="source-22544"/>
    </w:p>
    <w:p>
      <w:pPr>
        <w:pStyle w:val="ListBullet"/>
      </w:pPr>
      <w:r>
        <w:rPr>
          <w:rFonts w:ascii="微软雅黑" w:hAnsi="微软雅黑" w:eastAsia="微软雅黑" w:cs="微软雅黑"/>
        </w:rPr>
        <w:t>[8] Anadolu Agency｜</w:t>
      </w:r>
      <w:hyperlink r:id="rId18">
        <w:r>
          <w:rPr>
            <w:rFonts w:ascii="微软雅黑" w:hAnsi="微软雅黑" w:eastAsia="微软雅黑" w:cs="微软雅黑"/>
            <w:color w:val="087E89"/>
          </w:rPr>
          <w:t>清洁能源在满足不断增长的全球电力需求方面发挥着日益重要的作用</w:t>
        </w:r>
      </w:hyperlink>
      <w:r>
        <w:rPr>
          <w:rFonts w:ascii="微软雅黑" w:hAnsi="微软雅黑" w:eastAsia="微软雅黑" w:cs="微软雅黑"/>
        </w:rPr>
      </w:r>
    </w:p>
    <w:p>
      <w:pPr>
        <w:spacing w:after="0" w:line="20" w:lineRule="exact"/>
      </w:pPr>
      <w:bookmarkStart w:id="9" w:name="source-22163"/>
      <w:bookmarkEnd w:id="9" w:name="source-22163"/>
    </w:p>
    <w:p>
      <w:pPr>
        <w:pStyle w:val="ListBullet"/>
      </w:pPr>
      <w:r>
        <w:rPr>
          <w:rFonts w:ascii="微软雅黑" w:hAnsi="微软雅黑" w:eastAsia="微软雅黑" w:cs="微软雅黑"/>
        </w:rPr>
        <w:t>[9] Green Building Africa｜</w:t>
      </w:r>
      <w:hyperlink r:id="rId19">
        <w:r>
          <w:rPr>
            <w:rFonts w:ascii="微软雅黑" w:hAnsi="微软雅黑" w:eastAsia="微软雅黑" w:cs="微软雅黑"/>
            <w:color w:val="087E89"/>
          </w:rPr>
          <w:t>Quantum Leap Energy 与南非核能公司（Necsa）成立合资企业，在南非生产低浓缩铀</w:t>
        </w:r>
      </w:hyperlink>
      <w:r>
        <w:rPr>
          <w:rFonts w:ascii="微软雅黑" w:hAnsi="微软雅黑" w:eastAsia="微软雅黑" w:cs="微软雅黑"/>
        </w:rPr>
      </w:r>
    </w:p>
    <w:p>
      <w:pPr>
        <w:spacing w:after="0" w:line="20" w:lineRule="exact"/>
      </w:pPr>
      <w:bookmarkStart w:id="10" w:name="source-22041"/>
      <w:bookmarkEnd w:id="10" w:name="source-22041"/>
    </w:p>
    <w:p>
      <w:pPr>
        <w:pStyle w:val="ListBullet"/>
      </w:pPr>
      <w:r>
        <w:rPr>
          <w:rFonts w:ascii="微软雅黑" w:hAnsi="微软雅黑" w:eastAsia="微软雅黑" w:cs="微软雅黑"/>
        </w:rPr>
        <w:t>[10] Mysteel｜</w:t>
      </w:r>
      <w:hyperlink r:id="rId20">
        <w:r>
          <w:rPr>
            <w:rFonts w:ascii="微软雅黑" w:hAnsi="微软雅黑" w:eastAsia="微软雅黑" w:cs="微软雅黑"/>
            <w:color w:val="087E89"/>
          </w:rPr>
          <w:t>Mysteel宏观周报：国常会部署深化“人工智能+”行动，山西加快煤矿复产保供</w:t>
        </w:r>
      </w:hyperlink>
      <w:r>
        <w:rPr>
          <w:rFonts w:ascii="微软雅黑" w:hAnsi="微软雅黑" w:eastAsia="微软雅黑" w:cs="微软雅黑"/>
        </w:rPr>
      </w:r>
    </w:p>
    <w:p>
      <w:pPr>
        <w:spacing w:after="0" w:line="20" w:lineRule="exact"/>
      </w:pPr>
      <w:bookmarkStart w:id="11" w:name="source-22513"/>
      <w:bookmarkEnd w:id="11" w:name="source-22513"/>
    </w:p>
    <w:p>
      <w:pPr>
        <w:pStyle w:val="ListBullet"/>
      </w:pPr>
      <w:r>
        <w:rPr>
          <w:rFonts w:ascii="微软雅黑" w:hAnsi="微软雅黑" w:eastAsia="微软雅黑" w:cs="微软雅黑"/>
        </w:rPr>
        <w:t>[11] 新浪财经美股市场（经济）｜</w:t>
      </w:r>
      <w:hyperlink r:id="rId21">
        <w:r>
          <w:rPr>
            <w:rFonts w:ascii="微软雅黑" w:hAnsi="微软雅黑" w:eastAsia="微软雅黑" w:cs="微软雅黑"/>
            <w:color w:val="087E89"/>
          </w:rPr>
          <w:t>霍尔木兹海峡航运再受威胁：伊朗称两艘超级油轮触雷起火，沙特与胡塞武装冲突升级</w:t>
        </w:r>
      </w:hyperlink>
      <w:r>
        <w:rPr>
          <w:rFonts w:ascii="微软雅黑" w:hAnsi="微软雅黑" w:eastAsia="微软雅黑" w:cs="微软雅黑"/>
        </w:rPr>
      </w:r>
    </w:p>
    <w:p>
      <w:pPr>
        <w:spacing w:after="0" w:line="20" w:lineRule="exact"/>
      </w:pPr>
      <w:bookmarkStart w:id="12" w:name="source-22049"/>
      <w:bookmarkEnd w:id="12" w:name="source-22049"/>
    </w:p>
    <w:p>
      <w:pPr>
        <w:pStyle w:val="ListBullet"/>
      </w:pPr>
      <w:r>
        <w:rPr>
          <w:rFonts w:ascii="微软雅黑" w:hAnsi="微软雅黑" w:eastAsia="微软雅黑" w:cs="微软雅黑"/>
        </w:rPr>
        <w:t>[12] 新浪财经｜</w:t>
      </w:r>
      <w:hyperlink r:id="rId22">
        <w:r>
          <w:rPr>
            <w:rFonts w:ascii="微软雅黑" w:hAnsi="微软雅黑" w:eastAsia="微软雅黑" w:cs="微软雅黑"/>
            <w:color w:val="087E89"/>
          </w:rPr>
          <w:t>伊开火拦截霍尔木兹海峡“违规”船只 乌称最快下周与美举行会谈</w:t>
        </w:r>
      </w:hyperlink>
      <w:r>
        <w:rPr>
          <w:rFonts w:ascii="微软雅黑" w:hAnsi="微软雅黑" w:eastAsia="微软雅黑" w:cs="微软雅黑"/>
        </w:rPr>
      </w:r>
    </w:p>
    <w:p>
      <w:pPr>
        <w:spacing w:after="0" w:line="20" w:lineRule="exact"/>
      </w:pPr>
      <w:bookmarkStart w:id="13" w:name="source-22006"/>
      <w:bookmarkEnd w:id="13" w:name="source-22006"/>
    </w:p>
    <w:p>
      <w:pPr>
        <w:pStyle w:val="ListBullet"/>
      </w:pPr>
      <w:r>
        <w:rPr>
          <w:rFonts w:ascii="微软雅黑" w:hAnsi="微软雅黑" w:eastAsia="微软雅黑" w:cs="微软雅黑"/>
        </w:rPr>
        <w:t>[13] Interfax｜</w:t>
      </w:r>
      <w:hyperlink r:id="rId23">
        <w:r>
          <w:rPr>
            <w:rFonts w:ascii="微软雅黑" w:hAnsi="微软雅黑" w:eastAsia="微软雅黑" w:cs="微软雅黑"/>
            <w:color w:val="087E89"/>
          </w:rPr>
          <w:t>诺瓦克表示，国际能源署（IEA）国家释放石油储备无法弥补全球石油供应缺口</w:t>
        </w:r>
      </w:hyperlink>
      <w:r>
        <w:rPr>
          <w:rFonts w:ascii="微软雅黑" w:hAnsi="微软雅黑" w:eastAsia="微软雅黑" w:cs="微软雅黑"/>
        </w:rPr>
      </w:r>
    </w:p>
    <w:p>
      <w:pPr>
        <w:spacing w:after="0" w:line="20" w:lineRule="exact"/>
      </w:pPr>
      <w:bookmarkStart w:id="14" w:name="source-22452"/>
      <w:bookmarkEnd w:id="14" w:name="source-22452"/>
    </w:p>
    <w:p>
      <w:pPr>
        <w:pStyle w:val="ListBullet"/>
      </w:pPr>
      <w:r>
        <w:rPr>
          <w:rFonts w:ascii="微软雅黑" w:hAnsi="微软雅黑" w:eastAsia="微软雅黑" w:cs="微软雅黑"/>
        </w:rPr>
        <w:t>[14] 人民日报｜</w:t>
      </w:r>
      <w:hyperlink r:id="rId24">
        <w:r>
          <w:rPr>
            <w:rFonts w:ascii="微软雅黑" w:hAnsi="微软雅黑" w:eastAsia="微软雅黑" w:cs="微软雅黑"/>
            <w:color w:val="087E89"/>
          </w:rPr>
          <w:t>京津冀等五个城市群将开展氢能综合应用试点</w:t>
        </w:r>
      </w:hyperlink>
      <w:r>
        <w:rPr>
          <w:rFonts w:ascii="微软雅黑" w:hAnsi="微软雅黑" w:eastAsia="微软雅黑" w:cs="微软雅黑"/>
        </w:rPr>
      </w:r>
    </w:p>
    <w:p>
      <w:pPr>
        <w:spacing w:after="0" w:line="20" w:lineRule="exact"/>
      </w:pPr>
      <w:bookmarkStart w:id="15" w:name="source-22549"/>
      <w:bookmarkEnd w:id="15" w:name="source-22549"/>
    </w:p>
    <w:p>
      <w:pPr>
        <w:pStyle w:val="ListBullet"/>
      </w:pPr>
      <w:r>
        <w:rPr>
          <w:rFonts w:ascii="微软雅黑" w:hAnsi="微软雅黑" w:eastAsia="微软雅黑" w:cs="微软雅黑"/>
        </w:rPr>
        <w:t>[15] OGN News｜</w:t>
      </w:r>
      <w:hyperlink r:id="rId25">
        <w:r>
          <w:rPr>
            <w:rFonts w:ascii="微软雅黑" w:hAnsi="微软雅黑" w:eastAsia="微软雅黑" w:cs="微软雅黑"/>
            <w:color w:val="087E89"/>
          </w:rPr>
          <w:t>南非新能源发电量2035年将超过火电</w:t>
        </w:r>
      </w:hyperlink>
      <w:r>
        <w:rPr>
          <w:rFonts w:ascii="微软雅黑" w:hAnsi="微软雅黑" w:eastAsia="微软雅黑" w:cs="微软雅黑"/>
        </w:rPr>
      </w:r>
    </w:p>
    <w:p>
      <w:pPr>
        <w:spacing w:after="0" w:line="20" w:lineRule="exact"/>
      </w:pPr>
      <w:bookmarkStart w:id="16" w:name="source-22478"/>
      <w:bookmarkEnd w:id="16" w:name="source-22478"/>
    </w:p>
    <w:p>
      <w:pPr>
        <w:pStyle w:val="ListBullet"/>
      </w:pPr>
      <w:r>
        <w:rPr>
          <w:rFonts w:ascii="微软雅黑" w:hAnsi="微软雅黑" w:eastAsia="微软雅黑" w:cs="微软雅黑"/>
        </w:rPr>
        <w:t>[16] OGN News｜</w:t>
      </w:r>
      <w:hyperlink r:id="rId26">
        <w:r>
          <w:rPr>
            <w:rFonts w:ascii="微软雅黑" w:hAnsi="微软雅黑" w:eastAsia="微软雅黑" w:cs="微软雅黑"/>
            <w:color w:val="087E89"/>
          </w:rPr>
          <w:t>贝克休斯、Venture Global、GE Vernova签署美国天然气发电协议</w:t>
        </w:r>
      </w:hyperlink>
      <w:r>
        <w:rPr>
          <w:rFonts w:ascii="微软雅黑" w:hAnsi="微软雅黑" w:eastAsia="微软雅黑" w:cs="微软雅黑"/>
        </w:rPr>
      </w:r>
    </w:p>
    <w:p>
      <w:pPr>
        <w:spacing w:after="0" w:line="20" w:lineRule="exact"/>
      </w:pPr>
      <w:bookmarkStart w:id="17" w:name="source-22047"/>
      <w:bookmarkEnd w:id="17" w:name="source-22047"/>
    </w:p>
    <w:p>
      <w:pPr>
        <w:pStyle w:val="ListBullet"/>
      </w:pPr>
      <w:r>
        <w:rPr>
          <w:rFonts w:ascii="微软雅黑" w:hAnsi="微软雅黑" w:eastAsia="微软雅黑" w:cs="微软雅黑"/>
        </w:rPr>
        <w:t>[17] 人民财讯等｜</w:t>
      </w:r>
      <w:hyperlink r:id="rId27">
        <w:r>
          <w:rPr>
            <w:rFonts w:ascii="微软雅黑" w:hAnsi="微软雅黑" w:eastAsia="微软雅黑" w:cs="微软雅黑"/>
            <w:color w:val="087E89"/>
          </w:rPr>
          <w:t>俄国防部称大规模打击乌能源设施</w:t>
        </w:r>
      </w:hyperlink>
      <w:r>
        <w:rPr>
          <w:rFonts w:ascii="微软雅黑" w:hAnsi="微软雅黑" w:eastAsia="微软雅黑" w:cs="微软雅黑"/>
        </w:rPr>
      </w:r>
    </w:p>
    <w:p>
      <w:pPr>
        <w:spacing w:after="0" w:line="20" w:lineRule="exact"/>
      </w:pPr>
      <w:bookmarkStart w:id="18" w:name="source-22012"/>
      <w:bookmarkEnd w:id="18" w:name="source-22012"/>
    </w:p>
    <w:p>
      <w:pPr>
        <w:pStyle w:val="ListBullet"/>
      </w:pPr>
      <w:r>
        <w:rPr>
          <w:rFonts w:ascii="微软雅黑" w:hAnsi="微软雅黑" w:eastAsia="微软雅黑" w:cs="微软雅黑"/>
        </w:rPr>
        <w:t>[18] 叙利亚通讯社｜</w:t>
      </w:r>
      <w:hyperlink r:id="rId28">
        <w:r>
          <w:rPr>
            <w:rFonts w:ascii="微软雅黑" w:hAnsi="微软雅黑" w:eastAsia="微软雅黑" w:cs="微软雅黑"/>
            <w:color w:val="087E89"/>
          </w:rPr>
          <w:t>泽连斯基：俄罗斯大规模袭击瞄准乌克兰能源基础设施</w:t>
        </w:r>
      </w:hyperlink>
      <w:r>
        <w:rPr>
          <w:rFonts w:ascii="微软雅黑" w:hAnsi="微软雅黑" w:eastAsia="微软雅黑" w:cs="微软雅黑"/>
        </w:rPr>
      </w:r>
    </w:p>
    <w:p>
      <w:pPr>
        <w:spacing w:after="0" w:line="20" w:lineRule="exact"/>
      </w:pPr>
      <w:bookmarkStart w:id="19" w:name="source-22565"/>
      <w:bookmarkEnd w:id="19" w:name="source-22565"/>
    </w:p>
    <w:p>
      <w:pPr>
        <w:pStyle w:val="ListBullet"/>
      </w:pPr>
      <w:r>
        <w:rPr>
          <w:rFonts w:ascii="微软雅黑" w:hAnsi="微软雅黑" w:eastAsia="微软雅黑" w:cs="微软雅黑"/>
        </w:rPr>
        <w:t>[19] 新华社国际要闻（战略与能源）｜</w:t>
      </w:r>
      <w:hyperlink r:id="rId29">
        <w:r>
          <w:rPr>
            <w:rFonts w:ascii="微软雅黑" w:hAnsi="微软雅黑" w:eastAsia="微软雅黑" w:cs="微软雅黑"/>
            <w:color w:val="087E89"/>
          </w:rPr>
          <w:t>乌克兰多地能源设施遇袭致断电</w:t>
        </w:r>
      </w:hyperlink>
      <w:r>
        <w:rPr>
          <w:rFonts w:ascii="微软雅黑" w:hAnsi="微软雅黑" w:eastAsia="微软雅黑" w:cs="微软雅黑"/>
        </w:rPr>
      </w:r>
    </w:p>
    <w:p>
      <w:pPr>
        <w:spacing w:after="0" w:line="20" w:lineRule="exact"/>
      </w:pPr>
      <w:bookmarkStart w:id="20" w:name="source-22562"/>
      <w:bookmarkEnd w:id="20" w:name="source-22562"/>
    </w:p>
    <w:p>
      <w:pPr>
        <w:pStyle w:val="ListBullet"/>
      </w:pPr>
      <w:r>
        <w:rPr>
          <w:rFonts w:ascii="微软雅黑" w:hAnsi="微软雅黑" w:eastAsia="微软雅黑" w:cs="微软雅黑"/>
        </w:rPr>
        <w:t>[20] 俄罗斯卫星通讯社｜</w:t>
      </w:r>
      <w:hyperlink r:id="rId30">
        <w:r>
          <w:rPr>
            <w:rFonts w:ascii="微软雅黑" w:hAnsi="微软雅黑" w:eastAsia="微软雅黑" w:cs="微软雅黑"/>
            <w:color w:val="087E89"/>
          </w:rPr>
          <w:t>委内瑞拉代总统：该国预计未来五年石油和天然气投资额约为760亿美元</w:t>
        </w:r>
      </w:hyperlink>
      <w:r>
        <w:rPr>
          <w:rFonts w:ascii="微软雅黑" w:hAnsi="微软雅黑" w:eastAsia="微软雅黑" w:cs="微软雅黑"/>
        </w:rPr>
      </w:r>
    </w:p>
    <w:p>
      <w:pPr>
        <w:spacing w:after="0" w:line="20" w:lineRule="exact"/>
      </w:pPr>
      <w:bookmarkStart w:id="21" w:name="source-22162"/>
      <w:bookmarkEnd w:id="21" w:name="source-22162"/>
    </w:p>
    <w:p>
      <w:pPr>
        <w:pStyle w:val="ListBullet"/>
      </w:pPr>
      <w:r>
        <w:rPr>
          <w:rFonts w:ascii="微软雅黑" w:hAnsi="微软雅黑" w:eastAsia="微软雅黑" w:cs="微软雅黑"/>
        </w:rPr>
        <w:t>[21] Green Building Africa｜</w:t>
      </w:r>
      <w:hyperlink r:id="rId31">
        <w:r>
          <w:rPr>
            <w:rFonts w:ascii="微软雅黑" w:hAnsi="微软雅黑" w:eastAsia="微软雅黑" w:cs="微软雅黑"/>
            <w:color w:val="087E89"/>
          </w:rPr>
          <w:t>赞比西河管理局削减2027年卡里巴发电用水分配</w:t>
        </w:r>
      </w:hyperlink>
      <w:r>
        <w:rPr>
          <w:rFonts w:ascii="微软雅黑" w:hAnsi="微软雅黑" w:eastAsia="微软雅黑" w:cs="微软雅黑"/>
        </w:rPr>
      </w:r>
    </w:p>
    <w:p>
      <w:pPr>
        <w:spacing w:after="0" w:line="20" w:lineRule="exact"/>
      </w:pPr>
      <w:bookmarkStart w:id="22" w:name="source-22621"/>
      <w:bookmarkEnd w:id="22" w:name="source-22621"/>
    </w:p>
    <w:p>
      <w:pPr>
        <w:pStyle w:val="ListBullet"/>
      </w:pPr>
      <w:r>
        <w:rPr>
          <w:rFonts w:ascii="微软雅黑" w:hAnsi="微软雅黑" w:eastAsia="微软雅黑" w:cs="微软雅黑"/>
        </w:rPr>
        <w:t>[22] 人民财讯等｜</w:t>
      </w:r>
      <w:hyperlink r:id="rId32">
        <w:r>
          <w:rPr>
            <w:rFonts w:ascii="微软雅黑" w:hAnsi="微软雅黑" w:eastAsia="微软雅黑" w:cs="微软雅黑"/>
            <w:color w:val="087E89"/>
          </w:rPr>
          <w:t>乌称无人机袭击圣彼得堡数据中心及两处石油设施</w:t>
        </w:r>
      </w:hyperlink>
      <w:r>
        <w:rPr>
          <w:rFonts w:ascii="微软雅黑" w:hAnsi="微软雅黑" w:eastAsia="微软雅黑" w:cs="微软雅黑"/>
        </w:rPr>
      </w:r>
    </w:p>
    <w:p>
      <w:pPr>
        <w:spacing w:after="0" w:line="20" w:lineRule="exact"/>
      </w:pPr>
      <w:bookmarkStart w:id="23" w:name="source-22545"/>
      <w:bookmarkEnd w:id="23" w:name="source-22545"/>
    </w:p>
    <w:p>
      <w:pPr>
        <w:pStyle w:val="ListBullet"/>
      </w:pPr>
      <w:r>
        <w:rPr>
          <w:rFonts w:ascii="微软雅黑" w:hAnsi="微软雅黑" w:eastAsia="微软雅黑" w:cs="微软雅黑"/>
        </w:rPr>
        <w:t>[23] OGN News｜</w:t>
      </w:r>
      <w:hyperlink r:id="rId33">
        <w:r>
          <w:rPr>
            <w:rFonts w:ascii="微软雅黑" w:hAnsi="微软雅黑" w:eastAsia="微软雅黑" w:cs="微软雅黑"/>
            <w:color w:val="087E89"/>
          </w:rPr>
          <w:t>石油巨头敦促南非加快许可审批，释放能源投资</w:t>
        </w:r>
      </w:hyperlink>
      <w:r>
        <w:rPr>
          <w:rFonts w:ascii="微软雅黑" w:hAnsi="微软雅黑" w:eastAsia="微软雅黑" w:cs="微软雅黑"/>
        </w:rPr>
      </w:r>
    </w:p>
    <w:p>
      <w:pPr>
        <w:spacing w:after="0" w:line="20" w:lineRule="exact"/>
      </w:pPr>
      <w:bookmarkStart w:id="24" w:name="source-22566"/>
      <w:bookmarkEnd w:id="24" w:name="source-22566"/>
    </w:p>
    <w:p>
      <w:pPr>
        <w:pStyle w:val="ListBullet"/>
      </w:pPr>
      <w:r>
        <w:rPr>
          <w:rFonts w:ascii="微软雅黑" w:hAnsi="微软雅黑" w:eastAsia="微软雅黑" w:cs="微软雅黑"/>
        </w:rPr>
        <w:t>[24] 新华社国际要闻（战略与能源）｜</w:t>
      </w:r>
      <w:hyperlink r:id="rId34">
        <w:r>
          <w:rPr>
            <w:rFonts w:ascii="微软雅黑" w:hAnsi="微软雅黑" w:eastAsia="微软雅黑" w:cs="微软雅黑"/>
            <w:color w:val="087E89"/>
          </w:rPr>
          <w:t>新闻分析丨特朗普放松对俄制裁为何在美引发巨大反弹</w:t>
        </w:r>
      </w:hyperlink>
      <w:r>
        <w:rPr>
          <w:rFonts w:ascii="微软雅黑" w:hAnsi="微软雅黑" w:eastAsia="微软雅黑" w:cs="微软雅黑"/>
        </w:rPr>
      </w:r>
    </w:p>
    <w:p>
      <w:pPr>
        <w:spacing w:after="0" w:line="20" w:lineRule="exact"/>
      </w:pPr>
      <w:bookmarkStart w:id="25" w:name="source-22539"/>
      <w:bookmarkEnd w:id="25" w:name="source-22539"/>
    </w:p>
    <w:p>
      <w:pPr>
        <w:pStyle w:val="ListBullet"/>
      </w:pPr>
      <w:r>
        <w:rPr>
          <w:rFonts w:ascii="微软雅黑" w:hAnsi="微软雅黑" w:eastAsia="微软雅黑" w:cs="微软雅黑"/>
        </w:rPr>
        <w:t>[25] 台湾经济事务主管部门能源署｜</w:t>
      </w:r>
      <w:hyperlink r:id="rId35">
        <w:r>
          <w:rPr>
            <w:rFonts w:ascii="微软雅黑" w:hAnsi="微软雅黑" w:eastAsia="微软雅黑" w:cs="微软雅黑"/>
            <w:color w:val="087E89"/>
          </w:rPr>
          <w:t>經濟部因應中東衝突戮力調度能源 請各界支持特別預算以穩定能源供應與價格</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tcn.com/article/detail/4224219.html" TargetMode="External"/><Relationship Id="rId12" Type="http://schemas.openxmlformats.org/officeDocument/2006/relationships/hyperlink" Target="https://www.news.cn/world/20261018/1997ebbb78044adb8f5a1f852fc93bbb/c.html" TargetMode="External"/><Relationship Id="rId13" Type="http://schemas.openxmlformats.org/officeDocument/2006/relationships/hyperlink" Target="https://sputniknews.cn/20261018/1073670755.html" TargetMode="External"/><Relationship Id="rId14" Type="http://schemas.openxmlformats.org/officeDocument/2006/relationships/hyperlink" Target="https://finance.sina.com.cn/7x24/2026-10-18/doc-inivqpty1245964.shtml" TargetMode="External"/><Relationship Id="rId15" Type="http://schemas.openxmlformats.org/officeDocument/2006/relationships/hyperlink" Target="https://www.aa.com.tr/en/energy/oil/moscow-says-first-tanker-carrying-russian-oil-to-world-markets-has-departed/60334" TargetMode="External"/><Relationship Id="rId16" Type="http://schemas.openxmlformats.org/officeDocument/2006/relationships/hyperlink" Target="https://www.greenbuildingafrica.co.za/china-moves-to-curb-exports-of-advanced-solar-manufacturing-technology/" TargetMode="External"/><Relationship Id="rId17" Type="http://schemas.openxmlformats.org/officeDocument/2006/relationships/hyperlink" Target="http://politics.people.com.cn/n1/2026/1018/c461001-40816917.html" TargetMode="External"/><Relationship Id="rId18" Type="http://schemas.openxmlformats.org/officeDocument/2006/relationships/hyperlink" Target="https://www.aa.com.tr/en/energy/renewable/clean-energy-plays-growing-role-in-meeting-rising-global-electricity-demand/60335" TargetMode="External"/><Relationship Id="rId19" Type="http://schemas.openxmlformats.org/officeDocument/2006/relationships/hyperlink" Target="https://www.greenbuildingafrica.co.za/quantum-leap-energy-and-necsa-form-joint-venture-to-produce-low-enriched-uranium-in-south-africa/" TargetMode="External"/><Relationship Id="rId20" Type="http://schemas.openxmlformats.org/officeDocument/2006/relationships/hyperlink" Target="https://news.mysteel.com/a/26101722/B7EA85EBFBD1BD6B.html" TargetMode="External"/><Relationship Id="rId21" Type="http://schemas.openxmlformats.org/officeDocument/2006/relationships/hyperlink" Target="https://finance.sina.com.cn/stock/usstock/c/2026-10-18/doc-inivrrfr6569845.shtml" TargetMode="External"/><Relationship Id="rId22" Type="http://schemas.openxmlformats.org/officeDocument/2006/relationships/hyperlink" Target="https://finance.sina.com.cn/jjxw/2026-10-18/doc-inivqtzw1187478.shtml" TargetMode="External"/><Relationship Id="rId23" Type="http://schemas.openxmlformats.org/officeDocument/2006/relationships/hyperlink" Target="https://www.interfax.ru/business/1123202" TargetMode="External"/><Relationship Id="rId24" Type="http://schemas.openxmlformats.org/officeDocument/2006/relationships/hyperlink" Target="http://finance.people.com.cn/n1/2026/1018/c1004-40816788.html" TargetMode="External"/><Relationship Id="rId25" Type="http://schemas.openxmlformats.org/officeDocument/2006/relationships/hyperlink" Target="https://ognnews.com/ArticleTA/488150/south-africas-renewables-to-overtake-thermal-power-by-2035" TargetMode="External"/><Relationship Id="rId26" Type="http://schemas.openxmlformats.org/officeDocument/2006/relationships/hyperlink" Target="https://ognnews.com/ArticleTA/488165/baker-hughes-venture-global-ge-vernova-sign-us-power-generation-deal" TargetMode="External"/><Relationship Id="rId27" Type="http://schemas.openxmlformats.org/officeDocument/2006/relationships/hyperlink" Target="https://www.stcn.com/article/detail/4224032.html" TargetMode="External"/><Relationship Id="rId28" Type="http://schemas.openxmlformats.org/officeDocument/2006/relationships/hyperlink" Target="https://sana.sy/en/international/2351588/" TargetMode="External"/><Relationship Id="rId29" Type="http://schemas.openxmlformats.org/officeDocument/2006/relationships/hyperlink" Target="https://www.news.cn/world/20261018/af3e9940dcea4ece88893c953fad503d/c.html" TargetMode="External"/><Relationship Id="rId30" Type="http://schemas.openxmlformats.org/officeDocument/2006/relationships/hyperlink" Target="https://sputniknews.cn/20261018/1073672066.html" TargetMode="External"/><Relationship Id="rId31" Type="http://schemas.openxmlformats.org/officeDocument/2006/relationships/hyperlink" Target="https://www.greenbuildingafrica.co.za/zambezi-river-authority-cuts-kariba-water-allocation-for-2027-power-generation/" TargetMode="External"/><Relationship Id="rId32" Type="http://schemas.openxmlformats.org/officeDocument/2006/relationships/hyperlink" Target="https://www.stcn.com/article/detail/4224273.html" TargetMode="External"/><Relationship Id="rId33" Type="http://schemas.openxmlformats.org/officeDocument/2006/relationships/hyperlink" Target="https://ognnews.com/ArticleTA/488156/oil-majors-urge-south-africa-to-fast-track-licensing-unlock-energy-investment" TargetMode="External"/><Relationship Id="rId34" Type="http://schemas.openxmlformats.org/officeDocument/2006/relationships/hyperlink" Target="https://www.news.cn/world/20261018/2f92a4cd0fb84954b747682d955f6fd0/c.html" TargetMode="External"/><Relationship Id="rId35" Type="http://schemas.openxmlformats.org/officeDocument/2006/relationships/hyperlink" Target="https://www.moeaea.gov.tw/ECW/populace/news/News.aspx?kind=1&amp;menu_id=41&amp;news_id=346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2026年10月18日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