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0"/>
        <w:spacing w:before="0" w:after="0" w:line="20" w:lineRule="atLeast"/>
        <w:ind w:firstLine="0" w:left="0" w:right="0"/>
      </w:pPr>
      <w:r>
        <w:rPr>
          <w:rFonts w:ascii="微软雅黑" w:hAnsi="微软雅黑" w:eastAsia="微软雅黑" w:cs="微软雅黑"/>
          <w:sz w:val="2"/>
        </w:rPr>
        <w:drawing>
          <wp:inline xmlns:a="http://schemas.openxmlformats.org/drawingml/2006/main" xmlns:pic="http://schemas.openxmlformats.org/drawingml/2006/picture">
            <wp:extent cx="7488000" cy="10584000"/>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7488000" cy="10584000"/>
                    </a:xfrm>
                    <a:prstGeom prst="rect"/>
                  </pic:spPr>
                </pic:pic>
              </a:graphicData>
            </a:graphic>
          </wp:inline>
        </w:drawing>
      </w:r>
    </w:p>
    <w:p>
      <w:pPr>
        <w:spacing w:before="0" w:after="0" w:line="20" w:lineRule="exact"/>
        <w:sectPr>
          <w:pgSz w:w="11906" w:h="16838"/>
          <w:pgMar w:top="0" w:right="0" w:bottom="0" w:left="0" w:header="720" w:footer="720" w:gutter="0"/>
          <w:cols w:space="720"/>
          <w:docGrid w:linePitch="360"/>
        </w:sectPr>
      </w:pPr>
    </w:p>
    <w:p>
      <w:pPr>
        <w:spacing w:after="180"/>
      </w:pPr>
      <w:r>
        <w:rPr>
          <w:rFonts w:ascii="微软雅黑" w:hAnsi="微软雅黑" w:eastAsia="微软雅黑" w:cs="微软雅黑"/>
          <w:b/>
          <w:sz w:val="30"/>
        </w:rPr>
        <w:t>报告目录</w:t>
      </w:r>
    </w:p>
    <w:p>
      <w:pPr>
        <w:pStyle w:val="ListBullet"/>
        <w:spacing w:after="60"/>
      </w:pPr>
      <w:r>
        <w:rPr>
          <w:rFonts w:ascii="微软雅黑" w:hAnsi="微软雅黑" w:eastAsia="微软雅黑" w:cs="微软雅黑"/>
        </w:rPr>
        <w:t>核心摘要</w:t>
      </w:r>
    </w:p>
    <w:p>
      <w:pPr>
        <w:pStyle w:val="ListBullet"/>
        <w:spacing w:after="60"/>
      </w:pPr>
      <w:r>
        <w:rPr>
          <w:rFonts w:ascii="微软雅黑" w:hAnsi="微软雅黑" w:eastAsia="微软雅黑" w:cs="微软雅黑"/>
        </w:rPr>
        <w:t>关键数据</w:t>
      </w:r>
    </w:p>
    <w:p>
      <w:pPr>
        <w:pStyle w:val="ListBullet"/>
        <w:spacing w:after="60"/>
      </w:pPr>
      <w:r>
        <w:rPr>
          <w:rFonts w:ascii="微软雅黑" w:hAnsi="微软雅黑" w:eastAsia="微软雅黑" w:cs="微软雅黑"/>
        </w:rPr>
        <w:t>国际重点事件</w:t>
      </w:r>
    </w:p>
    <w:p>
      <w:pPr>
        <w:pStyle w:val="ListBullet"/>
        <w:spacing w:after="60"/>
      </w:pPr>
      <w:r>
        <w:rPr>
          <w:rFonts w:ascii="微软雅黑" w:hAnsi="微软雅黑" w:eastAsia="微软雅黑" w:cs="微软雅黑"/>
        </w:rPr>
        <w:t>中国重点事件</w:t>
      </w:r>
    </w:p>
    <w:p>
      <w:pPr>
        <w:pStyle w:val="ListBullet"/>
        <w:spacing w:after="60"/>
      </w:pPr>
      <w:r>
        <w:rPr>
          <w:rFonts w:ascii="微软雅黑" w:hAnsi="微软雅黑" w:eastAsia="微软雅黑" w:cs="微软雅黑"/>
        </w:rPr>
        <w:t>风险与后续观察</w:t>
      </w:r>
    </w:p>
    <w:p>
      <w:pPr>
        <w:pStyle w:val="ListBullet"/>
        <w:spacing w:after="60"/>
      </w:pPr>
      <w:r>
        <w:rPr>
          <w:rFonts w:ascii="微软雅黑" w:hAnsi="微软雅黑" w:eastAsia="微软雅黑" w:cs="微软雅黑"/>
        </w:rPr>
        <w:t>资料覆盖说明</w:t>
      </w:r>
    </w:p>
    <w:p>
      <w:pPr>
        <w:pStyle w:val="ListBullet"/>
        <w:spacing w:after="60"/>
      </w:pPr>
      <w:r>
        <w:rPr>
          <w:rFonts w:ascii="微软雅黑" w:hAnsi="微软雅黑" w:eastAsia="微软雅黑" w:cs="微软雅黑"/>
        </w:rPr>
        <w:t>资料来源</w:t>
      </w:r>
    </w:p>
    <w:p>
      <w:pPr>
        <w:spacing w:after="280"/>
      </w:pPr>
    </w:p>
    <w:p>
      <w:pPr>
        <w:ind w:firstLine="420"/>
      </w:pPr>
      <w:r>
        <w:rPr>
          <w:rFonts w:ascii="微软雅黑" w:hAnsi="微软雅黑" w:eastAsia="微软雅黑" w:cs="微软雅黑"/>
        </w:rPr>
        <w:t>信息覆盖时段：2026-10-27 00:00 至 2026-10-28 00:00（不含），Asia/Shanghai。</w:t>
      </w:r>
    </w:p>
    <w:p>
      <w:pPr/>
      <w:r>
        <w:rPr>
          <w:rFonts w:ascii="微软雅黑" w:hAnsi="微软雅黑" w:eastAsia="微软雅黑" w:cs="微软雅黑"/>
        </w:rPr>
        <w:t>统计区间：2026-10-27 至 2026-10-28（结束日不含，北京时间）</w:t>
      </w:r>
    </w:p>
    <w:p>
      <w:pPr>
        <w:ind w:firstLine="420"/>
      </w:pPr>
      <w:r>
        <w:rPr>
          <w:rFonts w:ascii="微软雅黑" w:hAnsi="微软雅黑" w:eastAsia="微软雅黑" w:cs="微软雅黑"/>
        </w:rPr>
        <w:t>资料更新截止：2026-10-28 04:00（北京时间）</w:t>
      </w:r>
    </w:p>
    <w:p>
      <w:pPr>
        <w:pStyle w:val="Heading2"/>
      </w:pPr>
      <w:r>
        <w:rPr>
          <w:rFonts w:ascii="微软雅黑" w:hAnsi="微软雅黑" w:eastAsia="微软雅黑" w:cs="微软雅黑"/>
        </w:rPr>
        <w:t>核心摘要</w:t>
      </w:r>
    </w:p>
    <w:p>
      <w:pPr>
        <w:pStyle w:val="ListBullet"/>
      </w:pPr>
      <w:r>
        <w:rPr>
          <w:rFonts w:ascii="微软雅黑" w:hAnsi="微软雅黑" w:eastAsia="微软雅黑" w:cs="微软雅黑"/>
        </w:rPr>
        <w:t xml:space="preserve">星座能源获美国能源部最高50亿美元有条件贷款承诺扩大核电 </w:t>
      </w:r>
      <w:hyperlink w:anchor="source-29220">
        <w:r>
          <w:rPr>
            <w:rFonts w:ascii="微软雅黑" w:hAnsi="微软雅黑" w:eastAsia="微软雅黑" w:cs="微软雅黑"/>
            <w:color w:val="087E89"/>
          </w:rPr>
          <w:t>1</w:t>
        </w:r>
      </w:hyperlink>
      <w:r>
        <w:rPr>
          <w:rFonts w:ascii="微软雅黑" w:hAnsi="微软雅黑" w:eastAsia="微软雅黑" w:cs="微软雅黑"/>
        </w:rPr>
      </w:r>
    </w:p>
    <w:p>
      <w:pPr>
        <w:pStyle w:val="ListBullet"/>
      </w:pPr>
      <w:r>
        <w:rPr>
          <w:rFonts w:ascii="微软雅黑" w:hAnsi="微软雅黑" w:eastAsia="微软雅黑" w:cs="微软雅黑"/>
        </w:rPr>
        <w:t xml:space="preserve">WMO：2025年温室气体浓度创纪录，二氧化碳达426.8 ppm </w:t>
      </w:r>
      <w:hyperlink w:anchor="source-28987">
        <w:r>
          <w:rPr>
            <w:rFonts w:ascii="微软雅黑" w:hAnsi="微软雅黑" w:eastAsia="微软雅黑" w:cs="微软雅黑"/>
            <w:color w:val="087E89"/>
          </w:rPr>
          <w:t>2</w:t>
        </w:r>
      </w:hyperlink>
      <w:r>
        <w:rPr>
          <w:rFonts w:ascii="微软雅黑" w:hAnsi="微软雅黑" w:eastAsia="微软雅黑" w:cs="微软雅黑"/>
        </w:rPr>
      </w:r>
    </w:p>
    <w:p>
      <w:pPr>
        <w:pStyle w:val="ListBullet"/>
      </w:pPr>
      <w:r>
        <w:rPr>
          <w:rFonts w:ascii="微软雅黑" w:hAnsi="微软雅黑" w:eastAsia="微软雅黑" w:cs="微软雅黑"/>
        </w:rPr>
        <w:t xml:space="preserve">国家发展改革委印发《能源保供中长期合同管理办法（试行）》 </w:t>
      </w:r>
      <w:hyperlink w:anchor="source-28909">
        <w:r>
          <w:rPr>
            <w:rFonts w:ascii="微软雅黑" w:hAnsi="微软雅黑" w:eastAsia="微软雅黑" w:cs="微软雅黑"/>
            <w:color w:val="087E89"/>
          </w:rPr>
          <w:t>3</w:t>
        </w:r>
      </w:hyperlink>
      <w:r>
        <w:rPr>
          <w:rFonts w:ascii="微软雅黑" w:hAnsi="微软雅黑" w:eastAsia="微软雅黑" w:cs="微软雅黑"/>
        </w:rPr>
      </w:r>
    </w:p>
    <w:p>
      <w:pPr>
        <w:pStyle w:val="ListBullet"/>
      </w:pPr>
      <w:r>
        <w:rPr>
          <w:rFonts w:ascii="微软雅黑" w:hAnsi="微软雅黑" w:eastAsia="微软雅黑" w:cs="微软雅黑"/>
        </w:rPr>
        <w:t xml:space="preserve">国办发文：2030年基本建成全国统一电力市场体系 </w:t>
      </w:r>
      <w:hyperlink w:anchor="source-28763">
        <w:r>
          <w:rPr>
            <w:rFonts w:ascii="微软雅黑" w:hAnsi="微软雅黑" w:eastAsia="微软雅黑" w:cs="微软雅黑"/>
            <w:color w:val="087E89"/>
          </w:rPr>
          <w:t>4</w:t>
        </w:r>
      </w:hyperlink>
      <w:r>
        <w:rPr>
          <w:rFonts w:ascii="微软雅黑" w:hAnsi="微软雅黑" w:eastAsia="微软雅黑" w:cs="微软雅黑"/>
        </w:rPr>
      </w:r>
    </w:p>
    <w:p>
      <w:pPr>
        <w:pStyle w:val="ListBullet"/>
      </w:pPr>
      <w:r>
        <w:rPr>
          <w:rFonts w:ascii="微软雅黑" w:hAnsi="微软雅黑" w:eastAsia="微软雅黑" w:cs="微软雅黑"/>
        </w:rPr>
        <w:t xml:space="preserve">土耳其宣布2035年电气化率35%目标，当前趋势下仅能达24.4% </w:t>
      </w:r>
      <w:hyperlink w:anchor="source-28692">
        <w:r>
          <w:rPr>
            <w:rFonts w:ascii="微软雅黑" w:hAnsi="微软雅黑" w:eastAsia="微软雅黑" w:cs="微软雅黑"/>
            <w:color w:val="087E89"/>
          </w:rPr>
          <w:t>5</w:t>
        </w:r>
      </w:hyperlink>
      <w:r>
        <w:rPr>
          <w:rFonts w:ascii="微软雅黑" w:hAnsi="微软雅黑" w:eastAsia="微软雅黑" w:cs="微软雅黑"/>
        </w:rPr>
      </w:r>
    </w:p>
    <w:p>
      <w:pPr>
        <w:pStyle w:val="Heading2"/>
        <w:keepNext/>
      </w:pPr>
      <w:r>
        <w:rPr>
          <w:rFonts w:ascii="微软雅黑" w:hAnsi="微软雅黑" w:eastAsia="微软雅黑" w:cs="微软雅黑"/>
        </w:rPr>
        <w:t>关键数据</w:t>
      </w:r>
    </w:p>
    <w:tbl>
      <w:tblPr>
        <w:tblStyle w:val="TableGrid"/>
        <w:tblW w:type="auto" w:w="0"/>
        <w:tblLook w:firstColumn="1" w:firstRow="1" w:lastColumn="0" w:lastRow="0" w:noHBand="0" w:noVBand="1" w:val="04A0"/>
      </w:tblPr>
      <w:tblGrid>
        <w:gridCol w:w="2268"/>
        <w:gridCol w:w="2268"/>
        <w:gridCol w:w="2268"/>
        <w:gridCol w:w="2268"/>
      </w:tblGrid>
      <w:tr>
        <w:trPr>
          <w:cantSplit/>
          <w:tblHeader/>
        </w:trPr>
        <w:tc>
          <w:tcPr>
            <w:tcW w:type="dxa" w:w="2268"/>
          </w:tcPr>
          <w:p>
            <w:pPr>
              <w:spacing w:after="40"/>
            </w:pPr>
            <w:r>
              <w:rPr>
                <w:rFonts w:ascii="微软雅黑" w:hAnsi="微软雅黑" w:eastAsia="微软雅黑" w:cs="微软雅黑"/>
                <w:b/>
              </w:rPr>
              <w:t>指标</w:t>
            </w:r>
          </w:p>
        </w:tc>
        <w:tc>
          <w:tcPr>
            <w:tcW w:type="dxa" w:w="2268"/>
          </w:tcPr>
          <w:p>
            <w:pPr>
              <w:spacing w:after="40"/>
            </w:pPr>
            <w:r>
              <w:rPr>
                <w:rFonts w:ascii="微软雅黑" w:hAnsi="微软雅黑" w:eastAsia="微软雅黑" w:cs="微软雅黑"/>
                <w:b/>
              </w:rPr>
              <w:t>数值及单位</w:t>
            </w:r>
          </w:p>
        </w:tc>
        <w:tc>
          <w:tcPr>
            <w:tcW w:type="dxa" w:w="2268"/>
          </w:tcPr>
          <w:p>
            <w:pPr>
              <w:spacing w:after="40"/>
            </w:pPr>
            <w:r>
              <w:rPr>
                <w:rFonts w:ascii="微软雅黑" w:hAnsi="微软雅黑" w:eastAsia="微软雅黑" w:cs="微软雅黑"/>
                <w:b/>
              </w:rPr>
              <w:t>数据时间</w:t>
            </w:r>
          </w:p>
        </w:tc>
        <w:tc>
          <w:tcPr>
            <w:tcW w:type="dxa" w:w="2268"/>
          </w:tcPr>
          <w:p>
            <w:pPr>
              <w:spacing w:after="40"/>
            </w:pPr>
            <w:r>
              <w:rPr>
                <w:rFonts w:ascii="微软雅黑" w:hAnsi="微软雅黑" w:eastAsia="微软雅黑" w:cs="微软雅黑"/>
                <w:b/>
              </w:rPr>
              <w:t>来源</w:t>
            </w:r>
          </w:p>
        </w:tc>
      </w:tr>
      <w:tr>
        <w:trPr>
          <w:cantSplit/>
        </w:trPr>
        <w:tc>
          <w:tcPr>
            <w:tcW w:type="dxa" w:w="2268"/>
          </w:tcPr>
          <w:p>
            <w:pPr>
              <w:spacing w:after="40"/>
            </w:pPr>
            <w:r>
              <w:rPr>
                <w:rFonts w:ascii="微软雅黑" w:hAnsi="微软雅黑" w:eastAsia="微软雅黑" w:cs="微软雅黑"/>
              </w:rPr>
              <w:t>星座能源获美国能源部有条件贷款承诺金额</w:t>
            </w:r>
          </w:p>
        </w:tc>
        <w:tc>
          <w:tcPr>
            <w:tcW w:type="dxa" w:w="2268"/>
          </w:tcPr>
          <w:p>
            <w:pPr>
              <w:spacing w:after="40"/>
            </w:pPr>
            <w:r>
              <w:rPr>
                <w:rFonts w:ascii="微软雅黑" w:hAnsi="微软雅黑" w:eastAsia="微软雅黑" w:cs="微软雅黑"/>
              </w:rPr>
              <w:t>最高50亿美元</w:t>
            </w:r>
          </w:p>
        </w:tc>
        <w:tc>
          <w:tcPr>
            <w:tcW w:type="dxa" w:w="2268"/>
          </w:tcPr>
          <w:p>
            <w:pPr>
              <w:spacing w:after="40"/>
            </w:pPr>
            <w:r>
              <w:rPr>
                <w:rFonts w:ascii="微软雅黑" w:hAnsi="微软雅黑" w:eastAsia="微软雅黑" w:cs="微软雅黑"/>
              </w:rPr>
              <w:t>未注明</w:t>
            </w:r>
          </w:p>
        </w:tc>
        <w:tc>
          <w:tcPr>
            <w:tcW w:type="dxa" w:w="2268"/>
          </w:tcPr>
          <w:p>
            <w:pPr>
              <w:spacing w:after="40"/>
            </w:pPr>
            <w:r>
              <w:rPr>
                <w:rFonts w:ascii="微软雅黑" w:hAnsi="微软雅黑" w:eastAsia="微软雅黑" w:cs="微软雅黑"/>
              </w:rPr>
            </w:r>
            <w:hyperlink w:anchor="source-29220">
              <w:r>
                <w:rPr>
                  <w:rFonts w:ascii="微软雅黑" w:hAnsi="微软雅黑" w:eastAsia="微软雅黑" w:cs="微软雅黑"/>
                  <w:color w:val="087E89"/>
                </w:rPr>
                <w:t>1</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星座能源与谷歌和亚马逊协议带动核电增容投资</w:t>
            </w:r>
          </w:p>
        </w:tc>
        <w:tc>
          <w:tcPr>
            <w:tcW w:type="dxa" w:w="2268"/>
          </w:tcPr>
          <w:p>
            <w:pPr>
              <w:spacing w:after="40"/>
            </w:pPr>
            <w:r>
              <w:rPr>
                <w:rFonts w:ascii="微软雅黑" w:hAnsi="微软雅黑" w:eastAsia="微软雅黑" w:cs="微软雅黑"/>
              </w:rPr>
              <w:t>超过70亿美元，新增约1,080兆瓦</w:t>
            </w:r>
          </w:p>
        </w:tc>
        <w:tc>
          <w:tcPr>
            <w:tcW w:type="dxa" w:w="2268"/>
          </w:tcPr>
          <w:p>
            <w:pPr>
              <w:spacing w:after="40"/>
            </w:pPr>
            <w:r>
              <w:rPr>
                <w:rFonts w:ascii="微软雅黑" w:hAnsi="微软雅黑" w:eastAsia="微软雅黑" w:cs="微软雅黑"/>
              </w:rPr>
              <w:t>未注明</w:t>
            </w:r>
          </w:p>
        </w:tc>
        <w:tc>
          <w:tcPr>
            <w:tcW w:type="dxa" w:w="2268"/>
          </w:tcPr>
          <w:p>
            <w:pPr>
              <w:spacing w:after="40"/>
            </w:pPr>
            <w:r>
              <w:rPr>
                <w:rFonts w:ascii="微软雅黑" w:hAnsi="微软雅黑" w:eastAsia="微软雅黑" w:cs="微软雅黑"/>
              </w:rPr>
            </w:r>
            <w:hyperlink w:anchor="source-29220">
              <w:r>
                <w:rPr>
                  <w:rFonts w:ascii="微软雅黑" w:hAnsi="微软雅黑" w:eastAsia="微软雅黑" w:cs="微软雅黑"/>
                  <w:color w:val="087E89"/>
                </w:rPr>
                <w:t>1</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全球大气二氧化碳平均浓度</w:t>
            </w:r>
          </w:p>
        </w:tc>
        <w:tc>
          <w:tcPr>
            <w:tcW w:type="dxa" w:w="2268"/>
          </w:tcPr>
          <w:p>
            <w:pPr>
              <w:spacing w:after="40"/>
            </w:pPr>
            <w:r>
              <w:rPr>
                <w:rFonts w:ascii="微软雅黑" w:hAnsi="微软雅黑" w:eastAsia="微软雅黑" w:cs="微软雅黑"/>
              </w:rPr>
              <w:t>426.8 ppm（相当于1750年工业化前基线的153%）</w:t>
            </w:r>
          </w:p>
        </w:tc>
        <w:tc>
          <w:tcPr>
            <w:tcW w:type="dxa" w:w="2268"/>
          </w:tcPr>
          <w:p>
            <w:pPr>
              <w:spacing w:after="40"/>
            </w:pPr>
            <w:r>
              <w:rPr>
                <w:rFonts w:ascii="微软雅黑" w:hAnsi="微软雅黑" w:eastAsia="微软雅黑" w:cs="微软雅黑"/>
              </w:rPr>
              <w:t>2025年</w:t>
            </w:r>
          </w:p>
        </w:tc>
        <w:tc>
          <w:tcPr>
            <w:tcW w:type="dxa" w:w="2268"/>
          </w:tcPr>
          <w:p>
            <w:pPr>
              <w:spacing w:after="40"/>
            </w:pPr>
            <w:r>
              <w:rPr>
                <w:rFonts w:ascii="微软雅黑" w:hAnsi="微软雅黑" w:eastAsia="微软雅黑" w:cs="微软雅黑"/>
              </w:rPr>
            </w:r>
            <w:hyperlink w:anchor="source-28987">
              <w:r>
                <w:rPr>
                  <w:rFonts w:ascii="微软雅黑" w:hAnsi="微软雅黑" w:eastAsia="微软雅黑" w:cs="微软雅黑"/>
                  <w:color w:val="087E89"/>
                </w:rPr>
                <w:t>2</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全球二氧化碳年增量</w:t>
            </w:r>
          </w:p>
        </w:tc>
        <w:tc>
          <w:tcPr>
            <w:tcW w:type="dxa" w:w="2268"/>
          </w:tcPr>
          <w:p>
            <w:pPr>
              <w:spacing w:after="40"/>
            </w:pPr>
            <w:r>
              <w:rPr>
                <w:rFonts w:ascii="微软雅黑" w:hAnsi="微软雅黑" w:eastAsia="微软雅黑" w:cs="微软雅黑"/>
              </w:rPr>
              <w:t>2.8 ppm</w:t>
            </w:r>
          </w:p>
        </w:tc>
        <w:tc>
          <w:tcPr>
            <w:tcW w:type="dxa" w:w="2268"/>
          </w:tcPr>
          <w:p>
            <w:pPr>
              <w:spacing w:after="40"/>
            </w:pPr>
            <w:r>
              <w:rPr>
                <w:rFonts w:ascii="微软雅黑" w:hAnsi="微软雅黑" w:eastAsia="微软雅黑" w:cs="微软雅黑"/>
              </w:rPr>
              <w:t>2024-2025年</w:t>
            </w:r>
          </w:p>
        </w:tc>
        <w:tc>
          <w:tcPr>
            <w:tcW w:type="dxa" w:w="2268"/>
          </w:tcPr>
          <w:p>
            <w:pPr>
              <w:spacing w:after="40"/>
            </w:pPr>
            <w:r>
              <w:rPr>
                <w:rFonts w:ascii="微软雅黑" w:hAnsi="微软雅黑" w:eastAsia="微软雅黑" w:cs="微软雅黑"/>
              </w:rPr>
            </w:r>
            <w:hyperlink w:anchor="source-28987">
              <w:r>
                <w:rPr>
                  <w:rFonts w:ascii="微软雅黑" w:hAnsi="微软雅黑" w:eastAsia="微软雅黑" w:cs="微软雅黑"/>
                  <w:color w:val="087E89"/>
                </w:rPr>
                <w:t>2</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全国市场化交易电量占全社会用电量比例目标</w:t>
            </w:r>
          </w:p>
        </w:tc>
        <w:tc>
          <w:tcPr>
            <w:tcW w:type="dxa" w:w="2268"/>
          </w:tcPr>
          <w:p>
            <w:pPr>
              <w:spacing w:after="40"/>
            </w:pPr>
            <w:r>
              <w:rPr>
                <w:rFonts w:ascii="微软雅黑" w:hAnsi="微软雅黑" w:eastAsia="微软雅黑" w:cs="微软雅黑"/>
              </w:rPr>
              <w:t>70%左右</w:t>
            </w:r>
          </w:p>
        </w:tc>
        <w:tc>
          <w:tcPr>
            <w:tcW w:type="dxa" w:w="2268"/>
          </w:tcPr>
          <w:p>
            <w:pPr>
              <w:spacing w:after="40"/>
            </w:pPr>
            <w:r>
              <w:rPr>
                <w:rFonts w:ascii="微软雅黑" w:hAnsi="微软雅黑" w:eastAsia="微软雅黑" w:cs="微软雅黑"/>
              </w:rPr>
              <w:t>2030年目标</w:t>
            </w:r>
          </w:p>
        </w:tc>
        <w:tc>
          <w:tcPr>
            <w:tcW w:type="dxa" w:w="2268"/>
          </w:tcPr>
          <w:p>
            <w:pPr>
              <w:spacing w:after="40"/>
            </w:pPr>
            <w:r>
              <w:rPr>
                <w:rFonts w:ascii="微软雅黑" w:hAnsi="微软雅黑" w:eastAsia="微软雅黑" w:cs="微软雅黑"/>
              </w:rPr>
            </w:r>
            <w:hyperlink w:anchor="source-28763">
              <w:r>
                <w:rPr>
                  <w:rFonts w:ascii="微软雅黑" w:hAnsi="微软雅黑" w:eastAsia="微软雅黑" w:cs="微软雅黑"/>
                  <w:color w:val="087E89"/>
                </w:rPr>
                <w:t>4</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全国统一电力市场体系建成目标时间</w:t>
            </w:r>
          </w:p>
        </w:tc>
        <w:tc>
          <w:tcPr>
            <w:tcW w:type="dxa" w:w="2268"/>
          </w:tcPr>
          <w:p>
            <w:pPr>
              <w:spacing w:after="40"/>
            </w:pPr>
            <w:r>
              <w:rPr>
                <w:rFonts w:ascii="微软雅黑" w:hAnsi="微软雅黑" w:eastAsia="微软雅黑" w:cs="微软雅黑"/>
              </w:rPr>
              <w:t>2030年基本建成，2035年全面建成</w:t>
            </w:r>
          </w:p>
        </w:tc>
        <w:tc>
          <w:tcPr>
            <w:tcW w:type="dxa" w:w="2268"/>
          </w:tcPr>
          <w:p>
            <w:pPr>
              <w:spacing w:after="40"/>
            </w:pPr>
            <w:r>
              <w:rPr>
                <w:rFonts w:ascii="微软雅黑" w:hAnsi="微软雅黑" w:eastAsia="微软雅黑" w:cs="微软雅黑"/>
              </w:rPr>
              <w:t>未注明</w:t>
            </w:r>
          </w:p>
        </w:tc>
        <w:tc>
          <w:tcPr>
            <w:tcW w:type="dxa" w:w="2268"/>
          </w:tcPr>
          <w:p>
            <w:pPr>
              <w:spacing w:after="40"/>
            </w:pPr>
            <w:r>
              <w:rPr>
                <w:rFonts w:ascii="微软雅黑" w:hAnsi="微软雅黑" w:eastAsia="微软雅黑" w:cs="微软雅黑"/>
              </w:rPr>
            </w:r>
            <w:hyperlink w:anchor="source-28763">
              <w:r>
                <w:rPr>
                  <w:rFonts w:ascii="微软雅黑" w:hAnsi="微软雅黑" w:eastAsia="微软雅黑" w:cs="微软雅黑"/>
                  <w:color w:val="087E89"/>
                </w:rPr>
                <w:t>4</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土耳其电力占终端能源消费比例</w:t>
            </w:r>
          </w:p>
        </w:tc>
        <w:tc>
          <w:tcPr>
            <w:tcW w:type="dxa" w:w="2268"/>
          </w:tcPr>
          <w:p>
            <w:pPr>
              <w:spacing w:after="40"/>
            </w:pPr>
            <w:r>
              <w:rPr>
                <w:rFonts w:ascii="微软雅黑" w:hAnsi="微软雅黑" w:eastAsia="微软雅黑" w:cs="微软雅黑"/>
              </w:rPr>
              <w:t>22%</w:t>
            </w:r>
          </w:p>
        </w:tc>
        <w:tc>
          <w:tcPr>
            <w:tcW w:type="dxa" w:w="2268"/>
          </w:tcPr>
          <w:p>
            <w:pPr>
              <w:spacing w:after="40"/>
            </w:pPr>
            <w:r>
              <w:rPr>
                <w:rFonts w:ascii="微软雅黑" w:hAnsi="微软雅黑" w:eastAsia="微软雅黑" w:cs="微软雅黑"/>
              </w:rPr>
              <w:t>2024</w:t>
            </w:r>
          </w:p>
        </w:tc>
        <w:tc>
          <w:tcPr>
            <w:tcW w:type="dxa" w:w="2268"/>
          </w:tcPr>
          <w:p>
            <w:pPr>
              <w:spacing w:after="40"/>
            </w:pPr>
            <w:r>
              <w:rPr>
                <w:rFonts w:ascii="微软雅黑" w:hAnsi="微软雅黑" w:eastAsia="微软雅黑" w:cs="微软雅黑"/>
              </w:rPr>
            </w:r>
            <w:hyperlink w:anchor="source-28692">
              <w:r>
                <w:rPr>
                  <w:rFonts w:ascii="微软雅黑" w:hAnsi="微软雅黑" w:eastAsia="微软雅黑" w:cs="微软雅黑"/>
                  <w:color w:val="087E89"/>
                </w:rPr>
                <w:t>5</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土耳其2035年电力占终端能源消费目标比例</w:t>
            </w:r>
          </w:p>
        </w:tc>
        <w:tc>
          <w:tcPr>
            <w:tcW w:type="dxa" w:w="2268"/>
          </w:tcPr>
          <w:p>
            <w:pPr>
              <w:spacing w:after="40"/>
            </w:pPr>
            <w:r>
              <w:rPr>
                <w:rFonts w:ascii="微软雅黑" w:hAnsi="微软雅黑" w:eastAsia="微软雅黑" w:cs="微软雅黑"/>
              </w:rPr>
              <w:t>35%</w:t>
            </w:r>
          </w:p>
        </w:tc>
        <w:tc>
          <w:tcPr>
            <w:tcW w:type="dxa" w:w="2268"/>
          </w:tcPr>
          <w:p>
            <w:pPr>
              <w:spacing w:after="40"/>
            </w:pPr>
            <w:r>
              <w:rPr>
                <w:rFonts w:ascii="微软雅黑" w:hAnsi="微软雅黑" w:eastAsia="微软雅黑" w:cs="微软雅黑"/>
              </w:rPr>
              <w:t>2035年目标</w:t>
            </w:r>
          </w:p>
        </w:tc>
        <w:tc>
          <w:tcPr>
            <w:tcW w:type="dxa" w:w="2268"/>
          </w:tcPr>
          <w:p>
            <w:pPr>
              <w:spacing w:after="40"/>
            </w:pPr>
            <w:r>
              <w:rPr>
                <w:rFonts w:ascii="微软雅黑" w:hAnsi="微软雅黑" w:eastAsia="微软雅黑" w:cs="微软雅黑"/>
              </w:rPr>
            </w:r>
            <w:hyperlink w:anchor="source-28692">
              <w:r>
                <w:rPr>
                  <w:rFonts w:ascii="微软雅黑" w:hAnsi="微软雅黑" w:eastAsia="微软雅黑" w:cs="微软雅黑"/>
                  <w:color w:val="087E89"/>
                </w:rPr>
                <w:t>5</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土耳其可再生能源发电占比</w:t>
            </w:r>
          </w:p>
        </w:tc>
        <w:tc>
          <w:tcPr>
            <w:tcW w:type="dxa" w:w="2268"/>
          </w:tcPr>
          <w:p>
            <w:pPr>
              <w:spacing w:after="40"/>
            </w:pPr>
            <w:r>
              <w:rPr>
                <w:rFonts w:ascii="微软雅黑" w:hAnsi="微软雅黑" w:eastAsia="微软雅黑" w:cs="微软雅黑"/>
              </w:rPr>
              <w:t>43%</w:t>
            </w:r>
          </w:p>
        </w:tc>
        <w:tc>
          <w:tcPr>
            <w:tcW w:type="dxa" w:w="2268"/>
          </w:tcPr>
          <w:p>
            <w:pPr>
              <w:spacing w:after="40"/>
            </w:pPr>
            <w:r>
              <w:rPr>
                <w:rFonts w:ascii="微软雅黑" w:hAnsi="微软雅黑" w:eastAsia="微软雅黑" w:cs="微软雅黑"/>
              </w:rPr>
              <w:t>2025</w:t>
            </w:r>
          </w:p>
        </w:tc>
        <w:tc>
          <w:tcPr>
            <w:tcW w:type="dxa" w:w="2268"/>
          </w:tcPr>
          <w:p>
            <w:pPr>
              <w:spacing w:after="40"/>
            </w:pPr>
            <w:r>
              <w:rPr>
                <w:rFonts w:ascii="微软雅黑" w:hAnsi="微软雅黑" w:eastAsia="微软雅黑" w:cs="微软雅黑"/>
              </w:rPr>
            </w:r>
            <w:hyperlink w:anchor="source-28692">
              <w:r>
                <w:rPr>
                  <w:rFonts w:ascii="微软雅黑" w:hAnsi="微软雅黑" w:eastAsia="微软雅黑" w:cs="微软雅黑"/>
                  <w:color w:val="087E89"/>
                </w:rPr>
                <w:t>5</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上海能源装备产业产值规模目标</w:t>
            </w:r>
          </w:p>
        </w:tc>
        <w:tc>
          <w:tcPr>
            <w:tcW w:type="dxa" w:w="2268"/>
          </w:tcPr>
          <w:p>
            <w:pPr>
              <w:spacing w:after="40"/>
            </w:pPr>
            <w:r>
              <w:rPr>
                <w:rFonts w:ascii="微软雅黑" w:hAnsi="微软雅黑" w:eastAsia="微软雅黑" w:cs="微软雅黑"/>
              </w:rPr>
              <w:t>4000亿元</w:t>
            </w:r>
          </w:p>
        </w:tc>
        <w:tc>
          <w:tcPr>
            <w:tcW w:type="dxa" w:w="2268"/>
          </w:tcPr>
          <w:p>
            <w:pPr>
              <w:spacing w:after="40"/>
            </w:pPr>
            <w:r>
              <w:rPr>
                <w:rFonts w:ascii="微软雅黑" w:hAnsi="微软雅黑" w:eastAsia="微软雅黑" w:cs="微软雅黑"/>
              </w:rPr>
              <w:t>2029年目标</w:t>
            </w:r>
          </w:p>
        </w:tc>
        <w:tc>
          <w:tcPr>
            <w:tcW w:type="dxa" w:w="2268"/>
          </w:tcPr>
          <w:p>
            <w:pPr>
              <w:spacing w:after="40"/>
            </w:pPr>
            <w:r>
              <w:rPr>
                <w:rFonts w:ascii="微软雅黑" w:hAnsi="微软雅黑" w:eastAsia="微软雅黑" w:cs="微软雅黑"/>
              </w:rPr>
            </w:r>
            <w:hyperlink w:anchor="source-29183">
              <w:r>
                <w:rPr>
                  <w:rFonts w:ascii="微软雅黑" w:hAnsi="微软雅黑" w:eastAsia="微软雅黑" w:cs="微软雅黑"/>
                  <w:color w:val="087E89"/>
                </w:rPr>
                <w:t>6</w:t>
              </w:r>
            </w:hyperlink>
            <w:r>
              <w:rPr>
                <w:rFonts w:ascii="微软雅黑" w:hAnsi="微软雅黑" w:eastAsia="微软雅黑" w:cs="微软雅黑"/>
              </w:rPr>
            </w:r>
          </w:p>
        </w:tc>
      </w:tr>
    </w:tbl>
    <w:p>
      <w:pPr>
        <w:spacing w:after="120"/>
      </w:pPr>
    </w:p>
    <w:p>
      <w:pPr>
        <w:pStyle w:val="Heading2"/>
      </w:pPr>
      <w:r>
        <w:rPr>
          <w:rFonts w:ascii="微软雅黑" w:hAnsi="微软雅黑" w:eastAsia="微软雅黑" w:cs="微软雅黑"/>
        </w:rPr>
        <w:t>国际重点事件</w:t>
      </w:r>
    </w:p>
    <w:p>
      <w:pPr>
        <w:pStyle w:val="Heading3"/>
      </w:pPr>
      <w:r>
        <w:rPr>
          <w:rFonts w:ascii="微软雅黑" w:hAnsi="微软雅黑" w:eastAsia="微软雅黑" w:cs="微软雅黑"/>
        </w:rPr>
        <w:t>1. 土耳其宣布2035年电气化率35%目标，当前趋势下仅能达24.4%</w:t>
      </w:r>
    </w:p>
    <w:p>
      <w:pPr>
        <w:keepNext/>
      </w:pPr>
      <w:r>
        <w:rPr>
          <w:rFonts w:ascii="微软雅黑" w:hAnsi="微软雅黑" w:eastAsia="微软雅黑" w:cs="微软雅黑"/>
        </w:rPr>
        <w:t>领域：政策与能源安全</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作为2026年COP31主办国，土耳其宣布“全球电气化承诺”，目标是到2035年将电力在终端能源消费中的占比从2024年的22%提高到35%。研究指出土耳其约85%的终端能源需求可用当今已有的电气化技术满足，但按当前趋势2035年电气化率仅能达到24.4%。</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2024年电力仅满足土耳其终端能源消费的22%，化石燃料占比自1990年以来维持在约70%；现有技术可电气化建筑100%、交通96%、工业58%的能源需求。过去十年可再生能源发电占比从2015年的32%升至2025年的43%，太阳能和风能占比从4.5%升至22%。若延续当前趋势（化石燃料消费年均增长2.5%、电力需求年均增长4%），2035年电气化率仅能达24.4%，比目标低约11个百分点。实现目标需2035年有1900万辆电动乘用车、650万辆电动商用车、2000万户住宅安装热泵及工业约12 GW电热产能，其中电动车数量是EMRA高情景预测700万辆的两倍半以上。</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在化石燃料消费不下降的情景下，2035年终端电力消费将比2024年增加480 TWh、达到790 TWh，需新增约200 GW装机；仅道路运输就占土耳其能源进口约三分之一，预计霍尔木兹危机将在2026年为道路运输石油进口成本增加52亿美元。</w:t>
      </w:r>
    </w:p>
    <w:p>
      <w:pPr>
        <w:ind w:firstLine="420"/>
      </w:pPr>
      <w:r>
        <w:rPr>
          <w:rFonts w:ascii="微软雅黑" w:hAnsi="微软雅黑" w:eastAsia="微软雅黑" w:cs="微软雅黑"/>
        </w:rPr>
        <w:t>来源：</w:t>
      </w:r>
      <w:hyperlink w:anchor="source-28692">
        <w:r>
          <w:rPr>
            <w:rFonts w:ascii="微软雅黑" w:hAnsi="微软雅黑" w:eastAsia="微软雅黑" w:cs="微软雅黑"/>
            <w:color w:val="087E89"/>
          </w:rPr>
          <w:t>5</w:t>
        </w:r>
      </w:hyperlink>
      <w:r>
        <w:rPr>
          <w:rFonts w:ascii="微软雅黑" w:hAnsi="微软雅黑" w:eastAsia="微软雅黑" w:cs="微软雅黑"/>
        </w:rPr>
      </w:r>
    </w:p>
    <w:p>
      <w:pPr>
        <w:pStyle w:val="Heading3"/>
      </w:pPr>
      <w:r>
        <w:rPr>
          <w:rFonts w:ascii="微软雅黑" w:hAnsi="微软雅黑" w:eastAsia="微软雅黑" w:cs="微软雅黑"/>
        </w:rPr>
        <w:t>2. IEA署长比罗尔：全球能源市场2027年前难回美伊战争前水平</w:t>
      </w:r>
    </w:p>
    <w:p>
      <w:pPr>
        <w:keepNext/>
      </w:pPr>
      <w:r>
        <w:rPr>
          <w:rFonts w:ascii="微软雅黑" w:hAnsi="微软雅黑" w:eastAsia="微软雅黑" w:cs="微软雅黑"/>
        </w:rPr>
        <w:t>领域：政策与能源安全</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国际能源署(IEA)署长法提赫·比罗尔10月26日在新加坡国际能源周(SIEW)会议上表示，预计到2027年全球能源市场仍难以恢复至美伊战争爆发前的水平，看不到任何可信途径能让市场在明年恢复到战前状态。</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比罗尔表示，自战争爆发以来，俄罗斯向欧洲输送能源的渠道及途经霍尔木兹海峡的能源运输通道两条“大动脉”受到扰乱。上周五也门胡塞武装对沙特发动更多袭击，推动布伦特原油期货价格一度升至每桶117美元，为近六个月来最高水平，周一有所回落，但仍较美伊战争爆发前高出约59%，国际油价正逼近每桶120美元。比罗尔拒绝对未来油价作出预测，但表示接近每桶120美元的油价对世界许多地区的贸易差额将造成重大冲击。</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比罗尔对冬季柴油需求表示担忧，并预计欧洲将面临艰难冬季；他预计当前能源危机将推动核能行业迎来“强劲复苏”，并进一步加快世界迈入电气化时代的步伐。</w:t>
      </w:r>
    </w:p>
    <w:p>
      <w:pPr>
        <w:ind w:firstLine="420"/>
      </w:pPr>
      <w:r>
        <w:rPr>
          <w:rFonts w:ascii="微软雅黑" w:hAnsi="微软雅黑" w:eastAsia="微软雅黑" w:cs="微软雅黑"/>
        </w:rPr>
        <w:t>来源：</w:t>
      </w:r>
      <w:hyperlink w:anchor="source-29186">
        <w:r>
          <w:rPr>
            <w:rFonts w:ascii="微软雅黑" w:hAnsi="微软雅黑" w:eastAsia="微软雅黑" w:cs="微软雅黑"/>
            <w:color w:val="087E89"/>
          </w:rPr>
          <w:t>19</w:t>
        </w:r>
      </w:hyperlink>
      <w:r>
        <w:rPr>
          <w:rFonts w:ascii="微软雅黑" w:hAnsi="微软雅黑" w:eastAsia="微软雅黑" w:cs="微软雅黑"/>
        </w:rPr>
      </w:r>
    </w:p>
    <w:p>
      <w:pPr>
        <w:pStyle w:val="Heading3"/>
      </w:pPr>
      <w:r>
        <w:rPr>
          <w:rFonts w:ascii="微软雅黑" w:hAnsi="微软雅黑" w:eastAsia="微软雅黑" w:cs="微软雅黑"/>
        </w:rPr>
        <w:t>3. 美俄柴油协议引发欧洲供应安全质疑</w:t>
      </w:r>
    </w:p>
    <w:p>
      <w:pPr>
        <w:keepNext/>
      </w:pPr>
      <w:r>
        <w:rPr>
          <w:rFonts w:ascii="微软雅黑" w:hAnsi="微软雅黑" w:eastAsia="微软雅黑" w:cs="微软雅黑"/>
        </w:rPr>
        <w:t>领域：石油与炼化</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特朗普宣布与普京达成协议恢复俄罗斯柴油供应至美国和全球市场，欧洲供应安全面临考验。</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美国总统特朗普宣布与俄罗斯总统普京达成协议，恢复俄罗斯柴油供应至美国和全球市场，此举引发对制裁前景及欧洲供应安全的质疑。大宗商品分析机构Kpler数据显示，过去12个月美国墨西哥湾沿岸供应了西北欧约一半的柴油进口；运费上涨降低了部分运往欧洲货物的经济可行性。马克龙表示法国已从卡塔尔获得新的液化天然气供应，并将努力降低从阿拉伯湾运输燃料的成本，以遏制中东战争和俄乌战争导致的能源成本急剧上升。</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美国柴油转向协议安排后，欧洲柴油进口来源受影响，运费上涨降低部分运欧货物的经济可行性。</w:t>
      </w:r>
    </w:p>
    <w:p>
      <w:pPr>
        <w:ind w:firstLine="420"/>
      </w:pPr>
      <w:r>
        <w:rPr>
          <w:rFonts w:ascii="微软雅黑" w:hAnsi="微软雅黑" w:eastAsia="微软雅黑" w:cs="微软雅黑"/>
        </w:rPr>
        <w:t>来源：</w:t>
      </w:r>
      <w:hyperlink w:anchor="source-28979">
        <w:r>
          <w:rPr>
            <w:rFonts w:ascii="微软雅黑" w:hAnsi="微软雅黑" w:eastAsia="微软雅黑" w:cs="微软雅黑"/>
            <w:color w:val="087E89"/>
          </w:rPr>
          <w:t>9</w:t>
        </w:r>
      </w:hyperlink>
      <w:r>
        <w:rPr>
          <w:rFonts w:ascii="微软雅黑" w:hAnsi="微软雅黑" w:eastAsia="微软雅黑" w:cs="微软雅黑"/>
        </w:rPr>
      </w:r>
    </w:p>
    <w:p>
      <w:pPr>
        <w:pStyle w:val="Heading3"/>
      </w:pPr>
      <w:r>
        <w:rPr>
          <w:rFonts w:ascii="微软雅黑" w:hAnsi="微软雅黑" w:eastAsia="微软雅黑" w:cs="微软雅黑"/>
        </w:rPr>
        <w:t>4. 普京警告将俄排除出全球天然气市场的企图将带来严重后果</w:t>
      </w:r>
    </w:p>
    <w:p>
      <w:pPr>
        <w:keepNext/>
      </w:pPr>
      <w:r>
        <w:rPr>
          <w:rFonts w:ascii="微软雅黑" w:hAnsi="微软雅黑" w:eastAsia="微软雅黑" w:cs="微软雅黑"/>
        </w:rPr>
        <w:t>领域：天然气与液化天然气</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俄罗斯总统普京在莫斯科举行的天然气出口国论坛峰会全体会议上警告，任何将俄罗斯排除出全球天然气市场参与者行列的企图都将带来严重后果，包括导致其他国家的成本上升。</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普京在天然气出口国论坛（GECF）第八届峰会全体会议上表示，俄罗斯天然气储量世界第一、开采量世界第二，正负责任地履行对外供应义务；任何将俄罗斯排除出全球天然气市场的企图都将带来严重后果，首先表现为外国终端消费者、企业和家庭面临不断攀升的过高成本，欧洲正因拒绝俄罗斯能源打击自身工业和社会领域。他称“北溪”管道被炸毁是直接的恐怖主义行为。</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普京称欧洲拒绝俄罗斯天然气正在对其自身的工业和社会领域造成打击；俄罗斯多次指出欧盟弃用俄天然气迫使欧洲国家购买更昂贵的能源。</w:t>
      </w:r>
    </w:p>
    <w:p>
      <w:pPr>
        <w:ind w:firstLine="420"/>
      </w:pPr>
      <w:r>
        <w:rPr>
          <w:rFonts w:ascii="微软雅黑" w:hAnsi="微软雅黑" w:eastAsia="微软雅黑" w:cs="微软雅黑"/>
        </w:rPr>
        <w:t>来源：</w:t>
      </w:r>
      <w:hyperlink w:anchor="source-28970">
        <w:r>
          <w:rPr>
            <w:rFonts w:ascii="微软雅黑" w:hAnsi="微软雅黑" w:eastAsia="微软雅黑" w:cs="微软雅黑"/>
            <w:color w:val="087E89"/>
          </w:rPr>
          <w:t>10</w:t>
        </w:r>
      </w:hyperlink>
      <w:r>
        <w:rPr>
          <w:rFonts w:ascii="微软雅黑" w:hAnsi="微软雅黑" w:eastAsia="微软雅黑" w:cs="微软雅黑"/>
        </w:rPr>
        <w:t xml:space="preserve"> </w:t>
      </w:r>
      <w:hyperlink w:anchor="source-29106">
        <w:r>
          <w:rPr>
            <w:rFonts w:ascii="微软雅黑" w:hAnsi="微软雅黑" w:eastAsia="微软雅黑" w:cs="微软雅黑"/>
            <w:color w:val="087E89"/>
          </w:rPr>
          <w:t>11</w:t>
        </w:r>
      </w:hyperlink>
      <w:r>
        <w:rPr>
          <w:rFonts w:ascii="微软雅黑" w:hAnsi="微软雅黑" w:eastAsia="微软雅黑" w:cs="微软雅黑"/>
        </w:rPr>
        <w:t xml:space="preserve"> </w:t>
      </w:r>
      <w:hyperlink w:anchor="source-28973">
        <w:r>
          <w:rPr>
            <w:rFonts w:ascii="微软雅黑" w:hAnsi="微软雅黑" w:eastAsia="微软雅黑" w:cs="微软雅黑"/>
            <w:color w:val="087E89"/>
          </w:rPr>
          <w:t>12</w:t>
        </w:r>
      </w:hyperlink>
      <w:r>
        <w:rPr>
          <w:rFonts w:ascii="微软雅黑" w:hAnsi="微软雅黑" w:eastAsia="微软雅黑" w:cs="微软雅黑"/>
        </w:rPr>
        <w:t xml:space="preserve"> </w:t>
      </w:r>
      <w:hyperlink w:anchor="source-28960">
        <w:r>
          <w:rPr>
            <w:rFonts w:ascii="微软雅黑" w:hAnsi="微软雅黑" w:eastAsia="微软雅黑" w:cs="微软雅黑"/>
            <w:color w:val="087E89"/>
          </w:rPr>
          <w:t>13</w:t>
        </w:r>
      </w:hyperlink>
      <w:r>
        <w:rPr>
          <w:rFonts w:ascii="微软雅黑" w:hAnsi="微软雅黑" w:eastAsia="微软雅黑" w:cs="微软雅黑"/>
        </w:rPr>
      </w:r>
    </w:p>
    <w:p>
      <w:pPr>
        <w:pStyle w:val="Heading3"/>
      </w:pPr>
      <w:r>
        <w:rPr>
          <w:rFonts w:ascii="微软雅黑" w:hAnsi="微软雅黑" w:eastAsia="微软雅黑" w:cs="微软雅黑"/>
        </w:rPr>
        <w:t>5. 全球LNG价格高企，中国天然气市场面临多重成本考验</w:t>
      </w:r>
    </w:p>
    <w:p>
      <w:pPr>
        <w:keepNext/>
      </w:pPr>
      <w:r>
        <w:rPr>
          <w:rFonts w:ascii="微软雅黑" w:hAnsi="微软雅黑" w:eastAsia="微软雅黑" w:cs="微软雅黑"/>
        </w:rPr>
        <w:t>领域：天然气与液化天然气</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全球LNG价格高企背景下，亚洲10月LNG进口量预计达2331万吨，中国进口现货LNG到岸价格及国内出厂价格上行，中国天然气市场面临多重成本考验。</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Kpler船舶追踪数据显示，亚洲10月LNG进口量预计达2331万吨，为7月以来最高，其中中国预计547万吨（高于9月的520万吨），日本预计降至447万吨；欧洲同期预计911万吨，低于去年10月的1059万吨，截至10月下旬欧洲天然气库存充盈率仅约74.6%。国内方面，上海石油天然气交易中心数据显示10月12日至16日中国进口现货LNG近月到岸价格达28.29美元/百万英热，较前一周上涨13.29%；10月21日中国LNG出厂价格达7166元/吨；10月14日中石油直供LNG工厂原料气竞拍加权平均约4.306元/立方米，较前一轮上涨约0.338元/立方米。</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原料气价格上升直接增加部分液化工厂的生产成本；10月21日中海油宁波LNG接收站面向浙江、上海的出站挂牌基准价为8330元/吨，面向江苏为7500元/吨，华北部分接收站报价7600~7700元/吨。</w:t>
      </w:r>
    </w:p>
    <w:p>
      <w:pPr>
        <w:ind w:firstLine="420"/>
      </w:pPr>
      <w:r>
        <w:rPr>
          <w:rFonts w:ascii="微软雅黑" w:hAnsi="微软雅黑" w:eastAsia="微软雅黑" w:cs="微软雅黑"/>
        </w:rPr>
        <w:t>来源：</w:t>
      </w:r>
      <w:hyperlink w:anchor="source-28913">
        <w:r>
          <w:rPr>
            <w:rFonts w:ascii="微软雅黑" w:hAnsi="微软雅黑" w:eastAsia="微软雅黑" w:cs="微软雅黑"/>
            <w:color w:val="087E89"/>
          </w:rPr>
          <w:t>21</w:t>
        </w:r>
      </w:hyperlink>
      <w:r>
        <w:rPr>
          <w:rFonts w:ascii="微软雅黑" w:hAnsi="微软雅黑" w:eastAsia="微软雅黑" w:cs="微软雅黑"/>
        </w:rPr>
      </w:r>
    </w:p>
    <w:p>
      <w:pPr>
        <w:pStyle w:val="Heading3"/>
      </w:pPr>
      <w:r>
        <w:rPr>
          <w:rFonts w:ascii="微软雅黑" w:hAnsi="微软雅黑" w:eastAsia="微软雅黑" w:cs="微软雅黑"/>
        </w:rPr>
        <w:t>6. 陕蒙煤矿降价刹不住车 进口煤港口指数跟跌</w:t>
      </w:r>
    </w:p>
    <w:p>
      <w:pPr>
        <w:keepNext/>
      </w:pPr>
      <w:r>
        <w:rPr>
          <w:rFonts w:ascii="微软雅黑" w:hAnsi="微软雅黑" w:eastAsia="微软雅黑" w:cs="微软雅黑"/>
        </w:rPr>
        <w:t>领域：煤炭</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10月26日煤炭宝统计显示，陕蒙地区调价煤矿（不含竞拍）为16涨、59跌，产地煤价跌多涨少、持续大降；北港动力煤主要指数全部下调，南方港口进口煤跟跌，印尼煤、澳洲煤报价松动10-15元。</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10月26日煤炭宝统计陕蒙地区煤矿调价信息，若不算竞拍煤矿，调价煤矿为16涨、59跌，依然是跌多涨少的局面；上周产地煤价一直大降，已有点刹不住车的架势。受产地煤价下跌影响，北港动力煤主要指数全部下调，南方港口进口煤也陆续跟跌，印尼煤、澳洲煤报价已松动10-15元。珠海高栏港神华竞拍依然全部流拍，下游观望情绪明显增强；很多贸易商表示，前期煤价涨得太猛，现在市场真的是有价无市。</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产地煤价下跌传导至北港指数和南方港口进口煤，下游观望情绪明显增强，珠海高栏港神华竞拍全部流拍，市场呈现有价无市。</w:t>
      </w:r>
    </w:p>
    <w:p>
      <w:pPr>
        <w:ind w:firstLine="420"/>
      </w:pPr>
      <w:r>
        <w:rPr>
          <w:rFonts w:ascii="微软雅黑" w:hAnsi="微软雅黑" w:eastAsia="微软雅黑" w:cs="微软雅黑"/>
        </w:rPr>
        <w:t>来源：</w:t>
      </w:r>
      <w:hyperlink w:anchor="source-29028">
        <w:r>
          <w:rPr>
            <w:rFonts w:ascii="微软雅黑" w:hAnsi="微软雅黑" w:eastAsia="微软雅黑" w:cs="微软雅黑"/>
            <w:color w:val="087E89"/>
          </w:rPr>
          <w:t>17</w:t>
        </w:r>
      </w:hyperlink>
      <w:r>
        <w:rPr>
          <w:rFonts w:ascii="微软雅黑" w:hAnsi="微软雅黑" w:eastAsia="微软雅黑" w:cs="微软雅黑"/>
        </w:rPr>
      </w:r>
    </w:p>
    <w:p>
      <w:pPr>
        <w:pStyle w:val="Heading3"/>
      </w:pPr>
      <w:r>
        <w:rPr>
          <w:rFonts w:ascii="微软雅黑" w:hAnsi="微软雅黑" w:eastAsia="微软雅黑" w:cs="微软雅黑"/>
        </w:rPr>
        <w:t>7. 星座能源获美国能源部最高50亿美元有条件贷款承诺扩大核电</w:t>
      </w:r>
    </w:p>
    <w:p>
      <w:pPr>
        <w:keepNext/>
      </w:pPr>
      <w:r>
        <w:rPr>
          <w:rFonts w:ascii="微软雅黑" w:hAnsi="微软雅黑" w:eastAsia="微软雅黑" w:cs="微软雅黑"/>
        </w:rPr>
        <w:t>领域：核能</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星座能源宣布获得美国能源部能源主导融资办公室最高50亿美元的有条件贷款承诺，用于支持其部分设施的核电增容改造。</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该潜在资金将帮助加速项目，从现有核电站生产更可靠的全天候电力，可能降低融资成本、帮助星座能源以更大规模提供额外核电容量。与谷歌和亚马逊最近签署的20年协议已促使星座能源投资超过70亿美元，新增约1,080兆瓦核电容量；去年与Meta的协议还支持伊利诺伊州克林顿清洁能源中心30兆瓦扩容。潜在支持设施包括伊利诺伊州Braidwood、Byron、Clinton、Dresden、LaSalle、Quad Cities，马里兰州Calvert Cliffs及宾夕法尼亚州Limerick清洁能源中心。</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CEO Joe Dominguez表示，将私营部门需求与联邦融资相结合，可从现有核电站释放更多电力，创造和保留高薪就业岗位，增强美国能源安全。</w:t>
      </w:r>
    </w:p>
    <w:p>
      <w:pPr>
        <w:ind w:firstLine="420"/>
      </w:pPr>
      <w:r>
        <w:rPr>
          <w:rFonts w:ascii="微软雅黑" w:hAnsi="微软雅黑" w:eastAsia="微软雅黑" w:cs="微软雅黑"/>
        </w:rPr>
        <w:t>来源：</w:t>
      </w:r>
      <w:hyperlink w:anchor="source-29220">
        <w:r>
          <w:rPr>
            <w:rFonts w:ascii="微软雅黑" w:hAnsi="微软雅黑" w:eastAsia="微软雅黑" w:cs="微软雅黑"/>
            <w:color w:val="087E89"/>
          </w:rPr>
          <w:t>1</w:t>
        </w:r>
      </w:hyperlink>
      <w:r>
        <w:rPr>
          <w:rFonts w:ascii="微软雅黑" w:hAnsi="微软雅黑" w:eastAsia="微软雅黑" w:cs="微软雅黑"/>
        </w:rPr>
      </w:r>
    </w:p>
    <w:p>
      <w:pPr>
        <w:pStyle w:val="Heading3"/>
      </w:pPr>
      <w:r>
        <w:rPr>
          <w:rFonts w:ascii="微软雅黑" w:hAnsi="微软雅黑" w:eastAsia="微软雅黑" w:cs="微软雅黑"/>
        </w:rPr>
        <w:t>8. 巴西PDE 2036预测能源需求增长及电力占比提升</w:t>
      </w:r>
    </w:p>
    <w:p>
      <w:pPr>
        <w:keepNext/>
      </w:pPr>
      <w:r>
        <w:rPr>
          <w:rFonts w:ascii="微软雅黑" w:hAnsi="微软雅黑" w:eastAsia="微软雅黑" w:cs="微软雅黑"/>
        </w:rPr>
        <w:t>领域：电力与储能</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巴西矿产能源部（MME）与能源研究公司（EPE）于2026年10月27日发布《十年能源扩张计划2036》（PDE 2036）能源需求专刊，预测电网供电消费将大幅增长，电力和天然气在需求中的份额上升。</w:t>
      </w:r>
    </w:p>
    <w:p>
      <w:pPr>
        <w:keepNext/>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电网供电的消费预计从2026年的620 TWh增至2036年的878 TWh。数据中心、电动出行和电解制氢工厂等大型负荷预计2036年合计消费约47 TWh，是2026年预估需求的十倍以上。石油衍生品仍占需求的重要份额，但相对占比将下降，电力和天然气份额将上升；工业与交通合计约占2036年终端能源消费的62%。建筑领域电力仍将是主要能源，其中数据中心电力需求预计2036年达到30 TWh。</w:t>
      </w:r>
    </w:p>
    <w:p>
      <w:pPr>
        <w:ind w:firstLine="420"/>
      </w:pPr>
      <w:r>
        <w:rPr>
          <w:rFonts w:ascii="微软雅黑" w:hAnsi="微软雅黑" w:eastAsia="微软雅黑" w:cs="微软雅黑"/>
        </w:rPr>
        <w:t>来源：</w:t>
      </w:r>
      <w:hyperlink w:anchor="source-29165">
        <w:r>
          <w:rPr>
            <w:rFonts w:ascii="微软雅黑" w:hAnsi="微软雅黑" w:eastAsia="微软雅黑" w:cs="微软雅黑"/>
            <w:color w:val="087E89"/>
          </w:rPr>
          <w:t>7</w:t>
        </w:r>
      </w:hyperlink>
      <w:r>
        <w:rPr>
          <w:rFonts w:ascii="微软雅黑" w:hAnsi="微软雅黑" w:eastAsia="微软雅黑" w:cs="微软雅黑"/>
        </w:rPr>
      </w:r>
    </w:p>
    <w:p>
      <w:pPr>
        <w:pStyle w:val="Heading3"/>
      </w:pPr>
      <w:r>
        <w:rPr>
          <w:rFonts w:ascii="微软雅黑" w:hAnsi="微软雅黑" w:eastAsia="微软雅黑" w:cs="微软雅黑"/>
        </w:rPr>
        <w:t>9. WMO：2025年温室气体浓度创纪录，二氧化碳达426.8 ppm</w:t>
      </w:r>
    </w:p>
    <w:p>
      <w:pPr>
        <w:keepNext/>
      </w:pPr>
      <w:r>
        <w:rPr>
          <w:rFonts w:ascii="微软雅黑" w:hAnsi="微软雅黑" w:eastAsia="微软雅黑" w:cs="微软雅黑"/>
        </w:rPr>
        <w:t>领域：新能源与能源转型</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世界气象组织（WMO）表示，2025年大气中二氧化碳及其他主要温室气体因化石燃料燃烧达到创纪录水平，锁定更多长期全球变暖。</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WMO最新《温室气体公报》显示，2025年全球二氧化碳平均浓度为426.8 ppm，相当于1750年工业化前基线的153%；甲烷和氧化亚氮也创历史新高。2004年公报首次发布时二氧化碳年均浓度为377.5 ppm。二氧化碳增长速度自1960年代以来已增至三倍，从年均0.8 ppm升至2011至2020年间的年均2.4 ppm；2023-2024年出现3.5 ppm的“异常激增”，与强厄尔尼诺同期。NOAA年度温室气体指数显示，1990至2025年温室气体造成的气候增温效应增加56%，其中二氧化碳约占该增温增幅的81%。</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WMO高级科学官员Oksana Tarasova指出，2024-2025年二氧化碳年增量为2.8 ppm，仍是化石燃料燃烧向大气大量排碳；由于化石燃料燃烧和强厄尔尼诺的发展，预计2026年浓度将进一步上升。</w:t>
      </w:r>
    </w:p>
    <w:p>
      <w:pPr>
        <w:ind w:firstLine="420"/>
      </w:pPr>
      <w:r>
        <w:rPr>
          <w:rFonts w:ascii="微软雅黑" w:hAnsi="微软雅黑" w:eastAsia="微软雅黑" w:cs="微软雅黑"/>
        </w:rPr>
        <w:t>来源：</w:t>
      </w:r>
      <w:hyperlink w:anchor="source-28987">
        <w:r>
          <w:rPr>
            <w:rFonts w:ascii="微软雅黑" w:hAnsi="微软雅黑" w:eastAsia="微软雅黑" w:cs="微软雅黑"/>
            <w:color w:val="087E89"/>
          </w:rPr>
          <w:t>2</w:t>
        </w:r>
      </w:hyperlink>
      <w:r>
        <w:rPr>
          <w:rFonts w:ascii="微软雅黑" w:hAnsi="微软雅黑" w:eastAsia="微软雅黑" w:cs="微软雅黑"/>
        </w:rPr>
      </w:r>
    </w:p>
    <w:p>
      <w:pPr>
        <w:pStyle w:val="Heading3"/>
      </w:pPr>
      <w:r>
        <w:rPr>
          <w:rFonts w:ascii="微软雅黑" w:hAnsi="微软雅黑" w:eastAsia="微软雅黑" w:cs="微软雅黑"/>
        </w:rPr>
        <w:t>10. 挪威能源使用效率不断提高，交通与建筑贡献突出</w:t>
      </w:r>
    </w:p>
    <w:p>
      <w:pPr>
        <w:keepNext/>
      </w:pPr>
      <w:r>
        <w:rPr>
          <w:rFonts w:ascii="微软雅黑" w:hAnsi="微软雅黑" w:eastAsia="微软雅黑" w:cs="微软雅黑"/>
        </w:rPr>
        <w:t>领域：企业与产业链</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挪威能源使用效率不断提高，交通部门和建筑通过大规模电气化和能源效率提升，对能源强度下降贡献尤为突出。</w:t>
      </w:r>
    </w:p>
    <w:p>
      <w:pPr>
        <w:keepNext/>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交通部门和建筑通过大规模电气化和能源效率提升，对能源强度下降贡献尤为突出。</w:t>
      </w:r>
    </w:p>
    <w:p>
      <w:pPr>
        <w:ind w:firstLine="420"/>
      </w:pPr>
      <w:r>
        <w:rPr>
          <w:rFonts w:ascii="微软雅黑" w:hAnsi="微软雅黑" w:eastAsia="微软雅黑" w:cs="微软雅黑"/>
        </w:rPr>
        <w:t>来源：</w:t>
      </w:r>
      <w:hyperlink w:anchor="source-28624">
        <w:r>
          <w:rPr>
            <w:rFonts w:ascii="微软雅黑" w:hAnsi="微软雅黑" w:eastAsia="微软雅黑" w:cs="微软雅黑"/>
            <w:color w:val="087E89"/>
          </w:rPr>
          <w:t>14</w:t>
        </w:r>
      </w:hyperlink>
      <w:r>
        <w:rPr>
          <w:rFonts w:ascii="微软雅黑" w:hAnsi="微软雅黑" w:eastAsia="微软雅黑" w:cs="微软雅黑"/>
        </w:rPr>
      </w:r>
    </w:p>
    <w:p>
      <w:pPr>
        <w:pStyle w:val="Heading2"/>
      </w:pPr>
      <w:r>
        <w:rPr>
          <w:rFonts w:ascii="微软雅黑" w:hAnsi="微软雅黑" w:eastAsia="微软雅黑" w:cs="微软雅黑"/>
        </w:rPr>
        <w:t>中国重点事件</w:t>
      </w:r>
    </w:p>
    <w:p>
      <w:pPr>
        <w:pStyle w:val="Heading3"/>
      </w:pPr>
      <w:r>
        <w:rPr>
          <w:rFonts w:ascii="微软雅黑" w:hAnsi="微软雅黑" w:eastAsia="微软雅黑" w:cs="微软雅黑"/>
        </w:rPr>
        <w:t>11. 国家发展改革委印发《能源保供中长期合同管理办法（试行）》</w:t>
      </w:r>
    </w:p>
    <w:p>
      <w:pPr>
        <w:keepNext/>
      </w:pPr>
      <w:r>
        <w:rPr>
          <w:rFonts w:ascii="微软雅黑" w:hAnsi="微软雅黑" w:eastAsia="微软雅黑" w:cs="微软雅黑"/>
        </w:rPr>
        <w:t>领域：政策与能源安全</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国家发展改革委印发《能源保供中长期合同管理办法（试行）》（国家发展改革委令2026年第50号），自2026年12月1日起施行，旨在保障能源安全、稳定、可靠、有效供给。</w:t>
      </w:r>
    </w:p>
    <w:p>
      <w:pPr>
        <w:keepNext/>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办法》共6章45条，对电煤、电力、天然气保供中长期合同的签订、履行、监管等活动作出规定，第二章到第四章分别规范三类合同的概念界定、签约履约、变更调整、服务保障等内容。坚持市场化和法治化相结合，引导供需双方自主协商签订合同，同时强化政府在统筹协调、民生兜底和履约监管等方面的职责；坚持安全底线和民生优先，原则上优先保障民生用能需求；坚持系统设计和分类管理，针对不同能源品类供需特性差异分类明确细则，形成“企业主责、政府监管、分级负责”的责任链条。合同履行中经供需双方协商一致可变更调整，对能源保供工作造成严重影响的依法追责，并构建政策激励约束机制提升履约质效。</w:t>
      </w:r>
    </w:p>
    <w:p>
      <w:pPr>
        <w:ind w:firstLine="420"/>
      </w:pPr>
      <w:r>
        <w:rPr>
          <w:rFonts w:ascii="微软雅黑" w:hAnsi="微软雅黑" w:eastAsia="微软雅黑" w:cs="微软雅黑"/>
        </w:rPr>
        <w:t>来源：</w:t>
      </w:r>
      <w:hyperlink w:anchor="source-28909">
        <w:r>
          <w:rPr>
            <w:rFonts w:ascii="微软雅黑" w:hAnsi="微软雅黑" w:eastAsia="微软雅黑" w:cs="微软雅黑"/>
            <w:color w:val="087E89"/>
          </w:rPr>
          <w:t>3</w:t>
        </w:r>
      </w:hyperlink>
      <w:r>
        <w:rPr>
          <w:rFonts w:ascii="微软雅黑" w:hAnsi="微软雅黑" w:eastAsia="微软雅黑" w:cs="微软雅黑"/>
        </w:rPr>
      </w:r>
    </w:p>
    <w:p>
      <w:pPr>
        <w:pStyle w:val="Heading3"/>
      </w:pPr>
      <w:r>
        <w:rPr>
          <w:rFonts w:ascii="微软雅黑" w:hAnsi="微软雅黑" w:eastAsia="微软雅黑" w:cs="微软雅黑"/>
        </w:rPr>
        <w:t>12. 华中区域首例“算电协同”完成市场化交易</w:t>
      </w:r>
    </w:p>
    <w:p>
      <w:pPr>
        <w:keepNext/>
      </w:pPr>
      <w:r>
        <w:rPr>
          <w:rFonts w:ascii="微软雅黑" w:hAnsi="微软雅黑" w:eastAsia="微软雅黑" w:cs="微软雅黑"/>
        </w:rPr>
        <w:t>领域：政策与能源安全</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近日，湖北两家算力中心共1.5万千瓦柔性算力负荷纳入虚拟电厂资源池，并完成华中区域首笔“算电协同”市场化交易。</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华中能源监管局持续推动完善中长期、现货及辅助服务市场机制，积极支持将算力资源纳入负荷类虚拟电厂管理范畴。通过引导虚拟电厂依据现货电价曲线动态优化算力任务安排，构建高峰压减、低谷释放的柔性调节机制。算力中心电力成本可占总成本的40%到60%，算力负荷具有天然柔性，AI训练、仿真计算等大量任务并非实时刚性用电，具备在时间维度上腾挪的空间。</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据测算，在保障算力业务连续稳定开展的前提下，预计企业用电成本下降约6%，实现电网安全保供、新能源高效消纳、算力企业降本增效三方共赢。</w:t>
      </w:r>
    </w:p>
    <w:p>
      <w:pPr>
        <w:ind w:firstLine="420"/>
      </w:pPr>
      <w:r>
        <w:rPr>
          <w:rFonts w:ascii="微软雅黑" w:hAnsi="微软雅黑" w:eastAsia="微软雅黑" w:cs="微软雅黑"/>
        </w:rPr>
        <w:t>来源：</w:t>
      </w:r>
      <w:hyperlink w:anchor="source-29013">
        <w:r>
          <w:rPr>
            <w:rFonts w:ascii="微软雅黑" w:hAnsi="微软雅黑" w:eastAsia="微软雅黑" w:cs="微软雅黑"/>
            <w:color w:val="087E89"/>
          </w:rPr>
          <w:t>20</w:t>
        </w:r>
      </w:hyperlink>
      <w:r>
        <w:rPr>
          <w:rFonts w:ascii="微软雅黑" w:hAnsi="微软雅黑" w:eastAsia="微软雅黑" w:cs="微软雅黑"/>
        </w:rPr>
      </w:r>
    </w:p>
    <w:p>
      <w:pPr>
        <w:pStyle w:val="Heading3"/>
      </w:pPr>
      <w:r>
        <w:rPr>
          <w:rFonts w:ascii="微软雅黑" w:hAnsi="微软雅黑" w:eastAsia="微软雅黑" w:cs="微软雅黑"/>
        </w:rPr>
        <w:t>13. 中国石油前三季度乙烯产量同比增长26.4%创历史同期新高</w:t>
      </w:r>
    </w:p>
    <w:p>
      <w:pPr>
        <w:keepNext/>
      </w:pPr>
      <w:r>
        <w:rPr>
          <w:rFonts w:ascii="微软雅黑" w:hAnsi="微软雅黑" w:eastAsia="微软雅黑" w:cs="微软雅黑"/>
        </w:rPr>
        <w:t>领域：石油与炼化</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今年前三季度，中国石油乙烯产量同比增长26.4%，创历史同期新高；乙烯总产能突破1200万吨/年，6家企业乙烯年产能突破百万吨。</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前三季度中国石油乙烯总产能突破1200万吨/年，6家企业乙烯年产能突破百万吨。今年2月以来美以伊战事导致全球石化原料供应链剧烈震荡，霍尔木兹海峡通行受阻后全球乙烯及高端化工材料价格宽幅震荡，10月23日东北亚乙烯现货价涨至1190美元/吨，较冲突前695美元/吨溢价超70%。中国石油依托石脑油制乙烯与乙烷制乙烯双轮驱动原料体系，前三季度炼化企业间乙烯原料互供总量超178万吨，并加大长庆、塔里木等自有油气田乙烷回收力度。大庆石化通过催化干气碳二回收装置使乙烯日产量增加40吨；兰州石化改进拔头油系统“分储分裂”运行模式；独山子石化前三季度乙烯产量同比增长13.72%。</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中国石油大学（北京）郭海涛认为，此次全球供应链冲击揭示了能源化工产业链在极端情境下的脆弱性；中国石油乙烯产能释放叠加乙烷路线原料自主可控、石脑油路线区域互供，在进口乙烯资源大幅缩减的窗口期有效对冲了供给缺口。</w:t>
      </w:r>
    </w:p>
    <w:p>
      <w:pPr>
        <w:ind w:firstLine="420"/>
      </w:pPr>
      <w:r>
        <w:rPr>
          <w:rFonts w:ascii="微软雅黑" w:hAnsi="微软雅黑" w:eastAsia="微软雅黑" w:cs="微软雅黑"/>
        </w:rPr>
        <w:t>来源：</w:t>
      </w:r>
      <w:hyperlink w:anchor="source-29063">
        <w:r>
          <w:rPr>
            <w:rFonts w:ascii="微软雅黑" w:hAnsi="微软雅黑" w:eastAsia="微软雅黑" w:cs="微软雅黑"/>
            <w:color w:val="087E89"/>
          </w:rPr>
          <w:t>15</w:t>
        </w:r>
      </w:hyperlink>
      <w:r>
        <w:rPr>
          <w:rFonts w:ascii="微软雅黑" w:hAnsi="微软雅黑" w:eastAsia="微软雅黑" w:cs="微软雅黑"/>
        </w:rPr>
      </w:r>
    </w:p>
    <w:p>
      <w:pPr>
        <w:pStyle w:val="Heading3"/>
      </w:pPr>
      <w:r>
        <w:rPr>
          <w:rFonts w:ascii="微软雅黑" w:hAnsi="微软雅黑" w:eastAsia="微软雅黑" w:cs="微软雅黑"/>
        </w:rPr>
        <w:t>14. 上海发布能源装备产业创新发展三年行动方案</w:t>
      </w:r>
    </w:p>
    <w:p>
      <w:pPr>
        <w:keepNext/>
      </w:pPr>
      <w:r>
        <w:rPr>
          <w:rFonts w:ascii="微软雅黑" w:hAnsi="微软雅黑" w:eastAsia="微软雅黑" w:cs="微软雅黑"/>
        </w:rPr>
        <w:t>领域：天然气与液化天然气</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上海市四部门印发《上海能源装备产业创新发展三年行动方案（2027-2029年）》，提出到2029年产值规模实现4000亿元，力争2030年突破5000亿元。</w:t>
      </w:r>
    </w:p>
    <w:p>
      <w:pPr>
        <w:keepNext/>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10月26日，上海市经济信息化委、市发展改革委、市科委、市地方金融管理局印发该方案，文件落款日期为2026年10月21日。《方案》提出到2029年形成“43613”体系化突破，产值规模实现4000亿元，形成闵行、松江、临港新片区3个千亿级集聚区，先进核能、氢基能源、海上风电等6个百亿级新兴领域，打造微型反应堆、高掺氢工业燃机、25MW级深远海漂浮式风机等10个标志性产品，培育3家以上优质企业；力争到2030年产值规模突破5000亿元。重点领域包括新型核能（钍基熔盐堆、气冷微堆、聚变实验装置等）、氢基能源（大功率燃料电池电堆、碱性/PEM/AEM电解槽）、“光储燃”新赛道及“风火电”转型升级，并加强长三角区域协作，打造世界级能源装备产业集群。</w:t>
      </w:r>
    </w:p>
    <w:p>
      <w:pPr>
        <w:ind w:firstLine="420"/>
      </w:pPr>
      <w:r>
        <w:rPr>
          <w:rFonts w:ascii="微软雅黑" w:hAnsi="微软雅黑" w:eastAsia="微软雅黑" w:cs="微软雅黑"/>
        </w:rPr>
        <w:t>来源：</w:t>
      </w:r>
      <w:hyperlink w:anchor="source-29183">
        <w:r>
          <w:rPr>
            <w:rFonts w:ascii="微软雅黑" w:hAnsi="微软雅黑" w:eastAsia="微软雅黑" w:cs="微软雅黑"/>
            <w:color w:val="087E89"/>
          </w:rPr>
          <w:t>6</w:t>
        </w:r>
      </w:hyperlink>
      <w:r>
        <w:rPr>
          <w:rFonts w:ascii="微软雅黑" w:hAnsi="微软雅黑" w:eastAsia="微软雅黑" w:cs="微软雅黑"/>
        </w:rPr>
      </w:r>
    </w:p>
    <w:p>
      <w:pPr>
        <w:pStyle w:val="Heading3"/>
      </w:pPr>
      <w:r>
        <w:rPr>
          <w:rFonts w:ascii="微软雅黑" w:hAnsi="微软雅黑" w:eastAsia="微软雅黑" w:cs="微软雅黑"/>
        </w:rPr>
        <w:t>15. CLD周环比涨7% 欧亚买家跨区竞价推升亚洲LNG现货价格</w:t>
      </w:r>
    </w:p>
    <w:p>
      <w:pPr>
        <w:keepNext/>
      </w:pPr>
      <w:r>
        <w:rPr>
          <w:rFonts w:ascii="微软雅黑" w:hAnsi="微软雅黑" w:eastAsia="微软雅黑" w:cs="微软雅黑"/>
        </w:rPr>
        <w:t>领域：天然气与液化天然气</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10月19日-23日当周，中国进口现货液化天然气到岸价格（CLD）周环比上涨7.00%，欧亚买家竞价现货船货推升亚洲到岸价格。</w:t>
      </w:r>
    </w:p>
    <w:p>
      <w:pPr>
        <w:keepNext/>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上周（10月19日-23日）CLD（近月-12月）录得191.535元/吉焦（30.355美元/百万英热），周环比上涨12.525元/吉焦，涨幅7.00%；截至10月23日，月均价183.811元/吉焦（29.098美元/百万英热），较CLD-11月均价上涨21.365元/吉焦，涨幅13.15%。美国方面，气象模型上调本土中东部气温预期，冬季提前用气预期快速证伪，叠加页岩气产出维持高位、库存高于五年均值，10月23日HH天然气期货（近月-11月）为2.640美元/百万英热，周环比下跌15.28%。欧洲方面，供暖季前储气填充率显著低于往年同期，霍尔木兹海峡航运风险持续带来LNG供给溢价，10月23日TTF（近月-11月）为93.853欧元/兆瓦时（约合30.788美元/百万英热），周环比上涨7.20%。亚洲方面，日韩及国内采购方开启冬季备货投标，与欧洲买方形成跨区船货竞争，推升LNG现货到岸评估价格。</w:t>
      </w:r>
    </w:p>
    <w:p>
      <w:pPr>
        <w:ind w:firstLine="420"/>
      </w:pPr>
      <w:r>
        <w:rPr>
          <w:rFonts w:ascii="微软雅黑" w:hAnsi="微软雅黑" w:eastAsia="微软雅黑" w:cs="微软雅黑"/>
        </w:rPr>
        <w:t>来源：</w:t>
      </w:r>
      <w:hyperlink w:anchor="source-28908">
        <w:r>
          <w:rPr>
            <w:rFonts w:ascii="微软雅黑" w:hAnsi="微软雅黑" w:eastAsia="微软雅黑" w:cs="微软雅黑"/>
            <w:color w:val="087E89"/>
          </w:rPr>
          <w:t>22</w:t>
        </w:r>
      </w:hyperlink>
      <w:r>
        <w:rPr>
          <w:rFonts w:ascii="微软雅黑" w:hAnsi="微软雅黑" w:eastAsia="微软雅黑" w:cs="微软雅黑"/>
        </w:rPr>
      </w:r>
    </w:p>
    <w:p>
      <w:pPr>
        <w:pStyle w:val="Heading3"/>
      </w:pPr>
      <w:r>
        <w:rPr>
          <w:rFonts w:ascii="微软雅黑" w:hAnsi="微软雅黑" w:eastAsia="微软雅黑" w:cs="微软雅黑"/>
        </w:rPr>
        <w:t>16. 中煤陕西公司大海则煤矿因重大事故隐患被责令停产整顿</w:t>
      </w:r>
    </w:p>
    <w:p>
      <w:pPr>
        <w:keepNext/>
      </w:pPr>
      <w:r>
        <w:rPr>
          <w:rFonts w:ascii="微软雅黑" w:hAnsi="微软雅黑" w:eastAsia="微软雅黑" w:cs="微软雅黑"/>
        </w:rPr>
        <w:t>领域：煤炭</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10月21日，榆林市安全生产委员会〔2026〕33号公告对中煤陕西榆林能源化工有限公司大海则煤矿存在的重大事故隐患实施市级挂牌督办，责令该矿立即停产整顿。</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10月21日，榆林市应急管理局网站挂出榆林市安全生产委员会〔2026〕33号公告，对中煤陕西榆林能源化工有限公司大海则煤矿存在的重大事故隐患实施市级挂牌督办，责令该矿立即停产整顿。公告要求榆阳区人民政府、市能源局严格落实属地监管责任和行业部门督办责任，将市级挂牌重大事故隐患纳入重点检查和监管范围，全程跟踪督办，严格按销号程序提请销号。大海则煤矿是中煤陕西公司核心矿井，井田面积265.63平方公里，可采储量32亿吨，建设规模2000万吨/年，2023年通过竣工验收并取得安全生产许可证，是国家首批智能化示范建设煤矿。</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大海则煤矿是中煤陕西公司煤化工项目的配套资源矿井，所产特低灰、特高热值不粘煤主要供化工和动力用煤，停产整顿或影响相关煤炭供应。</w:t>
      </w:r>
    </w:p>
    <w:p>
      <w:pPr>
        <w:ind w:firstLine="420"/>
      </w:pPr>
      <w:r>
        <w:rPr>
          <w:rFonts w:ascii="微软雅黑" w:hAnsi="微软雅黑" w:eastAsia="微软雅黑" w:cs="微软雅黑"/>
        </w:rPr>
        <w:t>来源：</w:t>
      </w:r>
      <w:hyperlink w:anchor="source-29027">
        <w:r>
          <w:rPr>
            <w:rFonts w:ascii="微软雅黑" w:hAnsi="微软雅黑" w:eastAsia="微软雅黑" w:cs="微软雅黑"/>
            <w:color w:val="087E89"/>
          </w:rPr>
          <w:t>16</w:t>
        </w:r>
      </w:hyperlink>
      <w:r>
        <w:rPr>
          <w:rFonts w:ascii="微软雅黑" w:hAnsi="微软雅黑" w:eastAsia="微软雅黑" w:cs="微软雅黑"/>
        </w:rPr>
      </w:r>
    </w:p>
    <w:p>
      <w:pPr>
        <w:pStyle w:val="Heading3"/>
      </w:pPr>
      <w:r>
        <w:rPr>
          <w:rFonts w:ascii="微软雅黑" w:hAnsi="微软雅黑" w:eastAsia="微软雅黑" w:cs="微软雅黑"/>
        </w:rPr>
        <w:t>17. 国办发文：2030年基本建成全国统一电力市场体系</w:t>
      </w:r>
    </w:p>
    <w:p>
      <w:pPr>
        <w:keepNext/>
      </w:pPr>
      <w:r>
        <w:rPr>
          <w:rFonts w:ascii="微软雅黑" w:hAnsi="微软雅黑" w:eastAsia="微软雅黑" w:cs="微软雅黑"/>
        </w:rPr>
        <w:t>领域：电力与储能</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国务院办公厅印发《关于完善全国统一电力市场体系的实施意见》（国办发〔2026〕4号），旨在深化电力体制改革，健全适应新型能源体系的市场和价格机制，在全国范围内有效实现电力资源市场化配置。</w:t>
      </w:r>
    </w:p>
    <w:p>
      <w:pPr>
        <w:keepNext/>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意见提出到2030年基本建成全国统一电力市场体系，各类型电源和除保障性用户外的电力用户全部直接参与电力市场，市场化交易电量占全社会用电量的70%左右，现货市场全面转入正式运行；到2035年全面建成，电力资源的电能量、调节、环境、容量等多维价值全面由市场反映。推动跨省跨区交易与省内交易衔接融合，实现经营主体“一地注册、全国共享”，条件成熟时研究组建全国电力交易中心。</w:t>
      </w:r>
    </w:p>
    <w:p>
      <w:pPr>
        <w:ind w:firstLine="420"/>
      </w:pPr>
      <w:r>
        <w:rPr>
          <w:rFonts w:ascii="微软雅黑" w:hAnsi="微软雅黑" w:eastAsia="微软雅黑" w:cs="微软雅黑"/>
        </w:rPr>
        <w:t>来源：</w:t>
      </w:r>
      <w:hyperlink w:anchor="source-28763">
        <w:r>
          <w:rPr>
            <w:rFonts w:ascii="微软雅黑" w:hAnsi="微软雅黑" w:eastAsia="微软雅黑" w:cs="微软雅黑"/>
            <w:color w:val="087E89"/>
          </w:rPr>
          <w:t>4</w:t>
        </w:r>
      </w:hyperlink>
      <w:r>
        <w:rPr>
          <w:rFonts w:ascii="微软雅黑" w:hAnsi="微软雅黑" w:eastAsia="微软雅黑" w:cs="微软雅黑"/>
        </w:rPr>
      </w:r>
    </w:p>
    <w:p>
      <w:pPr>
        <w:pStyle w:val="Heading3"/>
      </w:pPr>
      <w:r>
        <w:rPr>
          <w:rFonts w:ascii="微软雅黑" w:hAnsi="微软雅黑" w:eastAsia="微软雅黑" w:cs="微软雅黑"/>
        </w:rPr>
        <w:t>18. 我国风电光伏累计装机容量突破20亿千瓦</w:t>
      </w:r>
    </w:p>
    <w:p>
      <w:pPr>
        <w:keepNext/>
      </w:pPr>
      <w:r>
        <w:rPr>
          <w:rFonts w:ascii="微软雅黑" w:hAnsi="微软雅黑" w:eastAsia="微软雅黑" w:cs="微软雅黑"/>
        </w:rPr>
        <w:t>领域：新能源与能源转型</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国家能源局数据显示，截至9月底全国风电光伏累计装机容量突破20亿千瓦，达到20.1亿千瓦，前三季度新增装机约1.7亿千瓦。</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国家能源局数据显示，今年前三季度风电光伏发电新增装机容量约1.7亿千瓦；截至9月底，全国风电光伏累计装机容量突破20亿千瓦，达到20.1亿千瓦。风光发电增量占全社会新增用电量的64%，新能源大规模替代传统化石能源的减碳效益持续释放。前三季度全国风电和太阳能发电完成投资额约占能源领域完成投资额的三分之一，带动新能源装备制造、材料研发、智能运维等上下游产业协同发展。</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风光发电增量占全社会新增用电量的64%，减碳效益持续释放；风光投资约占能源领域完成投资额的三分之一，带动上下游产业协同发展。</w:t>
      </w:r>
    </w:p>
    <w:p>
      <w:pPr>
        <w:ind w:firstLine="420"/>
      </w:pPr>
      <w:r>
        <w:rPr>
          <w:rFonts w:ascii="微软雅黑" w:hAnsi="微软雅黑" w:eastAsia="微软雅黑" w:cs="微软雅黑"/>
        </w:rPr>
        <w:t>来源：</w:t>
      </w:r>
      <w:hyperlink w:anchor="source-28992">
        <w:r>
          <w:rPr>
            <w:rFonts w:ascii="微软雅黑" w:hAnsi="微软雅黑" w:eastAsia="微软雅黑" w:cs="微软雅黑"/>
            <w:color w:val="087E89"/>
          </w:rPr>
          <w:t>8</w:t>
        </w:r>
      </w:hyperlink>
      <w:r>
        <w:rPr>
          <w:rFonts w:ascii="微软雅黑" w:hAnsi="微软雅黑" w:eastAsia="微软雅黑" w:cs="微软雅黑"/>
        </w:rPr>
      </w:r>
    </w:p>
    <w:p>
      <w:pPr>
        <w:pStyle w:val="Heading3"/>
      </w:pPr>
      <w:r>
        <w:rPr>
          <w:rFonts w:ascii="微软雅黑" w:hAnsi="微软雅黑" w:eastAsia="微软雅黑" w:cs="微软雅黑"/>
        </w:rPr>
        <w:t>19. 9月光伏新增装机13.64GW，发电设备利用小时数下降</w:t>
      </w:r>
    </w:p>
    <w:p>
      <w:pPr>
        <w:keepNext/>
      </w:pPr>
      <w:r>
        <w:rPr>
          <w:rFonts w:ascii="微软雅黑" w:hAnsi="微软雅黑" w:eastAsia="微软雅黑" w:cs="微软雅黑"/>
        </w:rPr>
        <w:t>领域：新能源与能源转型</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国家能源局10月26日发布1-9月全国电力统计数据，9月光伏新增装机13.64GW，同比增长41.2%，出现反弹，但前九个月全国发电设备平均利用小时数下降194小时。</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10月26日国家能源局发布1-9月全国电力统计数据：截至9月底全国累计发电装机容量41.3亿千瓦，同比增长11.2%；太阳能发电装机13.1亿千瓦，同比增长16.5%；风电装机7.0亿千瓦，同比增长20.4%。1-9月全国发电设备累计平均利用2174小时，比上年同期降低194小时。结合前8月数据计算，9月光伏新增装机13.64GW，同比增长41.2%，环比8月增长23.6%。中国光伏行业协会（CPIA）指出，市场电价下跌、电网限电及项目相关成本上升等因素抑制投资意愿，尤其是部分资源丰富省份的集中式电站项目。</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CPIA维持2026年新增光伏装机180吉瓦至240吉瓦的预测；要达到区间下限，第四季度需新增约69.17吉瓦，相当于月均23.06吉瓦，远高于第三季度月均12.92吉瓦。</w:t>
      </w:r>
    </w:p>
    <w:p>
      <w:pPr>
        <w:ind w:firstLine="420"/>
      </w:pPr>
      <w:r>
        <w:rPr>
          <w:rFonts w:ascii="微软雅黑" w:hAnsi="微软雅黑" w:eastAsia="微软雅黑" w:cs="微软雅黑"/>
        </w:rPr>
        <w:t>来源：</w:t>
      </w:r>
      <w:hyperlink w:anchor="source-28499">
        <w:r>
          <w:rPr>
            <w:rFonts w:ascii="微软雅黑" w:hAnsi="微软雅黑" w:eastAsia="微软雅黑" w:cs="微软雅黑"/>
            <w:color w:val="087E89"/>
          </w:rPr>
          <w:t>23</w:t>
        </w:r>
      </w:hyperlink>
      <w:r>
        <w:rPr>
          <w:rFonts w:ascii="微软雅黑" w:hAnsi="微软雅黑" w:eastAsia="微软雅黑" w:cs="微软雅黑"/>
        </w:rPr>
        <w:t xml:space="preserve"> </w:t>
      </w:r>
      <w:hyperlink w:anchor="source-28840">
        <w:r>
          <w:rPr>
            <w:rFonts w:ascii="微软雅黑" w:hAnsi="微软雅黑" w:eastAsia="微软雅黑" w:cs="微软雅黑"/>
            <w:color w:val="087E89"/>
          </w:rPr>
          <w:t>24</w:t>
        </w:r>
      </w:hyperlink>
      <w:r>
        <w:rPr>
          <w:rFonts w:ascii="微软雅黑" w:hAnsi="微软雅黑" w:eastAsia="微软雅黑" w:cs="微软雅黑"/>
        </w:rPr>
      </w:r>
    </w:p>
    <w:p>
      <w:pPr>
        <w:pStyle w:val="Heading3"/>
      </w:pPr>
      <w:r>
        <w:rPr>
          <w:rFonts w:ascii="微软雅黑" w:hAnsi="微软雅黑" w:eastAsia="微软雅黑" w:cs="微软雅黑"/>
        </w:rPr>
        <w:t>20. 青海油田“一井一策”唤醒老油藏，措施井累计增油5.68万吨</w:t>
      </w:r>
    </w:p>
    <w:p>
      <w:pPr>
        <w:keepNext/>
      </w:pPr>
      <w:r>
        <w:rPr>
          <w:rFonts w:ascii="微软雅黑" w:hAnsi="微软雅黑" w:eastAsia="微软雅黑" w:cs="微软雅黑"/>
        </w:rPr>
        <w:t>领域：企业与产业链</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青海油田今年推行“先算后干、算赢再干”，对全油田长停井、低效井全面摸排并建立潜力台账，把措施资源优先投向尕斯中浅层油藏、跃进二号东高点油藏、七个泉油田等高效区块，措施增油成效显著。</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截至10月26日，青海油田高效区块实施措施井393口，平均单井日增油1.6吨，高于油田平均水平0.2吨；累计完成压裂253井次、843层段，施工有效率83.1%，累计增油5.68万吨。采油一厂完成油井综合治理299口井，措施有效255口井，有效率85.3%；采油三厂实施七个泉油藏一层系压裂43口，平均单井日增油2.1吨，吨油措施费用较去年下降28.5%。</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截至目前6口风险井顺利见油，日增油26.1吨，为后续增储上产提供支撑。</w:t>
      </w:r>
    </w:p>
    <w:p>
      <w:pPr>
        <w:ind w:firstLine="420"/>
      </w:pPr>
      <w:r>
        <w:rPr>
          <w:rFonts w:ascii="微软雅黑" w:hAnsi="微软雅黑" w:eastAsia="微软雅黑" w:cs="微软雅黑"/>
        </w:rPr>
        <w:t>来源：</w:t>
      </w:r>
      <w:hyperlink w:anchor="source-28602">
        <w:r>
          <w:rPr>
            <w:rFonts w:ascii="微软雅黑" w:hAnsi="微软雅黑" w:eastAsia="微软雅黑" w:cs="微软雅黑"/>
            <w:color w:val="087E89"/>
          </w:rPr>
          <w:t>18</w:t>
        </w:r>
      </w:hyperlink>
      <w:r>
        <w:rPr>
          <w:rFonts w:ascii="微软雅黑" w:hAnsi="微软雅黑" w:eastAsia="微软雅黑" w:cs="微软雅黑"/>
        </w:rPr>
      </w:r>
    </w:p>
    <w:p>
      <w:pPr>
        <w:pStyle w:val="Heading2"/>
      </w:pPr>
      <w:r>
        <w:rPr>
          <w:rFonts w:ascii="微软雅黑" w:hAnsi="微软雅黑" w:eastAsia="微软雅黑" w:cs="微软雅黑"/>
        </w:rPr>
        <w:t>风险与后续观察</w:t>
      </w:r>
    </w:p>
    <w:p>
      <w:pPr>
        <w:pStyle w:val="ListBullet"/>
      </w:pPr>
      <w:r>
        <w:rPr>
          <w:rFonts w:ascii="微软雅黑" w:hAnsi="微软雅黑" w:eastAsia="微软雅黑" w:cs="微软雅黑"/>
        </w:rPr>
        <w:t xml:space="preserve">该有条件承诺尚需完成尽职调查、谈判最终融资文件并满足适用条件，本身不构成推进任何具体增容项目的最终决定。 </w:t>
      </w:r>
      <w:hyperlink w:anchor="source-29220">
        <w:r>
          <w:rPr>
            <w:rFonts w:ascii="微软雅黑" w:hAnsi="微软雅黑" w:eastAsia="微软雅黑" w:cs="微软雅黑"/>
            <w:color w:val="087E89"/>
          </w:rPr>
          <w:t>1</w:t>
        </w:r>
      </w:hyperlink>
      <w:r>
        <w:rPr>
          <w:rFonts w:ascii="微软雅黑" w:hAnsi="微软雅黑" w:eastAsia="微软雅黑" w:cs="微软雅黑"/>
        </w:rPr>
      </w:r>
    </w:p>
    <w:p>
      <w:pPr>
        <w:pStyle w:val="ListBullet"/>
      </w:pPr>
      <w:r>
        <w:rPr>
          <w:rFonts w:ascii="微软雅黑" w:hAnsi="微软雅黑" w:eastAsia="微软雅黑" w:cs="微软雅黑"/>
        </w:rPr>
        <w:t xml:space="preserve">WMO提醒能源转型需关注六氟化硫（SF6）2025年增幅创纪录、大气寿命超过1000年，以及氢气浓度2010至2024年间上升5.3%的泄漏问题，称其可能削弱能源转型的气候效益。 </w:t>
      </w:r>
      <w:hyperlink w:anchor="source-28987">
        <w:r>
          <w:rPr>
            <w:rFonts w:ascii="微软雅黑" w:hAnsi="微软雅黑" w:eastAsia="微软雅黑" w:cs="微软雅黑"/>
            <w:color w:val="087E89"/>
          </w:rPr>
          <w:t>2</w:t>
        </w:r>
      </w:hyperlink>
      <w:r>
        <w:rPr>
          <w:rFonts w:ascii="微软雅黑" w:hAnsi="微软雅黑" w:eastAsia="微软雅黑" w:cs="微软雅黑"/>
        </w:rPr>
      </w:r>
    </w:p>
    <w:p>
      <w:pPr>
        <w:pStyle w:val="ListBullet"/>
      </w:pPr>
      <w:r>
        <w:rPr>
          <w:rFonts w:ascii="微软雅黑" w:hAnsi="微软雅黑" w:eastAsia="微软雅黑" w:cs="微软雅黑"/>
        </w:rPr>
        <w:t xml:space="preserve">“十五五”规划《纲要》明确提出“健全能源保供中长期合同制度”，办法施行后的签约履约和监管落实情况有待观察。 </w:t>
      </w:r>
      <w:hyperlink w:anchor="source-28909">
        <w:r>
          <w:rPr>
            <w:rFonts w:ascii="微软雅黑" w:hAnsi="微软雅黑" w:eastAsia="微软雅黑" w:cs="微软雅黑"/>
            <w:color w:val="087E89"/>
          </w:rPr>
          <w:t>3</w:t>
        </w:r>
      </w:hyperlink>
      <w:r>
        <w:rPr>
          <w:rFonts w:ascii="微软雅黑" w:hAnsi="微软雅黑" w:eastAsia="微软雅黑" w:cs="微软雅黑"/>
        </w:rPr>
      </w:r>
    </w:p>
    <w:p>
      <w:pPr>
        <w:pStyle w:val="ListBullet"/>
      </w:pPr>
      <w:r>
        <w:rPr>
          <w:rFonts w:ascii="微软雅黑" w:hAnsi="微软雅黑" w:eastAsia="微软雅黑" w:cs="微软雅黑"/>
        </w:rPr>
        <w:t xml:space="preserve">现货市场推动2027年前基本实现正式运行；打通国家电网、南方电网经营区市场化交易渠道，尽快实现跨经营区常态化交易；条件成熟时探索容量市场。 </w:t>
      </w:r>
      <w:hyperlink w:anchor="source-28763">
        <w:r>
          <w:rPr>
            <w:rFonts w:ascii="微软雅黑" w:hAnsi="微软雅黑" w:eastAsia="微软雅黑" w:cs="微软雅黑"/>
            <w:color w:val="087E89"/>
          </w:rPr>
          <w:t>4</w:t>
        </w:r>
      </w:hyperlink>
      <w:r>
        <w:rPr>
          <w:rFonts w:ascii="微软雅黑" w:hAnsi="微软雅黑" w:eastAsia="微软雅黑" w:cs="微软雅黑"/>
        </w:rPr>
      </w:r>
    </w:p>
    <w:p>
      <w:pPr>
        <w:pStyle w:val="ListBullet"/>
      </w:pPr>
      <w:r>
        <w:rPr>
          <w:rFonts w:ascii="微软雅黑" w:hAnsi="微软雅黑" w:eastAsia="微软雅黑" w:cs="微软雅黑"/>
        </w:rPr>
        <w:t xml:space="preserve">目标实现需能源消费结构快速根本性转变；CBAM于2026年进入财务义务阶段，高情景下每年对土耳其成本可达25亿欧元，土耳其ETS排放上限和价格走廊尚待设定。 </w:t>
      </w:r>
      <w:hyperlink w:anchor="source-28692">
        <w:r>
          <w:rPr>
            <w:rFonts w:ascii="微软雅黑" w:hAnsi="微软雅黑" w:eastAsia="微软雅黑" w:cs="微软雅黑"/>
            <w:color w:val="087E89"/>
          </w:rPr>
          <w:t>5</w:t>
        </w:r>
      </w:hyperlink>
      <w:r>
        <w:rPr>
          <w:rFonts w:ascii="微软雅黑" w:hAnsi="微软雅黑" w:eastAsia="微软雅黑" w:cs="微软雅黑"/>
        </w:rPr>
      </w:r>
    </w:p>
    <w:p>
      <w:pPr>
        <w:pStyle w:val="ListBullet"/>
      </w:pPr>
      <w:r>
        <w:rPr>
          <w:rFonts w:ascii="微软雅黑" w:hAnsi="微软雅黑" w:eastAsia="微软雅黑" w:cs="微软雅黑"/>
        </w:rPr>
        <w:t xml:space="preserve">制裁前景及欧洲供应安全如何演变尚待观察。 </w:t>
      </w:r>
      <w:hyperlink w:anchor="source-28979">
        <w:r>
          <w:rPr>
            <w:rFonts w:ascii="微软雅黑" w:hAnsi="微软雅黑" w:eastAsia="微软雅黑" w:cs="微软雅黑"/>
            <w:color w:val="087E89"/>
          </w:rPr>
          <w:t>9</w:t>
        </w:r>
      </w:hyperlink>
      <w:r>
        <w:rPr>
          <w:rFonts w:ascii="微软雅黑" w:hAnsi="微软雅黑" w:eastAsia="微软雅黑" w:cs="微软雅黑"/>
        </w:rPr>
      </w:r>
    </w:p>
    <w:p>
      <w:pPr>
        <w:pStyle w:val="Heading2"/>
      </w:pPr>
      <w:r>
        <w:rPr>
          <w:rFonts w:ascii="微软雅黑" w:hAnsi="微软雅黑" w:eastAsia="微软雅黑" w:cs="微软雅黑"/>
        </w:rPr>
        <w:t>资料覆盖说明</w:t>
      </w:r>
    </w:p>
    <w:p>
      <w:pPr>
        <w:ind w:firstLine="420"/>
      </w:pPr>
      <w:r>
        <w:rPr>
          <w:rFonts w:ascii="微软雅黑" w:hAnsi="微软雅黑" w:eastAsia="微软雅黑" w:cs="微软雅黑"/>
        </w:rPr>
        <w:t>本期采集快照包含 695 篇文章，形成 491 篇有效能源材料；正文引用 24 篇来源，整理 20 个重点事件。</w:t>
      </w:r>
    </w:p>
    <w:p>
      <w:pPr>
        <w:ind w:firstLine="420"/>
      </w:pPr>
      <w:r>
        <w:rPr>
          <w:rFonts w:ascii="微软雅黑" w:hAnsi="微软雅黑" w:eastAsia="微软雅黑" w:cs="微软雅黑"/>
        </w:rPr>
        <w:t>按报道发布时间归档。历史数据、计划和预测不代表当日新发生或已经实现；来源样本不等于完整市场统计。</w:t>
      </w:r>
    </w:p>
    <w:p>
      <w:pPr>
        <w:ind w:firstLine="420"/>
      </w:pPr>
      <w:r>
        <w:rPr>
          <w:rFonts w:ascii="微软雅黑" w:hAnsi="微软雅黑" w:eastAsia="微软雅黑" w:cs="微软雅黑"/>
        </w:rPr>
        <w:t>另有 9 篇材料尚待复核，未纳入本期判断。</w:t>
      </w:r>
    </w:p>
    <w:p>
      <w:pPr>
        <w:ind w:firstLine="420"/>
      </w:pPr>
      <w:r>
        <w:rPr>
          <w:rFonts w:ascii="微软雅黑" w:hAnsi="微软雅黑" w:eastAsia="微软雅黑" w:cs="微软雅黑"/>
        </w:rPr>
        <w:t>本期材料较多，综合部分按重要性及主题覆盖择取。</w:t>
      </w:r>
    </w:p>
    <w:p>
      <w:pPr>
        <w:pStyle w:val="Heading2"/>
      </w:pPr>
      <w:r>
        <w:rPr>
          <w:rFonts w:ascii="微软雅黑" w:hAnsi="微软雅黑" w:eastAsia="微软雅黑" w:cs="微软雅黑"/>
        </w:rPr>
        <w:t>资料来源</w:t>
      </w:r>
    </w:p>
    <w:p>
      <w:pPr>
        <w:spacing w:after="0" w:line="20" w:lineRule="exact"/>
      </w:pPr>
      <w:bookmarkStart w:id="1" w:name="source-29220"/>
      <w:bookmarkEnd w:id="1" w:name="source-29220"/>
    </w:p>
    <w:p>
      <w:pPr>
        <w:pStyle w:val="ListBullet"/>
      </w:pPr>
      <w:r>
        <w:rPr>
          <w:rFonts w:ascii="微软雅黑" w:hAnsi="微软雅黑" w:eastAsia="微软雅黑" w:cs="微软雅黑"/>
        </w:rPr>
        <w:t>[1] 星座能源｜</w:t>
      </w:r>
      <w:hyperlink r:id="rId11">
        <w:r>
          <w:rPr>
            <w:rFonts w:ascii="微软雅黑" w:hAnsi="微软雅黑" w:eastAsia="微软雅黑" w:cs="微软雅黑"/>
            <w:color w:val="087E89"/>
          </w:rPr>
          <w:t>星座能源获得美国能源部最高50亿美元有条件贷款承诺以扩大核电产出</w:t>
        </w:r>
      </w:hyperlink>
      <w:r>
        <w:rPr>
          <w:rFonts w:ascii="微软雅黑" w:hAnsi="微软雅黑" w:eastAsia="微软雅黑" w:cs="微软雅黑"/>
        </w:rPr>
      </w:r>
    </w:p>
    <w:p>
      <w:pPr>
        <w:spacing w:after="0" w:line="20" w:lineRule="exact"/>
      </w:pPr>
      <w:bookmarkStart w:id="2" w:name="source-28987"/>
      <w:bookmarkEnd w:id="2" w:name="source-28987"/>
    </w:p>
    <w:p>
      <w:pPr>
        <w:pStyle w:val="ListBullet"/>
      </w:pPr>
      <w:r>
        <w:rPr>
          <w:rFonts w:ascii="微软雅黑" w:hAnsi="微软雅黑" w:eastAsia="微软雅黑" w:cs="微软雅黑"/>
        </w:rPr>
        <w:t>[2] 联合国｜</w:t>
      </w:r>
      <w:hyperlink r:id="rId12">
        <w:r>
          <w:rPr>
            <w:rFonts w:ascii="微软雅黑" w:hAnsi="微软雅黑" w:eastAsia="微软雅黑" w:cs="微软雅黑"/>
            <w:color w:val="087E89"/>
          </w:rPr>
          <w:t>联合国气象机构称创纪录的二氧化碳水平将影响人类数个世纪</w:t>
        </w:r>
      </w:hyperlink>
      <w:r>
        <w:rPr>
          <w:rFonts w:ascii="微软雅黑" w:hAnsi="微软雅黑" w:eastAsia="微软雅黑" w:cs="微软雅黑"/>
        </w:rPr>
      </w:r>
    </w:p>
    <w:p>
      <w:pPr>
        <w:spacing w:after="0" w:line="20" w:lineRule="exact"/>
      </w:pPr>
      <w:bookmarkStart w:id="3" w:name="source-28909"/>
      <w:bookmarkEnd w:id="3" w:name="source-28909"/>
    </w:p>
    <w:p>
      <w:pPr>
        <w:pStyle w:val="ListBullet"/>
      </w:pPr>
      <w:r>
        <w:rPr>
          <w:rFonts w:ascii="微软雅黑" w:hAnsi="微软雅黑" w:eastAsia="微软雅黑" w:cs="微软雅黑"/>
        </w:rPr>
        <w:t>[3] 上海石油天然气交易中心｜</w:t>
      </w:r>
      <w:hyperlink r:id="rId13">
        <w:r>
          <w:rPr>
            <w:rFonts w:ascii="微软雅黑" w:hAnsi="微软雅黑" w:eastAsia="微软雅黑" w:cs="微软雅黑"/>
            <w:color w:val="087E89"/>
          </w:rPr>
          <w:t>国家发展改革委有关负责同志就《能源保供中长期合同管理办法（试行）》答记者问</w:t>
        </w:r>
      </w:hyperlink>
      <w:r>
        <w:rPr>
          <w:rFonts w:ascii="微软雅黑" w:hAnsi="微软雅黑" w:eastAsia="微软雅黑" w:cs="微软雅黑"/>
        </w:rPr>
      </w:r>
    </w:p>
    <w:p>
      <w:pPr>
        <w:spacing w:after="0" w:line="20" w:lineRule="exact"/>
      </w:pPr>
      <w:bookmarkStart w:id="4" w:name="source-28763"/>
      <w:bookmarkEnd w:id="4" w:name="source-28763"/>
    </w:p>
    <w:p>
      <w:pPr>
        <w:pStyle w:val="ListBullet"/>
      </w:pPr>
      <w:r>
        <w:rPr>
          <w:rFonts w:ascii="微软雅黑" w:hAnsi="微软雅黑" w:eastAsia="微软雅黑" w:cs="微软雅黑"/>
        </w:rPr>
        <w:t>[4] 中国能源新闻网｜</w:t>
      </w:r>
      <w:hyperlink r:id="rId14">
        <w:r>
          <w:rPr>
            <w:rFonts w:ascii="微软雅黑" w:hAnsi="微软雅黑" w:eastAsia="微软雅黑" w:cs="微软雅黑"/>
            <w:color w:val="087E89"/>
          </w:rPr>
          <w:t>国务院办公厅发文完善全国统一电力市场体系</w:t>
        </w:r>
      </w:hyperlink>
      <w:r>
        <w:rPr>
          <w:rFonts w:ascii="微软雅黑" w:hAnsi="微软雅黑" w:eastAsia="微软雅黑" w:cs="微软雅黑"/>
        </w:rPr>
      </w:r>
    </w:p>
    <w:p>
      <w:pPr>
        <w:spacing w:after="0" w:line="20" w:lineRule="exact"/>
      </w:pPr>
      <w:bookmarkStart w:id="5" w:name="source-28692"/>
      <w:bookmarkEnd w:id="5" w:name="source-28692"/>
    </w:p>
    <w:p>
      <w:pPr>
        <w:pStyle w:val="ListBullet"/>
      </w:pPr>
      <w:r>
        <w:rPr>
          <w:rFonts w:ascii="微软雅黑" w:hAnsi="微软雅黑" w:eastAsia="微软雅黑" w:cs="微软雅黑"/>
        </w:rPr>
        <w:t>[5] Ember能源智库｜</w:t>
      </w:r>
      <w:hyperlink r:id="rId15">
        <w:r>
          <w:rPr>
            <w:rFonts w:ascii="微软雅黑" w:hAnsi="微软雅黑" w:eastAsia="微软雅黑" w:cs="微软雅黑"/>
            <w:color w:val="087E89"/>
          </w:rPr>
          <w:t>土耳其85%的能源使用可实现电气化</w:t>
        </w:r>
      </w:hyperlink>
      <w:r>
        <w:rPr>
          <w:rFonts w:ascii="微软雅黑" w:hAnsi="微软雅黑" w:eastAsia="微软雅黑" w:cs="微软雅黑"/>
        </w:rPr>
      </w:r>
    </w:p>
    <w:p>
      <w:pPr>
        <w:spacing w:after="0" w:line="20" w:lineRule="exact"/>
      </w:pPr>
      <w:bookmarkStart w:id="6" w:name="source-29183"/>
      <w:bookmarkEnd w:id="6" w:name="source-29183"/>
    </w:p>
    <w:p>
      <w:pPr>
        <w:pStyle w:val="ListBullet"/>
      </w:pPr>
      <w:r>
        <w:rPr>
          <w:rFonts w:ascii="微软雅黑" w:hAnsi="微软雅黑" w:eastAsia="微软雅黑" w:cs="微软雅黑"/>
        </w:rPr>
        <w:t>[6] 中国能源新闻网｜</w:t>
      </w:r>
      <w:hyperlink r:id="rId16">
        <w:r>
          <w:rPr>
            <w:rFonts w:ascii="微软雅黑" w:hAnsi="微软雅黑" w:eastAsia="微软雅黑" w:cs="微软雅黑"/>
            <w:color w:val="087E89"/>
          </w:rPr>
          <w:t>上海发布能源装备产业创新发展三年行动方案</w:t>
        </w:r>
      </w:hyperlink>
      <w:r>
        <w:rPr>
          <w:rFonts w:ascii="微软雅黑" w:hAnsi="微软雅黑" w:eastAsia="微软雅黑" w:cs="微软雅黑"/>
        </w:rPr>
      </w:r>
    </w:p>
    <w:p>
      <w:pPr>
        <w:spacing w:after="0" w:line="20" w:lineRule="exact"/>
      </w:pPr>
      <w:bookmarkStart w:id="7" w:name="source-29165"/>
      <w:bookmarkEnd w:id="7" w:name="source-29165"/>
    </w:p>
    <w:p>
      <w:pPr>
        <w:pStyle w:val="ListBullet"/>
      </w:pPr>
      <w:r>
        <w:rPr>
          <w:rFonts w:ascii="微软雅黑" w:hAnsi="微软雅黑" w:eastAsia="微软雅黑" w:cs="微软雅黑"/>
        </w:rPr>
        <w:t>[7] 巴西能源研究公司｜</w:t>
      </w:r>
      <w:hyperlink r:id="rId17">
        <w:r>
          <w:rPr>
            <w:rFonts w:ascii="微软雅黑" w:hAnsi="微软雅黑" w:eastAsia="微软雅黑" w:cs="微软雅黑"/>
            <w:color w:val="087E89"/>
          </w:rPr>
          <w:t>PDE 2036预测能源需求增长及电力占比提升</w:t>
        </w:r>
      </w:hyperlink>
      <w:r>
        <w:rPr>
          <w:rFonts w:ascii="微软雅黑" w:hAnsi="微软雅黑" w:eastAsia="微软雅黑" w:cs="微软雅黑"/>
        </w:rPr>
      </w:r>
    </w:p>
    <w:p>
      <w:pPr>
        <w:spacing w:after="0" w:line="20" w:lineRule="exact"/>
      </w:pPr>
      <w:bookmarkStart w:id="8" w:name="source-28992"/>
      <w:bookmarkEnd w:id="8" w:name="source-28992"/>
    </w:p>
    <w:p>
      <w:pPr>
        <w:pStyle w:val="ListBullet"/>
      </w:pPr>
      <w:r>
        <w:rPr>
          <w:rFonts w:ascii="微软雅黑" w:hAnsi="微软雅黑" w:eastAsia="微软雅黑" w:cs="微软雅黑"/>
        </w:rPr>
        <w:t>[8] 央视新闻等｜</w:t>
      </w:r>
      <w:hyperlink r:id="rId18">
        <w:r>
          <w:rPr>
            <w:rFonts w:ascii="微软雅黑" w:hAnsi="微软雅黑" w:eastAsia="微软雅黑" w:cs="微软雅黑"/>
            <w:color w:val="087E89"/>
          </w:rPr>
          <w:t>我国风电光伏累计装机容量突破20亿千瓦</w:t>
        </w:r>
      </w:hyperlink>
      <w:r>
        <w:rPr>
          <w:rFonts w:ascii="微软雅黑" w:hAnsi="微软雅黑" w:eastAsia="微软雅黑" w:cs="微软雅黑"/>
        </w:rPr>
      </w:r>
    </w:p>
    <w:p>
      <w:pPr>
        <w:spacing w:after="0" w:line="20" w:lineRule="exact"/>
      </w:pPr>
      <w:bookmarkStart w:id="9" w:name="source-28979"/>
      <w:bookmarkEnd w:id="9" w:name="source-28979"/>
    </w:p>
    <w:p>
      <w:pPr>
        <w:pStyle w:val="ListBullet"/>
      </w:pPr>
      <w:r>
        <w:rPr>
          <w:rFonts w:ascii="微软雅黑" w:hAnsi="微软雅黑" w:eastAsia="微软雅黑" w:cs="微软雅黑"/>
        </w:rPr>
        <w:t>[9] 叙利亚通讯社｜</w:t>
      </w:r>
      <w:hyperlink r:id="rId19">
        <w:r>
          <w:rPr>
            <w:rFonts w:ascii="微软雅黑" w:hAnsi="微软雅黑" w:eastAsia="微软雅黑" w:cs="微软雅黑"/>
            <w:color w:val="087E89"/>
          </w:rPr>
          <w:t>美俄柴油协议考验欧洲能源安全</w:t>
        </w:r>
      </w:hyperlink>
      <w:r>
        <w:rPr>
          <w:rFonts w:ascii="微软雅黑" w:hAnsi="微软雅黑" w:eastAsia="微软雅黑" w:cs="微软雅黑"/>
        </w:rPr>
      </w:r>
    </w:p>
    <w:p>
      <w:pPr>
        <w:spacing w:after="0" w:line="20" w:lineRule="exact"/>
      </w:pPr>
      <w:bookmarkStart w:id="10" w:name="source-28970"/>
      <w:bookmarkEnd w:id="10" w:name="source-28970"/>
    </w:p>
    <w:p>
      <w:pPr>
        <w:pStyle w:val="ListBullet"/>
      </w:pPr>
      <w:r>
        <w:rPr>
          <w:rFonts w:ascii="微软雅黑" w:hAnsi="微软雅黑" w:eastAsia="微软雅黑" w:cs="微软雅黑"/>
        </w:rPr>
        <w:t>[10] 俄罗斯卫星通讯社｜</w:t>
      </w:r>
      <w:hyperlink r:id="rId20">
        <w:r>
          <w:rPr>
            <w:rFonts w:ascii="微软雅黑" w:hAnsi="微软雅黑" w:eastAsia="微软雅黑" w:cs="微软雅黑"/>
            <w:color w:val="087E89"/>
          </w:rPr>
          <w:t>普京就俄被排除在全球天然气市场之外可能引发的后果发出警告</w:t>
        </w:r>
      </w:hyperlink>
      <w:r>
        <w:rPr>
          <w:rFonts w:ascii="微软雅黑" w:hAnsi="微软雅黑" w:eastAsia="微软雅黑" w:cs="微软雅黑"/>
        </w:rPr>
      </w:r>
    </w:p>
    <w:p>
      <w:pPr>
        <w:spacing w:after="0" w:line="20" w:lineRule="exact"/>
      </w:pPr>
      <w:bookmarkStart w:id="11" w:name="source-29106"/>
      <w:bookmarkEnd w:id="11" w:name="source-29106"/>
    </w:p>
    <w:p>
      <w:pPr>
        <w:pStyle w:val="ListBullet"/>
      </w:pPr>
      <w:r>
        <w:rPr>
          <w:rFonts w:ascii="微软雅黑" w:hAnsi="微软雅黑" w:eastAsia="微软雅黑" w:cs="微软雅黑"/>
        </w:rPr>
        <w:t>[11] Interfax｜</w:t>
      </w:r>
      <w:hyperlink r:id="rId21">
        <w:r>
          <w:rPr>
            <w:rFonts w:ascii="微软雅黑" w:hAnsi="微软雅黑" w:eastAsia="微软雅黑" w:cs="微软雅黑"/>
            <w:color w:val="087E89"/>
          </w:rPr>
          <w:t>普京警告：将俄排除出世界天然气市场的企图将带来后果</w:t>
        </w:r>
      </w:hyperlink>
      <w:r>
        <w:rPr>
          <w:rFonts w:ascii="微软雅黑" w:hAnsi="微软雅黑" w:eastAsia="微软雅黑" w:cs="微软雅黑"/>
        </w:rPr>
      </w:r>
    </w:p>
    <w:p>
      <w:pPr>
        <w:spacing w:after="0" w:line="20" w:lineRule="exact"/>
      </w:pPr>
      <w:bookmarkStart w:id="12" w:name="source-28973"/>
      <w:bookmarkEnd w:id="12" w:name="source-28973"/>
    </w:p>
    <w:p>
      <w:pPr>
        <w:pStyle w:val="ListBullet"/>
      </w:pPr>
      <w:r>
        <w:rPr>
          <w:rFonts w:ascii="微软雅黑" w:hAnsi="微软雅黑" w:eastAsia="微软雅黑" w:cs="微软雅黑"/>
        </w:rPr>
        <w:t>[12] 俄罗斯卫星通讯社｜</w:t>
      </w:r>
      <w:hyperlink r:id="rId22">
        <w:r>
          <w:rPr>
            <w:rFonts w:ascii="微软雅黑" w:hAnsi="微软雅黑" w:eastAsia="微软雅黑" w:cs="微软雅黑"/>
            <w:color w:val="087E89"/>
          </w:rPr>
          <w:t>普京：欧洲通过弃用俄天然气打击自身工业</w:t>
        </w:r>
      </w:hyperlink>
      <w:r>
        <w:rPr>
          <w:rFonts w:ascii="微软雅黑" w:hAnsi="微软雅黑" w:eastAsia="微软雅黑" w:cs="微软雅黑"/>
        </w:rPr>
      </w:r>
    </w:p>
    <w:p>
      <w:pPr>
        <w:spacing w:after="0" w:line="20" w:lineRule="exact"/>
      </w:pPr>
      <w:bookmarkStart w:id="13" w:name="source-28960"/>
      <w:bookmarkEnd w:id="13" w:name="source-28960"/>
    </w:p>
    <w:p>
      <w:pPr>
        <w:pStyle w:val="ListBullet"/>
      </w:pPr>
      <w:r>
        <w:rPr>
          <w:rFonts w:ascii="微软雅黑" w:hAnsi="微软雅黑" w:eastAsia="微软雅黑" w:cs="微软雅黑"/>
        </w:rPr>
        <w:t>[13] Interfax｜</w:t>
      </w:r>
      <w:hyperlink r:id="rId23">
        <w:r>
          <w:rPr>
            <w:rFonts w:ascii="微软雅黑" w:hAnsi="微软雅黑" w:eastAsia="微软雅黑" w:cs="微软雅黑"/>
            <w:color w:val="087E89"/>
          </w:rPr>
          <w:t>俄总统称天然气市场稳定比现货价格更重要</w:t>
        </w:r>
      </w:hyperlink>
      <w:r>
        <w:rPr>
          <w:rFonts w:ascii="微软雅黑" w:hAnsi="微软雅黑" w:eastAsia="微软雅黑" w:cs="微软雅黑"/>
        </w:rPr>
      </w:r>
    </w:p>
    <w:p>
      <w:pPr>
        <w:spacing w:after="0" w:line="20" w:lineRule="exact"/>
      </w:pPr>
      <w:bookmarkStart w:id="14" w:name="source-28624"/>
      <w:bookmarkEnd w:id="14" w:name="source-28624"/>
    </w:p>
    <w:p>
      <w:pPr>
        <w:pStyle w:val="ListBullet"/>
      </w:pPr>
      <w:r>
        <w:rPr>
          <w:rFonts w:ascii="微软雅黑" w:hAnsi="微软雅黑" w:eastAsia="微软雅黑" w:cs="微软雅黑"/>
        </w:rPr>
        <w:t>[14] 挪威水资源与能源局｜</w:t>
      </w:r>
      <w:hyperlink r:id="rId24">
        <w:r>
          <w:rPr>
            <w:rFonts w:ascii="微软雅黑" w:hAnsi="微软雅黑" w:eastAsia="微软雅黑" w:cs="微软雅黑"/>
            <w:color w:val="087E89"/>
          </w:rPr>
          <w:t>挪威能源使用效率不断提高</w:t>
        </w:r>
      </w:hyperlink>
      <w:r>
        <w:rPr>
          <w:rFonts w:ascii="微软雅黑" w:hAnsi="微软雅黑" w:eastAsia="微软雅黑" w:cs="微软雅黑"/>
        </w:rPr>
      </w:r>
    </w:p>
    <w:p>
      <w:pPr>
        <w:spacing w:after="0" w:line="20" w:lineRule="exact"/>
      </w:pPr>
      <w:bookmarkStart w:id="15" w:name="source-29063"/>
      <w:bookmarkEnd w:id="15" w:name="source-29063"/>
    </w:p>
    <w:p>
      <w:pPr>
        <w:pStyle w:val="ListBullet"/>
      </w:pPr>
      <w:r>
        <w:rPr>
          <w:rFonts w:ascii="微软雅黑" w:hAnsi="微软雅黑" w:eastAsia="微软雅黑" w:cs="微软雅黑"/>
        </w:rPr>
        <w:t>[15] 中国能源新闻网｜</w:t>
      </w:r>
      <w:hyperlink r:id="rId25">
        <w:r>
          <w:rPr>
            <w:rFonts w:ascii="微软雅黑" w:hAnsi="微软雅黑" w:eastAsia="微软雅黑" w:cs="微软雅黑"/>
            <w:color w:val="087E89"/>
          </w:rPr>
          <w:t>中国石油乙烯产量创历史同期新高</w:t>
        </w:r>
      </w:hyperlink>
      <w:r>
        <w:rPr>
          <w:rFonts w:ascii="微软雅黑" w:hAnsi="微软雅黑" w:eastAsia="微软雅黑" w:cs="微软雅黑"/>
        </w:rPr>
      </w:r>
    </w:p>
    <w:p>
      <w:pPr>
        <w:spacing w:after="0" w:line="20" w:lineRule="exact"/>
      </w:pPr>
      <w:bookmarkStart w:id="16" w:name="source-29027"/>
      <w:bookmarkEnd w:id="16" w:name="source-29027"/>
    </w:p>
    <w:p>
      <w:pPr>
        <w:pStyle w:val="ListBullet"/>
      </w:pPr>
      <w:r>
        <w:rPr>
          <w:rFonts w:ascii="微软雅黑" w:hAnsi="微软雅黑" w:eastAsia="微软雅黑" w:cs="微软雅黑"/>
        </w:rPr>
        <w:t>[16] 中国能源网｜</w:t>
      </w:r>
      <w:hyperlink r:id="rId26">
        <w:r>
          <w:rPr>
            <w:rFonts w:ascii="微软雅黑" w:hAnsi="微软雅黑" w:eastAsia="微软雅黑" w:cs="微软雅黑"/>
            <w:color w:val="087E89"/>
          </w:rPr>
          <w:t>中煤陕西公司大海则煤矿被责令停产整顿</w:t>
        </w:r>
      </w:hyperlink>
      <w:r>
        <w:rPr>
          <w:rFonts w:ascii="微软雅黑" w:hAnsi="微软雅黑" w:eastAsia="微软雅黑" w:cs="微软雅黑"/>
        </w:rPr>
      </w:r>
    </w:p>
    <w:p>
      <w:pPr>
        <w:spacing w:after="0" w:line="20" w:lineRule="exact"/>
      </w:pPr>
      <w:bookmarkStart w:id="17" w:name="source-29028"/>
      <w:bookmarkEnd w:id="17" w:name="source-29028"/>
    </w:p>
    <w:p>
      <w:pPr>
        <w:pStyle w:val="ListBullet"/>
      </w:pPr>
      <w:r>
        <w:rPr>
          <w:rFonts w:ascii="微软雅黑" w:hAnsi="微软雅黑" w:eastAsia="微软雅黑" w:cs="微软雅黑"/>
        </w:rPr>
        <w:t>[17] 中国能源网｜</w:t>
      </w:r>
      <w:hyperlink r:id="rId27">
        <w:r>
          <w:rPr>
            <w:rFonts w:ascii="微软雅黑" w:hAnsi="微软雅黑" w:eastAsia="微软雅黑" w:cs="微软雅黑"/>
            <w:color w:val="087E89"/>
          </w:rPr>
          <w:t>降65元！煤矿降价刹不住车！进口煤港口指数跟跌！</w:t>
        </w:r>
      </w:hyperlink>
      <w:r>
        <w:rPr>
          <w:rFonts w:ascii="微软雅黑" w:hAnsi="微软雅黑" w:eastAsia="微软雅黑" w:cs="微软雅黑"/>
        </w:rPr>
      </w:r>
    </w:p>
    <w:p>
      <w:pPr>
        <w:spacing w:after="0" w:line="20" w:lineRule="exact"/>
      </w:pPr>
      <w:bookmarkStart w:id="18" w:name="source-28602"/>
      <w:bookmarkEnd w:id="18" w:name="source-28602"/>
    </w:p>
    <w:p>
      <w:pPr>
        <w:pStyle w:val="ListBullet"/>
      </w:pPr>
      <w:r>
        <w:rPr>
          <w:rFonts w:ascii="微软雅黑" w:hAnsi="微软雅黑" w:eastAsia="微软雅黑" w:cs="微软雅黑"/>
        </w:rPr>
        <w:t>[18] 中国石油报·中国石油新闻中心｜</w:t>
      </w:r>
      <w:hyperlink r:id="rId28">
        <w:r>
          <w:rPr>
            <w:rFonts w:ascii="微软雅黑" w:hAnsi="微软雅黑" w:eastAsia="微软雅黑" w:cs="微软雅黑"/>
            <w:color w:val="087E89"/>
          </w:rPr>
          <w:t>青海油田：唤醒老油藏“年轻态”</w:t>
        </w:r>
      </w:hyperlink>
      <w:r>
        <w:rPr>
          <w:rFonts w:ascii="微软雅黑" w:hAnsi="微软雅黑" w:eastAsia="微软雅黑" w:cs="微软雅黑"/>
        </w:rPr>
      </w:r>
    </w:p>
    <w:p>
      <w:pPr>
        <w:spacing w:after="0" w:line="20" w:lineRule="exact"/>
      </w:pPr>
      <w:bookmarkStart w:id="19" w:name="source-29186"/>
      <w:bookmarkEnd w:id="19" w:name="source-29186"/>
    </w:p>
    <w:p>
      <w:pPr>
        <w:pStyle w:val="ListBullet"/>
      </w:pPr>
      <w:r>
        <w:rPr>
          <w:rFonts w:ascii="微软雅黑" w:hAnsi="微软雅黑" w:eastAsia="微软雅黑" w:cs="微软雅黑"/>
        </w:rPr>
        <w:t>[19] 中国能源新闻网｜</w:t>
      </w:r>
      <w:hyperlink r:id="rId29">
        <w:r>
          <w:rPr>
            <w:rFonts w:ascii="微软雅黑" w:hAnsi="微软雅黑" w:eastAsia="微软雅黑" w:cs="微软雅黑"/>
            <w:color w:val="087E89"/>
          </w:rPr>
          <w:t>IEA警告：全球能源市场明年难回美伊战争前水平</w:t>
        </w:r>
      </w:hyperlink>
      <w:r>
        <w:rPr>
          <w:rFonts w:ascii="微软雅黑" w:hAnsi="微软雅黑" w:eastAsia="微软雅黑" w:cs="微软雅黑"/>
        </w:rPr>
      </w:r>
    </w:p>
    <w:p>
      <w:pPr>
        <w:spacing w:after="0" w:line="20" w:lineRule="exact"/>
      </w:pPr>
      <w:bookmarkStart w:id="20" w:name="source-29013"/>
      <w:bookmarkEnd w:id="20" w:name="source-29013"/>
    </w:p>
    <w:p>
      <w:pPr>
        <w:pStyle w:val="ListBullet"/>
      </w:pPr>
      <w:r>
        <w:rPr>
          <w:rFonts w:ascii="微软雅黑" w:hAnsi="微软雅黑" w:eastAsia="微软雅黑" w:cs="微软雅黑"/>
        </w:rPr>
        <w:t>[20] 国家能源局｜</w:t>
      </w:r>
      <w:hyperlink r:id="rId30">
        <w:r>
          <w:rPr>
            <w:rFonts w:ascii="微软雅黑" w:hAnsi="微软雅黑" w:eastAsia="微软雅黑" w:cs="微软雅黑"/>
            <w:color w:val="087E89"/>
          </w:rPr>
          <w:t>华中区域首例“算电协同”完成市场化交易</w:t>
        </w:r>
      </w:hyperlink>
      <w:r>
        <w:rPr>
          <w:rFonts w:ascii="微软雅黑" w:hAnsi="微软雅黑" w:eastAsia="微软雅黑" w:cs="微软雅黑"/>
        </w:rPr>
      </w:r>
    </w:p>
    <w:p>
      <w:pPr>
        <w:spacing w:after="0" w:line="20" w:lineRule="exact"/>
      </w:pPr>
      <w:bookmarkStart w:id="21" w:name="source-28913"/>
      <w:bookmarkEnd w:id="21" w:name="source-28913"/>
    </w:p>
    <w:p>
      <w:pPr>
        <w:pStyle w:val="ListBullet"/>
      </w:pPr>
      <w:r>
        <w:rPr>
          <w:rFonts w:ascii="微软雅黑" w:hAnsi="微软雅黑" w:eastAsia="微软雅黑" w:cs="微软雅黑"/>
        </w:rPr>
        <w:t>[21] 中国能源新闻网｜</w:t>
      </w:r>
      <w:hyperlink r:id="rId31">
        <w:r>
          <w:rPr>
            <w:rFonts w:ascii="微软雅黑" w:hAnsi="微软雅黑" w:eastAsia="微软雅黑" w:cs="微软雅黑"/>
            <w:color w:val="087E89"/>
          </w:rPr>
          <w:t>全球LNG价格高企，中国天然气市场面临几重成本考验？</w:t>
        </w:r>
      </w:hyperlink>
      <w:r>
        <w:rPr>
          <w:rFonts w:ascii="微软雅黑" w:hAnsi="微软雅黑" w:eastAsia="微软雅黑" w:cs="微软雅黑"/>
        </w:rPr>
      </w:r>
    </w:p>
    <w:p>
      <w:pPr>
        <w:spacing w:after="0" w:line="20" w:lineRule="exact"/>
      </w:pPr>
      <w:bookmarkStart w:id="22" w:name="source-28908"/>
      <w:bookmarkEnd w:id="22" w:name="source-28908"/>
    </w:p>
    <w:p>
      <w:pPr>
        <w:pStyle w:val="ListBullet"/>
      </w:pPr>
      <w:r>
        <w:rPr>
          <w:rFonts w:ascii="微软雅黑" w:hAnsi="微软雅黑" w:eastAsia="微软雅黑" w:cs="微软雅黑"/>
        </w:rPr>
        <w:t>[22] 上海石油天然气交易中心 · 中国进口现货液化天然气到岸价格（CLD）| 周度简析（10月19日-23日）｜</w:t>
      </w:r>
      <w:hyperlink r:id="rId32">
        <w:r>
          <w:rPr>
            <w:rFonts w:ascii="微软雅黑" w:hAnsi="微软雅黑" w:eastAsia="微软雅黑" w:cs="微软雅黑"/>
            <w:color w:val="087E89"/>
          </w:rPr>
          <w:t>查看原文</w:t>
        </w:r>
      </w:hyperlink>
      <w:r>
        <w:rPr>
          <w:rFonts w:ascii="微软雅黑" w:hAnsi="微软雅黑" w:eastAsia="微软雅黑" w:cs="微软雅黑"/>
        </w:rPr>
      </w:r>
    </w:p>
    <w:p>
      <w:pPr>
        <w:spacing w:after="0" w:line="20" w:lineRule="exact"/>
      </w:pPr>
      <w:bookmarkStart w:id="23" w:name="source-28499"/>
      <w:bookmarkEnd w:id="23" w:name="source-28499"/>
    </w:p>
    <w:p>
      <w:pPr>
        <w:pStyle w:val="ListBullet"/>
      </w:pPr>
      <w:r>
        <w:rPr>
          <w:rFonts w:ascii="微软雅黑" w:hAnsi="微软雅黑" w:eastAsia="微软雅黑" w:cs="微软雅黑"/>
        </w:rPr>
        <w:t>[23] 中国能源网｜</w:t>
      </w:r>
      <w:hyperlink r:id="rId33">
        <w:r>
          <w:rPr>
            <w:rFonts w:ascii="微软雅黑" w:hAnsi="微软雅黑" w:eastAsia="微软雅黑" w:cs="微软雅黑"/>
            <w:color w:val="087E89"/>
          </w:rPr>
          <w:t>9月光伏新增装机13.64GW</w:t>
        </w:r>
      </w:hyperlink>
      <w:r>
        <w:rPr>
          <w:rFonts w:ascii="微软雅黑" w:hAnsi="微软雅黑" w:eastAsia="微软雅黑" w:cs="微软雅黑"/>
        </w:rPr>
      </w:r>
    </w:p>
    <w:p>
      <w:pPr>
        <w:spacing w:after="0" w:line="20" w:lineRule="exact"/>
      </w:pPr>
      <w:bookmarkStart w:id="24" w:name="source-28840"/>
      <w:bookmarkEnd w:id="24" w:name="source-28840"/>
    </w:p>
    <w:p>
      <w:pPr>
        <w:pStyle w:val="ListBullet"/>
      </w:pPr>
      <w:r>
        <w:rPr>
          <w:rFonts w:ascii="微软雅黑" w:hAnsi="微软雅黑" w:eastAsia="微软雅黑" w:cs="微软雅黑"/>
        </w:rPr>
        <w:t>[24] 光伏杂志国际版｜</w:t>
      </w:r>
      <w:hyperlink r:id="rId34">
        <w:r>
          <w:rPr>
            <w:rFonts w:ascii="微软雅黑" w:hAnsi="微软雅黑" w:eastAsia="微软雅黑" w:cs="微软雅黑"/>
            <w:color w:val="087E89"/>
          </w:rPr>
          <w:t>中国光伏装机同比下滑54%，9月出现反弹</w:t>
        </w:r>
      </w:hyperlink>
      <w:r>
        <w:rPr>
          <w:rFonts w:ascii="微软雅黑" w:hAnsi="微软雅黑" w:eastAsia="微软雅黑" w:cs="微软雅黑"/>
        </w:rPr>
      </w:r>
    </w:p>
    <w:sectPr w:rsidR="00FC693F" w:rsidRPr="0006063C" w:rsidSect="00034616">
      <w:footerReference w:type="default" r:id="rId10"/>
      <w:pgSz w:w="11906" w:h="16838"/>
      <w:pgMar w:top="1361" w:right="1417" w:bottom="1247" w:left="1417" w:header="720" w:footer="720" w:gutter="0"/>
      <w:cols w:space="720"/>
      <w:docGrid w:linePitch="360"/>
      <w:pgNumType w:start="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微软雅黑" w:hAnsi="微软雅黑" w:eastAsia="微软雅黑" w:cs="微软雅黑"/>
      </w:rPr>
      <w:t xml:space="preserve">ENYINFO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微软雅黑" w:hAnsi="微软雅黑" w:hint="default" w:eastAsia="微软雅黑" w:cs="微软雅黑"/>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微软雅黑" w:hAnsi="微软雅黑" w:hint="default" w:eastAsia="微软雅黑" w:cs="微软雅黑"/>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微软雅黑" w:hAnsi="微软雅黑" w:hint="default" w:eastAsia="微软雅黑" w:cs="微软雅黑"/>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微软雅黑" w:hAnsi="微软雅黑" w:hint="default" w:eastAsia="微软雅黑" w:cs="微软雅黑"/>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微软雅黑" w:hAnsi="微软雅黑" w:eastAsia="微软雅黑" w:cs="微软雅黑"/>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48" w:lineRule="auto" w:after="180"/>
    </w:pPr>
    <w:rPr>
      <w:rFonts w:ascii="微软雅黑" w:hAnsi="微软雅黑" w:eastAsia="微软雅黑" w:cs="微软雅黑"/>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微软雅黑" w:hAnsi="微软雅黑" w:eastAsia="微软雅黑" w:cs="微软雅黑"/>
    </w:rPr>
  </w:style>
  <w:style w:type="character" w:customStyle="1" w:styleId="HeaderChar">
    <w:name w:val="Header Char"/>
    <w:basedOn w:val="DefaultParagraphFont"/>
    <w:link w:val="Header"/>
    <w:uiPriority w:val="99"/>
    <w:rsid w:val="00E618BF"/>
    <w:rPr>
      <w:rFonts w:ascii="微软雅黑" w:hAnsi="微软雅黑" w:eastAsia="微软雅黑" w:cs="微软雅黑"/>
    </w:rPr>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微软雅黑" w:hAnsi="微软雅黑" w:eastAsia="微软雅黑" w:cs="微软雅黑"/>
    </w:rPr>
  </w:style>
  <w:style w:type="character" w:customStyle="1" w:styleId="FooterChar">
    <w:name w:val="Footer Char"/>
    <w:basedOn w:val="DefaultParagraphFont"/>
    <w:link w:val="Footer"/>
    <w:uiPriority w:val="99"/>
    <w:rsid w:val="00E618BF"/>
    <w:rPr>
      <w:rFonts w:ascii="微软雅黑" w:hAnsi="微软雅黑" w:eastAsia="微软雅黑" w:cs="微软雅黑"/>
    </w:rPr>
  </w:style>
  <w:style w:type="paragraph" w:styleId="Heading1">
    <w:name w:val="heading 1"/>
    <w:basedOn w:val="Normal"/>
    <w:next w:val="Normal"/>
    <w:link w:val="Heading1Char"/>
    <w:uiPriority w:val="9"/>
    <w:qFormat/>
    <w:rsid w:val="00FC693F"/>
    <w:pPr>
      <w:keepNext/>
      <w:keepLines/>
      <w:spacing w:before="480" w:after="0"/>
      <w:outlineLvl w:val="0"/>
    </w:pPr>
    <w:rPr>
      <w:rFonts w:ascii="微软雅黑" w:hAnsi="微软雅黑" w:eastAsia="微软雅黑" w:cs="微软雅黑"/>
      <w:b/>
      <w:bCs/>
      <w:color w:val="154957"/>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微软雅黑" w:hAnsi="微软雅黑" w:eastAsia="微软雅黑" w:cs="微软雅黑"/>
      <w:b/>
      <w:bCs/>
      <w:color w:val="154957"/>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微软雅黑" w:hAnsi="微软雅黑" w:eastAsia="微软雅黑" w:cs="微软雅黑"/>
      <w:b/>
      <w:bCs/>
      <w:color w:val="154957"/>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微软雅黑" w:hAnsi="微软雅黑" w:eastAsia="微软雅黑" w:cs="微软雅黑"/>
      <w:b/>
      <w:bCs/>
      <w:i/>
      <w:iCs/>
      <w:color w:val="154957"/>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微软雅黑" w:hAnsi="微软雅黑" w:eastAsia="微软雅黑" w:cs="微软雅黑"/>
      <w:color w:val="154957"/>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微软雅黑" w:hAnsi="微软雅黑" w:eastAsia="微软雅黑" w:cs="微软雅黑"/>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微软雅黑" w:hAnsi="微软雅黑" w:eastAsia="微软雅黑" w:cs="微软雅黑"/>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微软雅黑" w:hAnsi="微软雅黑" w:eastAsia="微软雅黑" w:cs="微软雅黑"/>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微软雅黑" w:hAnsi="微软雅黑" w:eastAsia="微软雅黑" w:cs="微软雅黑"/>
      <w:i/>
      <w:iCs/>
      <w:color w:val="404040" w:themeColor="text1" w:themeTint="BF"/>
      <w:sz w:val="20"/>
      <w:szCs w:val="20"/>
    </w:rPr>
  </w:style>
  <w:style w:type="character" w:default="1" w:styleId="DefaultParagraphFont">
    <w:name w:val="Default Paragraph Font"/>
    <w:uiPriority w:val="1"/>
    <w:semiHidden/>
    <w:unhideWhenUsed/>
    <w:rPr>
      <w:rFonts w:ascii="微软雅黑" w:hAnsi="微软雅黑" w:eastAsia="微软雅黑" w:cs="微软雅黑"/>
    </w:rPr>
  </w:style>
  <w:style w:type="table" w:default="1" w:styleId="TableNormal">
    <w:name w:val="Normal Table"/>
    <w:uiPriority w:val="99"/>
    <w:semiHidden/>
    <w:unhideWhenUsed/>
    <w:rPr>
      <w:rFonts w:ascii="微软雅黑" w:hAnsi="微软雅黑" w:eastAsia="微软雅黑" w:cs="微软雅黑"/>
    </w:rPr>
    <w:tblPr>
      <w:tblInd w:w="0" w:type="dxa"/>
      <w:tblCellMar>
        <w:top w:w="0" w:type="dxa"/>
        <w:left w:w="108" w:type="dxa"/>
        <w:bottom w:w="0" w:type="dxa"/>
        <w:right w:w="108" w:type="dxa"/>
      </w:tblCellMar>
    </w:tblPr>
  </w:style>
  <w:style w:type="numbering" w:default="1" w:styleId="NoList">
    <w:name w:val="No List"/>
    <w:uiPriority w:val="99"/>
    <w:semiHidden/>
    <w:unhideWhenUsed/>
    <w:rPr>
      <w:rFonts w:ascii="微软雅黑" w:hAnsi="微软雅黑" w:eastAsia="微软雅黑" w:cs="微软雅黑"/>
    </w:rPr>
  </w:style>
  <w:style w:type="paragraph" w:styleId="NoSpacing">
    <w:name w:val="No Spacing"/>
    <w:uiPriority w:val="1"/>
    <w:qFormat/>
    <w:rsid w:val="00FC693F"/>
    <w:pPr>
      <w:spacing w:after="0" w:line="240" w:lineRule="auto"/>
    </w:pPr>
    <w:rPr>
      <w:rFonts w:ascii="微软雅黑" w:hAnsi="微软雅黑" w:eastAsia="微软雅黑" w:cs="微软雅黑"/>
    </w:rPr>
  </w:style>
  <w:style w:type="character" w:customStyle="1" w:styleId="Heading1Char">
    <w:name w:val="Heading 1 Char"/>
    <w:basedOn w:val="DefaultParagraphFont"/>
    <w:link w:val="Heading1"/>
    <w:uiPriority w:val="9"/>
    <w:rsid w:val="00FC693F"/>
    <w:rPr>
      <w:rFonts w:ascii="微软雅黑" w:hAnsi="微软雅黑" w:eastAsia="微软雅黑" w:cs="微软雅黑"/>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微软雅黑" w:hAnsi="微软雅黑" w:eastAsia="微软雅黑" w:cs="微软雅黑"/>
      <w:b/>
      <w:bCs/>
      <w:color w:val="4F81BD" w:themeColor="accent1"/>
      <w:sz w:val="26"/>
      <w:szCs w:val="26"/>
    </w:rPr>
  </w:style>
  <w:style w:type="character" w:customStyle="1" w:styleId="Heading3Char">
    <w:name w:val="Heading 3 Char"/>
    <w:basedOn w:val="DefaultParagraphFont"/>
    <w:link w:val="Heading3"/>
    <w:uiPriority w:val="9"/>
    <w:rsid w:val="00FC693F"/>
    <w:rPr>
      <w:rFonts w:ascii="微软雅黑" w:hAnsi="微软雅黑" w:eastAsia="微软雅黑" w:cs="微软雅黑"/>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微软雅黑" w:hAnsi="微软雅黑" w:eastAsia="微软雅黑" w:cs="微软雅黑"/>
      <w:color w:val="000000"/>
      <w:spacing w:val="5"/>
      <w:kern w:val="28"/>
      <w:sz w:val="52"/>
      <w:szCs w:val="52"/>
    </w:rPr>
  </w:style>
  <w:style w:type="character" w:customStyle="1" w:styleId="TitleChar">
    <w:name w:val="Title Char"/>
    <w:basedOn w:val="DefaultParagraphFont"/>
    <w:link w:val="Title"/>
    <w:uiPriority w:val="10"/>
    <w:rsid w:val="00FC693F"/>
    <w:rPr>
      <w:rFonts w:ascii="微软雅黑" w:hAnsi="微软雅黑" w:eastAsia="微软雅黑" w:cs="微软雅黑"/>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微软雅黑" w:hAnsi="微软雅黑" w:eastAsia="微软雅黑" w:cs="微软雅黑"/>
      <w:i w:val="0"/>
      <w:iCs/>
      <w:color w:val="536976"/>
      <w:spacing w:val="15"/>
      <w:sz w:val="24"/>
      <w:szCs w:val="24"/>
    </w:rPr>
  </w:style>
  <w:style w:type="character" w:customStyle="1" w:styleId="SubtitleChar">
    <w:name w:val="Subtitle Char"/>
    <w:basedOn w:val="DefaultParagraphFont"/>
    <w:link w:val="Subtitle"/>
    <w:uiPriority w:val="11"/>
    <w:rsid w:val="00FC693F"/>
    <w:rPr>
      <w:rFonts w:ascii="微软雅黑" w:hAnsi="微软雅黑" w:eastAsia="微软雅黑" w:cs="微软雅黑"/>
      <w:i/>
      <w:iCs/>
      <w:color w:val="4F81BD" w:themeColor="accent1"/>
      <w:spacing w:val="15"/>
      <w:sz w:val="24"/>
      <w:szCs w:val="24"/>
    </w:rPr>
  </w:style>
  <w:style w:type="paragraph" w:styleId="ListParagraph">
    <w:name w:val="List Paragraph"/>
    <w:basedOn w:val="Normal"/>
    <w:uiPriority w:val="34"/>
    <w:qFormat/>
    <w:rsid w:val="00FC693F"/>
    <w:pPr>
      <w:ind w:left="720"/>
      <w:contextualSpacing/>
    </w:pPr>
    <w:rPr>
      <w:rFonts w:ascii="微软雅黑" w:hAnsi="微软雅黑" w:eastAsia="微软雅黑" w:cs="微软雅黑"/>
    </w:rPr>
  </w:style>
  <w:style w:type="paragraph" w:styleId="BodyText">
    <w:name w:val="Body Text"/>
    <w:basedOn w:val="Normal"/>
    <w:link w:val="BodyTextChar"/>
    <w:uiPriority w:val="99"/>
    <w:unhideWhenUsed/>
    <w:rsid w:val="00AA1D8D"/>
    <w:pPr>
      <w:spacing w:after="120"/>
    </w:pPr>
    <w:rPr>
      <w:rFonts w:ascii="微软雅黑" w:hAnsi="微软雅黑" w:eastAsia="微软雅黑" w:cs="微软雅黑"/>
    </w:rPr>
  </w:style>
  <w:style w:type="character" w:customStyle="1" w:styleId="BodyTextChar">
    <w:name w:val="Body Text Char"/>
    <w:basedOn w:val="DefaultParagraphFont"/>
    <w:link w:val="BodyText"/>
    <w:uiPriority w:val="99"/>
    <w:rsid w:val="00AA1D8D"/>
    <w:rPr>
      <w:rFonts w:ascii="微软雅黑" w:hAnsi="微软雅黑" w:eastAsia="微软雅黑" w:cs="微软雅黑"/>
    </w:rPr>
  </w:style>
  <w:style w:type="paragraph" w:styleId="BodyText2">
    <w:name w:val="Body Text 2"/>
    <w:basedOn w:val="Normal"/>
    <w:link w:val="BodyText2Char"/>
    <w:uiPriority w:val="99"/>
    <w:unhideWhenUsed/>
    <w:rsid w:val="00AA1D8D"/>
    <w:pPr>
      <w:spacing w:after="120" w:line="480" w:lineRule="auto"/>
    </w:pPr>
    <w:rPr>
      <w:rFonts w:ascii="微软雅黑" w:hAnsi="微软雅黑" w:eastAsia="微软雅黑" w:cs="微软雅黑"/>
    </w:rPr>
  </w:style>
  <w:style w:type="character" w:customStyle="1" w:styleId="BodyText2Char">
    <w:name w:val="Body Text 2 Char"/>
    <w:basedOn w:val="DefaultParagraphFont"/>
    <w:link w:val="BodyText2"/>
    <w:uiPriority w:val="99"/>
    <w:rsid w:val="00AA1D8D"/>
    <w:rPr>
      <w:rFonts w:ascii="微软雅黑" w:hAnsi="微软雅黑" w:eastAsia="微软雅黑" w:cs="微软雅黑"/>
    </w:rPr>
  </w:style>
  <w:style w:type="paragraph" w:styleId="BodyText3">
    <w:name w:val="Body Text 3"/>
    <w:basedOn w:val="Normal"/>
    <w:link w:val="BodyText3Char"/>
    <w:uiPriority w:val="99"/>
    <w:unhideWhenUsed/>
    <w:rsid w:val="00AA1D8D"/>
    <w:pPr>
      <w:spacing w:after="120"/>
    </w:pPr>
    <w:rPr>
      <w:rFonts w:ascii="微软雅黑" w:hAnsi="微软雅黑" w:eastAsia="微软雅黑" w:cs="微软雅黑"/>
      <w:sz w:val="16"/>
      <w:szCs w:val="16"/>
    </w:rPr>
  </w:style>
  <w:style w:type="character" w:customStyle="1" w:styleId="BodyText3Char">
    <w:name w:val="Body Text 3 Char"/>
    <w:basedOn w:val="DefaultParagraphFont"/>
    <w:link w:val="BodyText3"/>
    <w:uiPriority w:val="99"/>
    <w:rsid w:val="00AA1D8D"/>
    <w:rPr>
      <w:rFonts w:ascii="微软雅黑" w:hAnsi="微软雅黑" w:eastAsia="微软雅黑" w:cs="微软雅黑"/>
      <w:sz w:val="16"/>
      <w:szCs w:val="16"/>
    </w:rPr>
  </w:style>
  <w:style w:type="paragraph" w:styleId="List">
    <w:name w:val="List"/>
    <w:basedOn w:val="Normal"/>
    <w:uiPriority w:val="99"/>
    <w:unhideWhenUsed/>
    <w:rsid w:val="00AA1D8D"/>
    <w:pPr>
      <w:ind w:left="360" w:hanging="360"/>
      <w:contextualSpacing/>
    </w:pPr>
    <w:rPr>
      <w:rFonts w:ascii="微软雅黑" w:hAnsi="微软雅黑" w:eastAsia="微软雅黑" w:cs="微软雅黑"/>
    </w:rPr>
  </w:style>
  <w:style w:type="paragraph" w:styleId="List2">
    <w:name w:val="List 2"/>
    <w:basedOn w:val="Normal"/>
    <w:uiPriority w:val="99"/>
    <w:unhideWhenUsed/>
    <w:rsid w:val="00326F90"/>
    <w:pPr>
      <w:ind w:left="720" w:hanging="360"/>
      <w:contextualSpacing/>
    </w:pPr>
    <w:rPr>
      <w:rFonts w:ascii="微软雅黑" w:hAnsi="微软雅黑" w:eastAsia="微软雅黑" w:cs="微软雅黑"/>
    </w:rPr>
  </w:style>
  <w:style w:type="paragraph" w:styleId="List3">
    <w:name w:val="List 3"/>
    <w:basedOn w:val="Normal"/>
    <w:uiPriority w:val="99"/>
    <w:unhideWhenUsed/>
    <w:rsid w:val="00326F90"/>
    <w:pPr>
      <w:ind w:left="1080" w:hanging="360"/>
      <w:contextualSpacing/>
    </w:pPr>
    <w:rPr>
      <w:rFonts w:ascii="微软雅黑" w:hAnsi="微软雅黑" w:eastAsia="微软雅黑" w:cs="微软雅黑"/>
    </w:rPr>
  </w:style>
  <w:style w:type="paragraph" w:styleId="ListBullet">
    <w:name w:val="List Bullet"/>
    <w:basedOn w:val="Normal"/>
    <w:uiPriority w:val="99"/>
    <w:unhideWhenUsed/>
    <w:rsid w:val="00326F90"/>
    <w:pPr>
      <w:numPr>
        <w:numId w:val="1"/>
      </w:numPr>
      <w:contextualSpacing/>
    </w:pPr>
    <w:rPr>
      <w:rFonts w:ascii="微软雅黑" w:hAnsi="微软雅黑" w:eastAsia="微软雅黑" w:cs="微软雅黑"/>
    </w:rPr>
  </w:style>
  <w:style w:type="paragraph" w:styleId="ListBullet2">
    <w:name w:val="List Bullet 2"/>
    <w:basedOn w:val="Normal"/>
    <w:uiPriority w:val="99"/>
    <w:unhideWhenUsed/>
    <w:rsid w:val="00326F90"/>
    <w:pPr>
      <w:numPr>
        <w:numId w:val="2"/>
      </w:numPr>
      <w:contextualSpacing/>
    </w:pPr>
    <w:rPr>
      <w:rFonts w:ascii="微软雅黑" w:hAnsi="微软雅黑" w:eastAsia="微软雅黑" w:cs="微软雅黑"/>
    </w:rPr>
  </w:style>
  <w:style w:type="paragraph" w:styleId="ListBullet3">
    <w:name w:val="List Bullet 3"/>
    <w:basedOn w:val="Normal"/>
    <w:uiPriority w:val="99"/>
    <w:unhideWhenUsed/>
    <w:rsid w:val="00326F90"/>
    <w:pPr>
      <w:numPr>
        <w:numId w:val="3"/>
      </w:numPr>
      <w:contextualSpacing/>
    </w:pPr>
    <w:rPr>
      <w:rFonts w:ascii="微软雅黑" w:hAnsi="微软雅黑" w:eastAsia="微软雅黑" w:cs="微软雅黑"/>
    </w:rPr>
  </w:style>
  <w:style w:type="paragraph" w:styleId="ListNumber">
    <w:name w:val="List Number"/>
    <w:basedOn w:val="Normal"/>
    <w:uiPriority w:val="99"/>
    <w:unhideWhenUsed/>
    <w:rsid w:val="00326F90"/>
    <w:pPr>
      <w:numPr>
        <w:numId w:val="5"/>
      </w:numPr>
      <w:contextualSpacing/>
    </w:pPr>
    <w:rPr>
      <w:rFonts w:ascii="微软雅黑" w:hAnsi="微软雅黑" w:eastAsia="微软雅黑" w:cs="微软雅黑"/>
    </w:rPr>
  </w:style>
  <w:style w:type="paragraph" w:styleId="ListNumber2">
    <w:name w:val="List Number 2"/>
    <w:basedOn w:val="Normal"/>
    <w:uiPriority w:val="99"/>
    <w:unhideWhenUsed/>
    <w:rsid w:val="0029639D"/>
    <w:pPr>
      <w:numPr>
        <w:numId w:val="6"/>
      </w:numPr>
      <w:contextualSpacing/>
    </w:pPr>
    <w:rPr>
      <w:rFonts w:ascii="微软雅黑" w:hAnsi="微软雅黑" w:eastAsia="微软雅黑" w:cs="微软雅黑"/>
    </w:rPr>
  </w:style>
  <w:style w:type="paragraph" w:styleId="ListNumber3">
    <w:name w:val="List Number 3"/>
    <w:basedOn w:val="Normal"/>
    <w:uiPriority w:val="99"/>
    <w:unhideWhenUsed/>
    <w:rsid w:val="0029639D"/>
    <w:pPr>
      <w:numPr>
        <w:numId w:val="7"/>
      </w:numPr>
      <w:contextualSpacing/>
    </w:pPr>
    <w:rPr>
      <w:rFonts w:ascii="微软雅黑" w:hAnsi="微软雅黑" w:eastAsia="微软雅黑" w:cs="微软雅黑"/>
    </w:rPr>
  </w:style>
  <w:style w:type="paragraph" w:styleId="ListContinue">
    <w:name w:val="List Continue"/>
    <w:basedOn w:val="Normal"/>
    <w:uiPriority w:val="99"/>
    <w:unhideWhenUsed/>
    <w:rsid w:val="0029639D"/>
    <w:pPr>
      <w:spacing w:after="120"/>
      <w:ind w:left="360"/>
      <w:contextualSpacing/>
    </w:pPr>
    <w:rPr>
      <w:rFonts w:ascii="微软雅黑" w:hAnsi="微软雅黑" w:eastAsia="微软雅黑" w:cs="微软雅黑"/>
    </w:rPr>
  </w:style>
  <w:style w:type="paragraph" w:styleId="ListContinue2">
    <w:name w:val="List Continue 2"/>
    <w:basedOn w:val="Normal"/>
    <w:uiPriority w:val="99"/>
    <w:unhideWhenUsed/>
    <w:rsid w:val="0029639D"/>
    <w:pPr>
      <w:spacing w:after="120"/>
      <w:ind w:left="720"/>
      <w:contextualSpacing/>
    </w:pPr>
    <w:rPr>
      <w:rFonts w:ascii="微软雅黑" w:hAnsi="微软雅黑" w:eastAsia="微软雅黑" w:cs="微软雅黑"/>
    </w:rPr>
  </w:style>
  <w:style w:type="paragraph" w:styleId="ListContinue3">
    <w:name w:val="List Continue 3"/>
    <w:basedOn w:val="Normal"/>
    <w:uiPriority w:val="99"/>
    <w:unhideWhenUsed/>
    <w:rsid w:val="0029639D"/>
    <w:pPr>
      <w:spacing w:after="120"/>
      <w:ind w:left="1080"/>
      <w:contextualSpacing/>
    </w:pPr>
    <w:rPr>
      <w:rFonts w:ascii="微软雅黑" w:hAnsi="微软雅黑" w:eastAsia="微软雅黑" w:cs="微软雅黑"/>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微软雅黑" w:hAnsi="微软雅黑" w:eastAsia="微软雅黑" w:cs="微软雅黑"/>
      <w:sz w:val="20"/>
      <w:szCs w:val="20"/>
    </w:rPr>
  </w:style>
  <w:style w:type="character" w:customStyle="1" w:styleId="MacroTextChar">
    <w:name w:val="Macro Text Char"/>
    <w:basedOn w:val="DefaultParagraphFont"/>
    <w:link w:val="MacroText"/>
    <w:uiPriority w:val="99"/>
    <w:rsid w:val="0029639D"/>
    <w:rPr>
      <w:rFonts w:ascii="微软雅黑" w:hAnsi="微软雅黑" w:eastAsia="微软雅黑" w:cs="微软雅黑"/>
      <w:sz w:val="20"/>
      <w:szCs w:val="20"/>
    </w:rPr>
  </w:style>
  <w:style w:type="paragraph" w:styleId="Quote">
    <w:name w:val="Quote"/>
    <w:basedOn w:val="Normal"/>
    <w:next w:val="Normal"/>
    <w:link w:val="QuoteChar"/>
    <w:uiPriority w:val="29"/>
    <w:qFormat/>
    <w:rsid w:val="00FC693F"/>
    <w:rPr>
      <w:rFonts w:ascii="微软雅黑" w:hAnsi="微软雅黑" w:eastAsia="微软雅黑" w:cs="微软雅黑"/>
      <w:i/>
      <w:iCs/>
      <w:color w:val="000000" w:themeColor="text1"/>
    </w:rPr>
  </w:style>
  <w:style w:type="character" w:customStyle="1" w:styleId="QuoteChar">
    <w:name w:val="Quote Char"/>
    <w:basedOn w:val="DefaultParagraphFont"/>
    <w:link w:val="Quote"/>
    <w:uiPriority w:val="29"/>
    <w:rsid w:val="00FC693F"/>
    <w:rPr>
      <w:rFonts w:ascii="微软雅黑" w:hAnsi="微软雅黑" w:eastAsia="微软雅黑" w:cs="微软雅黑"/>
      <w:i/>
      <w:iCs/>
      <w:color w:val="000000" w:themeColor="text1"/>
    </w:rPr>
  </w:style>
  <w:style w:type="character" w:customStyle="1" w:styleId="Heading4Char">
    <w:name w:val="Heading 4 Char"/>
    <w:basedOn w:val="DefaultParagraphFont"/>
    <w:link w:val="Heading4"/>
    <w:uiPriority w:val="9"/>
    <w:semiHidden/>
    <w:rsid w:val="00FC693F"/>
    <w:rPr>
      <w:rFonts w:ascii="微软雅黑" w:hAnsi="微软雅黑" w:eastAsia="微软雅黑" w:cs="微软雅黑"/>
      <w:b/>
      <w:bCs/>
      <w:i/>
      <w:iCs/>
      <w:color w:val="4F81BD" w:themeColor="accent1"/>
    </w:rPr>
  </w:style>
  <w:style w:type="character" w:customStyle="1" w:styleId="Heading5Char">
    <w:name w:val="Heading 5 Char"/>
    <w:basedOn w:val="DefaultParagraphFont"/>
    <w:link w:val="Heading5"/>
    <w:uiPriority w:val="9"/>
    <w:semiHidden/>
    <w:rsid w:val="00FC693F"/>
    <w:rPr>
      <w:rFonts w:ascii="微软雅黑" w:hAnsi="微软雅黑" w:eastAsia="微软雅黑" w:cs="微软雅黑"/>
      <w:color w:val="243F60" w:themeColor="accent1" w:themeShade="7F"/>
    </w:rPr>
  </w:style>
  <w:style w:type="character" w:customStyle="1" w:styleId="Heading6Char">
    <w:name w:val="Heading 6 Char"/>
    <w:basedOn w:val="DefaultParagraphFont"/>
    <w:link w:val="Heading6"/>
    <w:uiPriority w:val="9"/>
    <w:semiHidden/>
    <w:rsid w:val="00FC693F"/>
    <w:rPr>
      <w:rFonts w:ascii="微软雅黑" w:hAnsi="微软雅黑" w:eastAsia="微软雅黑" w:cs="微软雅黑"/>
      <w:i/>
      <w:iCs/>
      <w:color w:val="243F60" w:themeColor="accent1" w:themeShade="7F"/>
    </w:rPr>
  </w:style>
  <w:style w:type="character" w:customStyle="1" w:styleId="Heading7Char">
    <w:name w:val="Heading 7 Char"/>
    <w:basedOn w:val="DefaultParagraphFont"/>
    <w:link w:val="Heading7"/>
    <w:uiPriority w:val="9"/>
    <w:semiHidden/>
    <w:rsid w:val="00FC693F"/>
    <w:rPr>
      <w:rFonts w:ascii="微软雅黑" w:hAnsi="微软雅黑" w:eastAsia="微软雅黑" w:cs="微软雅黑"/>
      <w:i/>
      <w:iCs/>
      <w:color w:val="404040" w:themeColor="text1" w:themeTint="BF"/>
    </w:rPr>
  </w:style>
  <w:style w:type="character" w:customStyle="1" w:styleId="Heading8Char">
    <w:name w:val="Heading 8 Char"/>
    <w:basedOn w:val="DefaultParagraphFont"/>
    <w:link w:val="Heading8"/>
    <w:uiPriority w:val="9"/>
    <w:semiHidden/>
    <w:rsid w:val="00FC693F"/>
    <w:rPr>
      <w:rFonts w:ascii="微软雅黑" w:hAnsi="微软雅黑" w:eastAsia="微软雅黑" w:cs="微软雅黑"/>
      <w:color w:val="4F81BD" w:themeColor="accent1"/>
      <w:sz w:val="20"/>
      <w:szCs w:val="20"/>
    </w:rPr>
  </w:style>
  <w:style w:type="character" w:customStyle="1" w:styleId="Heading9Char">
    <w:name w:val="Heading 9 Char"/>
    <w:basedOn w:val="DefaultParagraphFont"/>
    <w:link w:val="Heading9"/>
    <w:uiPriority w:val="9"/>
    <w:semiHidden/>
    <w:rsid w:val="00FC693F"/>
    <w:rPr>
      <w:rFonts w:ascii="微软雅黑" w:hAnsi="微软雅黑" w:eastAsia="微软雅黑" w:cs="微软雅黑"/>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微软雅黑" w:hAnsi="微软雅黑" w:eastAsia="微软雅黑" w:cs="微软雅黑"/>
      <w:b/>
      <w:bCs/>
      <w:color w:val="4F81BD" w:themeColor="accent1"/>
      <w:sz w:val="18"/>
      <w:szCs w:val="18"/>
    </w:rPr>
  </w:style>
  <w:style w:type="character" w:styleId="Strong">
    <w:name w:val="Strong"/>
    <w:basedOn w:val="DefaultParagraphFont"/>
    <w:uiPriority w:val="22"/>
    <w:qFormat/>
    <w:rsid w:val="00FC693F"/>
    <w:rPr>
      <w:rFonts w:ascii="微软雅黑" w:hAnsi="微软雅黑" w:eastAsia="微软雅黑" w:cs="微软雅黑"/>
      <w:b/>
      <w:bCs/>
    </w:rPr>
  </w:style>
  <w:style w:type="character" w:styleId="Emphasis">
    <w:name w:val="Emphasis"/>
    <w:basedOn w:val="DefaultParagraphFont"/>
    <w:uiPriority w:val="20"/>
    <w:qFormat/>
    <w:rsid w:val="00FC693F"/>
    <w:rPr>
      <w:rFonts w:ascii="微软雅黑" w:hAnsi="微软雅黑" w:eastAsia="微软雅黑" w:cs="微软雅黑"/>
      <w:i/>
      <w:iCs/>
    </w:rPr>
  </w:style>
  <w:style w:type="paragraph" w:styleId="IntenseQuote">
    <w:name w:val="Intense Quote"/>
    <w:basedOn w:val="Normal"/>
    <w:next w:val="Normal"/>
    <w:link w:val="IntenseQuoteChar"/>
    <w:uiPriority w:val="30"/>
    <w:qFormat/>
    <w:rsid w:val="00FC693F"/>
    <w:pPr>
      <w:spacing w:before="200" w:after="280"/>
      <w:ind w:left="936" w:right="936"/>
    </w:pPr>
    <w:rPr>
      <w:rFonts w:ascii="微软雅黑" w:hAnsi="微软雅黑" w:eastAsia="微软雅黑" w:cs="微软雅黑"/>
      <w:b/>
      <w:bCs/>
      <w:i/>
      <w:iCs/>
      <w:color w:val="4F81BD" w:themeColor="accent1"/>
    </w:rPr>
  </w:style>
  <w:style w:type="character" w:customStyle="1" w:styleId="IntenseQuoteChar">
    <w:name w:val="Intense Quote Char"/>
    <w:basedOn w:val="DefaultParagraphFont"/>
    <w:link w:val="IntenseQuote"/>
    <w:uiPriority w:val="30"/>
    <w:rsid w:val="00FC693F"/>
    <w:rPr>
      <w:rFonts w:ascii="微软雅黑" w:hAnsi="微软雅黑" w:eastAsia="微软雅黑" w:cs="微软雅黑"/>
      <w:b/>
      <w:bCs/>
      <w:i/>
      <w:iCs/>
      <w:color w:val="4F81BD" w:themeColor="accent1"/>
    </w:rPr>
  </w:style>
  <w:style w:type="character" w:styleId="SubtleEmphasis">
    <w:name w:val="Subtle Emphasis"/>
    <w:basedOn w:val="DefaultParagraphFont"/>
    <w:uiPriority w:val="19"/>
    <w:qFormat/>
    <w:rsid w:val="00FC693F"/>
    <w:rPr>
      <w:rFonts w:ascii="微软雅黑" w:hAnsi="微软雅黑" w:eastAsia="微软雅黑" w:cs="微软雅黑"/>
      <w:i/>
      <w:iCs/>
      <w:color w:val="808080" w:themeColor="text1" w:themeTint="7F"/>
    </w:rPr>
  </w:style>
  <w:style w:type="character" w:styleId="IntenseEmphasis">
    <w:name w:val="Intense Emphasis"/>
    <w:basedOn w:val="DefaultParagraphFont"/>
    <w:uiPriority w:val="21"/>
    <w:qFormat/>
    <w:rsid w:val="00FC693F"/>
    <w:rPr>
      <w:rFonts w:ascii="微软雅黑" w:hAnsi="微软雅黑" w:eastAsia="微软雅黑" w:cs="微软雅黑"/>
      <w:b/>
      <w:bCs/>
      <w:i/>
      <w:iCs/>
      <w:color w:val="4F81BD" w:themeColor="accent1"/>
    </w:rPr>
  </w:style>
  <w:style w:type="character" w:styleId="SubtleReference">
    <w:name w:val="Subtle Reference"/>
    <w:basedOn w:val="DefaultParagraphFont"/>
    <w:uiPriority w:val="31"/>
    <w:qFormat/>
    <w:rsid w:val="00FC693F"/>
    <w:rPr>
      <w:rFonts w:ascii="微软雅黑" w:hAnsi="微软雅黑" w:eastAsia="微软雅黑" w:cs="微软雅黑"/>
      <w:smallCaps/>
      <w:color w:val="C0504D" w:themeColor="accent2"/>
      <w:u w:val="single"/>
    </w:rPr>
  </w:style>
  <w:style w:type="character" w:styleId="IntenseReference">
    <w:name w:val="Intense Reference"/>
    <w:basedOn w:val="DefaultParagraphFont"/>
    <w:uiPriority w:val="32"/>
    <w:qFormat/>
    <w:rsid w:val="00FC693F"/>
    <w:rPr>
      <w:rFonts w:ascii="微软雅黑" w:hAnsi="微软雅黑" w:eastAsia="微软雅黑" w:cs="微软雅黑"/>
      <w:b/>
      <w:bCs/>
      <w:smallCaps/>
      <w:color w:val="C0504D" w:themeColor="accent2"/>
      <w:spacing w:val="5"/>
      <w:u w:val="single"/>
    </w:rPr>
  </w:style>
  <w:style w:type="character" w:styleId="BookTitle">
    <w:name w:val="Book Title"/>
    <w:basedOn w:val="DefaultParagraphFont"/>
    <w:uiPriority w:val="33"/>
    <w:qFormat/>
    <w:rsid w:val="00FC693F"/>
    <w:rPr>
      <w:rFonts w:ascii="微软雅黑" w:hAnsi="微软雅黑" w:eastAsia="微软雅黑" w:cs="微软雅黑"/>
      <w:b/>
      <w:bCs/>
      <w:smallCaps/>
      <w:spacing w:val="5"/>
    </w:rPr>
  </w:style>
  <w:style w:type="paragraph" w:styleId="TOCHeading">
    <w:name w:val="TOC Heading"/>
    <w:basedOn w:val="Heading1"/>
    <w:next w:val="Normal"/>
    <w:uiPriority w:val="39"/>
    <w:semiHidden/>
    <w:unhideWhenUsed/>
    <w:qFormat/>
    <w:rsid w:val="00FC693F"/>
    <w:pPr>
      <w:outlineLvl w:val="9"/>
    </w:pPr>
    <w:rPr>
      <w:rFonts w:ascii="微软雅黑" w:hAnsi="微软雅黑" w:eastAsia="微软雅黑" w:cs="微软雅黑"/>
    </w:rPr>
  </w:style>
  <w:style w:type="table" w:styleId="TableGrid">
    <w:name w:val="Table Grid"/>
    <w:basedOn w:val="TableNormal"/>
    <w:uiPriority w:val="59"/>
    <w:rsid w:val="00FC693F"/>
    <w:pPr>
      <w:spacing w:after="0" w:line="240" w:lineRule="auto"/>
    </w:pPr>
    <w:rPr>
      <w:rFonts w:ascii="微软雅黑" w:hAnsi="微软雅黑" w:eastAsia="微软雅黑" w:cs="微软雅黑"/>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rFonts w:ascii="微软雅黑" w:hAnsi="微软雅黑" w:eastAsia="微软雅黑" w:cs="微软雅黑"/>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rFonts w:ascii="微软雅黑" w:hAnsi="微软雅黑" w:eastAsia="微软雅黑" w:cs="微软雅黑"/>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rFonts w:ascii="微软雅黑" w:hAnsi="微软雅黑" w:eastAsia="微软雅黑" w:cs="微软雅黑"/>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rFonts w:ascii="微软雅黑" w:hAnsi="微软雅黑" w:eastAsia="微软雅黑" w:cs="微软雅黑"/>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rFonts w:ascii="微软雅黑" w:hAnsi="微软雅黑" w:eastAsia="微软雅黑" w:cs="微软雅黑"/>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rFonts w:ascii="微软雅黑" w:hAnsi="微软雅黑" w:eastAsia="微软雅黑" w:cs="微软雅黑"/>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rFonts w:ascii="微软雅黑" w:hAnsi="微软雅黑" w:eastAsia="微软雅黑" w:cs="微软雅黑"/>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rPr>
      <w:rFonts w:ascii="微软雅黑" w:hAnsi="微软雅黑" w:eastAsia="微软雅黑" w:cs="微软雅黑"/>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rPr>
      <w:rFonts w:ascii="微软雅黑" w:hAnsi="微软雅黑" w:eastAsia="微软雅黑" w:cs="微软雅黑"/>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微软雅黑" w:hAnsi="微软雅黑" w:eastAsia="微软雅黑" w:cs="微软雅黑"/>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微软雅黑" w:hAnsi="微软雅黑" w:eastAsia="微软雅黑" w:cs="微软雅黑"/>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微软雅黑" w:hAnsi="微软雅黑" w:eastAsia="微软雅黑" w:cs="微软雅黑"/>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微软雅黑" w:hAnsi="微软雅黑" w:eastAsia="微软雅黑" w:cs="微软雅黑"/>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微软雅黑" w:hAnsi="微软雅黑" w:eastAsia="微软雅黑" w:cs="微软雅黑"/>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微软雅黑" w:hAnsi="微软雅黑" w:eastAsia="微软雅黑" w:cs="微软雅黑"/>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微软雅黑" w:hAnsi="微软雅黑" w:eastAsia="微软雅黑" w:cs="微软雅黑"/>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微软雅黑" w:hAnsi="微软雅黑" w:eastAsia="微软雅黑" w:cs="微软雅黑"/>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微软雅黑" w:hAnsi="微软雅黑" w:eastAsia="微软雅黑" w:cs="微软雅黑"/>
    </w:rPr>
  </w:style>
  <w:style w:type="paragraph" w:styleId="Heading1">
    <w:name w:val="heading 1"/>
    <w:basedOn w:val="Normal"/>
    <w:next w:val="Normal"/>
    <w:link w:val="Heading1Char"/>
    <w:uiPriority w:val="9"/>
    <w:qFormat/>
    <w:rsid w:val="00FC693F"/>
    <w:pPr>
      <w:keepNext/>
      <w:keepLines/>
      <w:spacing w:before="480" w:after="0"/>
      <w:outlineLvl w:val="0"/>
    </w:pPr>
    <w:rPr>
      <w:rFonts w:ascii="微软雅黑" w:hAnsi="微软雅黑" w:eastAsia="微软雅黑" w:cs="微软雅黑"/>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微软雅黑" w:hAnsi="微软雅黑" w:eastAsia="微软雅黑" w:cs="微软雅黑"/>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微软雅黑" w:hAnsi="微软雅黑" w:eastAsia="微软雅黑" w:cs="微软雅黑"/>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微软雅黑" w:hAnsi="微软雅黑" w:eastAsia="微软雅黑" w:cs="微软雅黑"/>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微软雅黑" w:hAnsi="微软雅黑" w:eastAsia="微软雅黑" w:cs="微软雅黑"/>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微软雅黑" w:hAnsi="微软雅黑" w:eastAsia="微软雅黑" w:cs="微软雅黑"/>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微软雅黑" w:hAnsi="微软雅黑" w:eastAsia="微软雅黑" w:cs="微软雅黑"/>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微软雅黑" w:hAnsi="微软雅黑" w:eastAsia="微软雅黑" w:cs="微软雅黑"/>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微软雅黑" w:hAnsi="微软雅黑" w:eastAsia="微软雅黑" w:cs="微软雅黑"/>
      <w:i/>
      <w:iCs/>
      <w:color w:val="404040" w:themeColor="text1" w:themeTint="BF"/>
      <w:sz w:val="20"/>
      <w:szCs w:val="20"/>
    </w:rPr>
  </w:style>
  <w:style w:type="character" w:default="1" w:styleId="DefaultParagraphFont">
    <w:name w:val="Default Paragraph Font"/>
    <w:uiPriority w:val="1"/>
    <w:semiHidden/>
    <w:unhideWhenUsed/>
    <w:rPr>
      <w:rFonts w:ascii="微软雅黑" w:hAnsi="微软雅黑" w:eastAsia="微软雅黑" w:cs="微软雅黑"/>
    </w:rPr>
  </w:style>
  <w:style w:type="table" w:default="1" w:styleId="TableNormal">
    <w:name w:val="Normal Table"/>
    <w:uiPriority w:val="99"/>
    <w:semiHidden/>
    <w:unhideWhenUsed/>
    <w:rPr>
      <w:rFonts w:ascii="微软雅黑" w:hAnsi="微软雅黑" w:eastAsia="微软雅黑" w:cs="微软雅黑"/>
    </w:rPr>
    <w:tblPr>
      <w:tblInd w:w="0" w:type="dxa"/>
      <w:tblCellMar>
        <w:top w:w="0" w:type="dxa"/>
        <w:left w:w="108" w:type="dxa"/>
        <w:bottom w:w="0" w:type="dxa"/>
        <w:right w:w="108" w:type="dxa"/>
      </w:tblCellMar>
    </w:tblPr>
  </w:style>
  <w:style w:type="numbering" w:default="1" w:styleId="NoList">
    <w:name w:val="No List"/>
    <w:uiPriority w:val="99"/>
    <w:semiHidden/>
    <w:unhideWhenUsed/>
    <w:rPr>
      <w:rFonts w:ascii="微软雅黑" w:hAnsi="微软雅黑" w:eastAsia="微软雅黑" w:cs="微软雅黑"/>
    </w:rPr>
  </w:style>
  <w:style w:type="paragraph" w:styleId="NoSpacing">
    <w:name w:val="No Spacing"/>
    <w:uiPriority w:val="1"/>
    <w:qFormat/>
    <w:rsid w:val="00FC693F"/>
    <w:pPr>
      <w:spacing w:after="0" w:line="240" w:lineRule="auto"/>
    </w:pPr>
    <w:rPr>
      <w:rFonts w:ascii="微软雅黑" w:hAnsi="微软雅黑" w:eastAsia="微软雅黑" w:cs="微软雅黑"/>
    </w:rPr>
  </w:style>
  <w:style w:type="character" w:customStyle="1" w:styleId="Heading1Char">
    <w:name w:val="Heading 1 Char"/>
    <w:basedOn w:val="DefaultParagraphFont"/>
    <w:link w:val="Heading1"/>
    <w:uiPriority w:val="9"/>
    <w:rsid w:val="00FC693F"/>
    <w:rPr>
      <w:rFonts w:ascii="微软雅黑" w:hAnsi="微软雅黑" w:eastAsia="微软雅黑" w:cs="微软雅黑"/>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微软雅黑" w:hAnsi="微软雅黑" w:eastAsia="微软雅黑" w:cs="微软雅黑"/>
      <w:b/>
      <w:bCs/>
      <w:color w:val="4F81BD" w:themeColor="accent1"/>
      <w:sz w:val="26"/>
      <w:szCs w:val="26"/>
    </w:rPr>
  </w:style>
  <w:style w:type="character" w:customStyle="1" w:styleId="Heading3Char">
    <w:name w:val="Heading 3 Char"/>
    <w:basedOn w:val="DefaultParagraphFont"/>
    <w:link w:val="Heading3"/>
    <w:uiPriority w:val="9"/>
    <w:rsid w:val="00FC693F"/>
    <w:rPr>
      <w:rFonts w:ascii="微软雅黑" w:hAnsi="微软雅黑" w:eastAsia="微软雅黑" w:cs="微软雅黑"/>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微软雅黑" w:hAnsi="微软雅黑" w:eastAsia="微软雅黑" w:cs="微软雅黑"/>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微软雅黑" w:hAnsi="微软雅黑" w:eastAsia="微软雅黑" w:cs="微软雅黑"/>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微软雅黑" w:hAnsi="微软雅黑" w:eastAsia="微软雅黑" w:cs="微软雅黑"/>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微软雅黑" w:hAnsi="微软雅黑" w:eastAsia="微软雅黑" w:cs="微软雅黑"/>
      <w:i/>
      <w:iCs/>
      <w:color w:val="4F81BD" w:themeColor="accent1"/>
      <w:spacing w:val="15"/>
      <w:sz w:val="24"/>
      <w:szCs w:val="24"/>
    </w:rPr>
  </w:style>
  <w:style w:type="paragraph" w:styleId="ListParagraph">
    <w:name w:val="List Paragraph"/>
    <w:basedOn w:val="Normal"/>
    <w:uiPriority w:val="34"/>
    <w:qFormat/>
    <w:rsid w:val="00FC693F"/>
    <w:pPr>
      <w:ind w:left="720"/>
      <w:contextualSpacing/>
    </w:pPr>
    <w:rPr>
      <w:rFonts w:ascii="微软雅黑" w:hAnsi="微软雅黑" w:eastAsia="微软雅黑" w:cs="微软雅黑"/>
    </w:rPr>
  </w:style>
  <w:style w:type="paragraph" w:styleId="BodyText">
    <w:name w:val="Body Text"/>
    <w:basedOn w:val="Normal"/>
    <w:link w:val="BodyTextChar"/>
    <w:uiPriority w:val="99"/>
    <w:unhideWhenUsed/>
    <w:rsid w:val="00AA1D8D"/>
    <w:pPr>
      <w:spacing w:after="120"/>
    </w:pPr>
    <w:rPr>
      <w:rFonts w:ascii="微软雅黑" w:hAnsi="微软雅黑" w:eastAsia="微软雅黑" w:cs="微软雅黑"/>
    </w:rPr>
  </w:style>
  <w:style w:type="character" w:customStyle="1" w:styleId="BodyTextChar">
    <w:name w:val="Body Text Char"/>
    <w:basedOn w:val="DefaultParagraphFont"/>
    <w:link w:val="BodyText"/>
    <w:uiPriority w:val="99"/>
    <w:rsid w:val="00AA1D8D"/>
    <w:rPr>
      <w:rFonts w:ascii="微软雅黑" w:hAnsi="微软雅黑" w:eastAsia="微软雅黑" w:cs="微软雅黑"/>
    </w:rPr>
  </w:style>
  <w:style w:type="paragraph" w:styleId="BodyText2">
    <w:name w:val="Body Text 2"/>
    <w:basedOn w:val="Normal"/>
    <w:link w:val="BodyText2Char"/>
    <w:uiPriority w:val="99"/>
    <w:unhideWhenUsed/>
    <w:rsid w:val="00AA1D8D"/>
    <w:pPr>
      <w:spacing w:after="120" w:line="480" w:lineRule="auto"/>
    </w:pPr>
    <w:rPr>
      <w:rFonts w:ascii="微软雅黑" w:hAnsi="微软雅黑" w:eastAsia="微软雅黑" w:cs="微软雅黑"/>
    </w:rPr>
  </w:style>
  <w:style w:type="character" w:customStyle="1" w:styleId="BodyText2Char">
    <w:name w:val="Body Text 2 Char"/>
    <w:basedOn w:val="DefaultParagraphFont"/>
    <w:link w:val="BodyText2"/>
    <w:uiPriority w:val="99"/>
    <w:rsid w:val="00AA1D8D"/>
    <w:rPr>
      <w:rFonts w:ascii="微软雅黑" w:hAnsi="微软雅黑" w:eastAsia="微软雅黑" w:cs="微软雅黑"/>
    </w:rPr>
  </w:style>
  <w:style w:type="paragraph" w:styleId="BodyText3">
    <w:name w:val="Body Text 3"/>
    <w:basedOn w:val="Normal"/>
    <w:link w:val="BodyText3Char"/>
    <w:uiPriority w:val="99"/>
    <w:unhideWhenUsed/>
    <w:rsid w:val="00AA1D8D"/>
    <w:pPr>
      <w:spacing w:after="120"/>
    </w:pPr>
    <w:rPr>
      <w:rFonts w:ascii="微软雅黑" w:hAnsi="微软雅黑" w:eastAsia="微软雅黑" w:cs="微软雅黑"/>
      <w:sz w:val="16"/>
      <w:szCs w:val="16"/>
    </w:rPr>
  </w:style>
  <w:style w:type="character" w:customStyle="1" w:styleId="BodyText3Char">
    <w:name w:val="Body Text 3 Char"/>
    <w:basedOn w:val="DefaultParagraphFont"/>
    <w:link w:val="BodyText3"/>
    <w:uiPriority w:val="99"/>
    <w:rsid w:val="00AA1D8D"/>
    <w:rPr>
      <w:rFonts w:ascii="微软雅黑" w:hAnsi="微软雅黑" w:eastAsia="微软雅黑" w:cs="微软雅黑"/>
      <w:sz w:val="16"/>
      <w:szCs w:val="16"/>
    </w:rPr>
  </w:style>
  <w:style w:type="paragraph" w:styleId="List">
    <w:name w:val="List"/>
    <w:basedOn w:val="Normal"/>
    <w:uiPriority w:val="99"/>
    <w:unhideWhenUsed/>
    <w:rsid w:val="00AA1D8D"/>
    <w:pPr>
      <w:ind w:left="360" w:hanging="360"/>
      <w:contextualSpacing/>
    </w:pPr>
    <w:rPr>
      <w:rFonts w:ascii="微软雅黑" w:hAnsi="微软雅黑" w:eastAsia="微软雅黑" w:cs="微软雅黑"/>
    </w:rPr>
  </w:style>
  <w:style w:type="paragraph" w:styleId="List2">
    <w:name w:val="List 2"/>
    <w:basedOn w:val="Normal"/>
    <w:uiPriority w:val="99"/>
    <w:unhideWhenUsed/>
    <w:rsid w:val="00326F90"/>
    <w:pPr>
      <w:ind w:left="720" w:hanging="360"/>
      <w:contextualSpacing/>
    </w:pPr>
    <w:rPr>
      <w:rFonts w:ascii="微软雅黑" w:hAnsi="微软雅黑" w:eastAsia="微软雅黑" w:cs="微软雅黑"/>
    </w:rPr>
  </w:style>
  <w:style w:type="paragraph" w:styleId="List3">
    <w:name w:val="List 3"/>
    <w:basedOn w:val="Normal"/>
    <w:uiPriority w:val="99"/>
    <w:unhideWhenUsed/>
    <w:rsid w:val="00326F90"/>
    <w:pPr>
      <w:ind w:left="1080" w:hanging="360"/>
      <w:contextualSpacing/>
    </w:pPr>
    <w:rPr>
      <w:rFonts w:ascii="微软雅黑" w:hAnsi="微软雅黑" w:eastAsia="微软雅黑" w:cs="微软雅黑"/>
    </w:rPr>
  </w:style>
  <w:style w:type="paragraph" w:styleId="ListBullet">
    <w:name w:val="List Bullet"/>
    <w:basedOn w:val="Normal"/>
    <w:uiPriority w:val="99"/>
    <w:unhideWhenUsed/>
    <w:rsid w:val="00326F90"/>
    <w:pPr>
      <w:numPr>
        <w:numId w:val="1"/>
      </w:numPr>
      <w:contextualSpacing/>
    </w:pPr>
    <w:rPr>
      <w:rFonts w:ascii="微软雅黑" w:hAnsi="微软雅黑" w:eastAsia="微软雅黑" w:cs="微软雅黑"/>
    </w:rPr>
  </w:style>
  <w:style w:type="paragraph" w:styleId="ListBullet2">
    <w:name w:val="List Bullet 2"/>
    <w:basedOn w:val="Normal"/>
    <w:uiPriority w:val="99"/>
    <w:unhideWhenUsed/>
    <w:rsid w:val="00326F90"/>
    <w:pPr>
      <w:numPr>
        <w:numId w:val="2"/>
      </w:numPr>
      <w:contextualSpacing/>
    </w:pPr>
    <w:rPr>
      <w:rFonts w:ascii="微软雅黑" w:hAnsi="微软雅黑" w:eastAsia="微软雅黑" w:cs="微软雅黑"/>
    </w:rPr>
  </w:style>
  <w:style w:type="paragraph" w:styleId="ListBullet3">
    <w:name w:val="List Bullet 3"/>
    <w:basedOn w:val="Normal"/>
    <w:uiPriority w:val="99"/>
    <w:unhideWhenUsed/>
    <w:rsid w:val="00326F90"/>
    <w:pPr>
      <w:numPr>
        <w:numId w:val="3"/>
      </w:numPr>
      <w:contextualSpacing/>
    </w:pPr>
    <w:rPr>
      <w:rFonts w:ascii="微软雅黑" w:hAnsi="微软雅黑" w:eastAsia="微软雅黑" w:cs="微软雅黑"/>
    </w:rPr>
  </w:style>
  <w:style w:type="paragraph" w:styleId="ListNumber">
    <w:name w:val="List Number"/>
    <w:basedOn w:val="Normal"/>
    <w:uiPriority w:val="99"/>
    <w:unhideWhenUsed/>
    <w:rsid w:val="00326F90"/>
    <w:pPr>
      <w:numPr>
        <w:numId w:val="5"/>
      </w:numPr>
      <w:contextualSpacing/>
    </w:pPr>
    <w:rPr>
      <w:rFonts w:ascii="微软雅黑" w:hAnsi="微软雅黑" w:eastAsia="微软雅黑" w:cs="微软雅黑"/>
    </w:rPr>
  </w:style>
  <w:style w:type="paragraph" w:styleId="ListNumber2">
    <w:name w:val="List Number 2"/>
    <w:basedOn w:val="Normal"/>
    <w:uiPriority w:val="99"/>
    <w:unhideWhenUsed/>
    <w:rsid w:val="0029639D"/>
    <w:pPr>
      <w:numPr>
        <w:numId w:val="6"/>
      </w:numPr>
      <w:contextualSpacing/>
    </w:pPr>
    <w:rPr>
      <w:rFonts w:ascii="微软雅黑" w:hAnsi="微软雅黑" w:eastAsia="微软雅黑" w:cs="微软雅黑"/>
    </w:rPr>
  </w:style>
  <w:style w:type="paragraph" w:styleId="ListNumber3">
    <w:name w:val="List Number 3"/>
    <w:basedOn w:val="Normal"/>
    <w:uiPriority w:val="99"/>
    <w:unhideWhenUsed/>
    <w:rsid w:val="0029639D"/>
    <w:pPr>
      <w:numPr>
        <w:numId w:val="7"/>
      </w:numPr>
      <w:contextualSpacing/>
    </w:pPr>
    <w:rPr>
      <w:rFonts w:ascii="微软雅黑" w:hAnsi="微软雅黑" w:eastAsia="微软雅黑" w:cs="微软雅黑"/>
    </w:rPr>
  </w:style>
  <w:style w:type="paragraph" w:styleId="ListContinue">
    <w:name w:val="List Continue"/>
    <w:basedOn w:val="Normal"/>
    <w:uiPriority w:val="99"/>
    <w:unhideWhenUsed/>
    <w:rsid w:val="0029639D"/>
    <w:pPr>
      <w:spacing w:after="120"/>
      <w:ind w:left="360"/>
      <w:contextualSpacing/>
    </w:pPr>
    <w:rPr>
      <w:rFonts w:ascii="微软雅黑" w:hAnsi="微软雅黑" w:eastAsia="微软雅黑" w:cs="微软雅黑"/>
    </w:rPr>
  </w:style>
  <w:style w:type="paragraph" w:styleId="ListContinue2">
    <w:name w:val="List Continue 2"/>
    <w:basedOn w:val="Normal"/>
    <w:uiPriority w:val="99"/>
    <w:unhideWhenUsed/>
    <w:rsid w:val="0029639D"/>
    <w:pPr>
      <w:spacing w:after="120"/>
      <w:ind w:left="720"/>
      <w:contextualSpacing/>
    </w:pPr>
    <w:rPr>
      <w:rFonts w:ascii="微软雅黑" w:hAnsi="微软雅黑" w:eastAsia="微软雅黑" w:cs="微软雅黑"/>
    </w:rPr>
  </w:style>
  <w:style w:type="paragraph" w:styleId="ListContinue3">
    <w:name w:val="List Continue 3"/>
    <w:basedOn w:val="Normal"/>
    <w:uiPriority w:val="99"/>
    <w:unhideWhenUsed/>
    <w:rsid w:val="0029639D"/>
    <w:pPr>
      <w:spacing w:after="120"/>
      <w:ind w:left="1080"/>
      <w:contextualSpacing/>
    </w:pPr>
    <w:rPr>
      <w:rFonts w:ascii="微软雅黑" w:hAnsi="微软雅黑" w:eastAsia="微软雅黑" w:cs="微软雅黑"/>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微软雅黑" w:hAnsi="微软雅黑" w:eastAsia="微软雅黑" w:cs="微软雅黑"/>
      <w:sz w:val="20"/>
      <w:szCs w:val="20"/>
    </w:rPr>
  </w:style>
  <w:style w:type="character" w:customStyle="1" w:styleId="MacroTextChar">
    <w:name w:val="Macro Text Char"/>
    <w:basedOn w:val="DefaultParagraphFont"/>
    <w:link w:val="MacroText"/>
    <w:uiPriority w:val="99"/>
    <w:rsid w:val="0029639D"/>
    <w:rPr>
      <w:rFonts w:ascii="微软雅黑" w:hAnsi="微软雅黑" w:eastAsia="微软雅黑" w:cs="微软雅黑"/>
      <w:sz w:val="20"/>
      <w:szCs w:val="20"/>
    </w:rPr>
  </w:style>
  <w:style w:type="paragraph" w:styleId="Quote">
    <w:name w:val="Quote"/>
    <w:basedOn w:val="Normal"/>
    <w:next w:val="Normal"/>
    <w:link w:val="QuoteChar"/>
    <w:uiPriority w:val="29"/>
    <w:qFormat/>
    <w:rsid w:val="00FC693F"/>
    <w:rPr>
      <w:rFonts w:ascii="微软雅黑" w:hAnsi="微软雅黑" w:eastAsia="微软雅黑" w:cs="微软雅黑"/>
      <w:i/>
      <w:iCs/>
      <w:color w:val="000000" w:themeColor="text1"/>
    </w:rPr>
  </w:style>
  <w:style w:type="character" w:customStyle="1" w:styleId="QuoteChar">
    <w:name w:val="Quote Char"/>
    <w:basedOn w:val="DefaultParagraphFont"/>
    <w:link w:val="Quote"/>
    <w:uiPriority w:val="29"/>
    <w:rsid w:val="00FC693F"/>
    <w:rPr>
      <w:rFonts w:ascii="微软雅黑" w:hAnsi="微软雅黑" w:eastAsia="微软雅黑" w:cs="微软雅黑"/>
      <w:i/>
      <w:iCs/>
      <w:color w:val="000000" w:themeColor="text1"/>
    </w:rPr>
  </w:style>
  <w:style w:type="character" w:customStyle="1" w:styleId="Heading4Char">
    <w:name w:val="Heading 4 Char"/>
    <w:basedOn w:val="DefaultParagraphFont"/>
    <w:link w:val="Heading4"/>
    <w:uiPriority w:val="9"/>
    <w:semiHidden/>
    <w:rsid w:val="00FC693F"/>
    <w:rPr>
      <w:rFonts w:ascii="微软雅黑" w:hAnsi="微软雅黑" w:eastAsia="微软雅黑" w:cs="微软雅黑"/>
      <w:b/>
      <w:bCs/>
      <w:i/>
      <w:iCs/>
      <w:color w:val="4F81BD" w:themeColor="accent1"/>
    </w:rPr>
  </w:style>
  <w:style w:type="character" w:customStyle="1" w:styleId="Heading5Char">
    <w:name w:val="Heading 5 Char"/>
    <w:basedOn w:val="DefaultParagraphFont"/>
    <w:link w:val="Heading5"/>
    <w:uiPriority w:val="9"/>
    <w:semiHidden/>
    <w:rsid w:val="00FC693F"/>
    <w:rPr>
      <w:rFonts w:ascii="微软雅黑" w:hAnsi="微软雅黑" w:eastAsia="微软雅黑" w:cs="微软雅黑"/>
      <w:color w:val="243F60" w:themeColor="accent1" w:themeShade="7F"/>
    </w:rPr>
  </w:style>
  <w:style w:type="character" w:customStyle="1" w:styleId="Heading6Char">
    <w:name w:val="Heading 6 Char"/>
    <w:basedOn w:val="DefaultParagraphFont"/>
    <w:link w:val="Heading6"/>
    <w:uiPriority w:val="9"/>
    <w:semiHidden/>
    <w:rsid w:val="00FC693F"/>
    <w:rPr>
      <w:rFonts w:ascii="微软雅黑" w:hAnsi="微软雅黑" w:eastAsia="微软雅黑" w:cs="微软雅黑"/>
      <w:i/>
      <w:iCs/>
      <w:color w:val="243F60" w:themeColor="accent1" w:themeShade="7F"/>
    </w:rPr>
  </w:style>
  <w:style w:type="character" w:customStyle="1" w:styleId="Heading7Char">
    <w:name w:val="Heading 7 Char"/>
    <w:basedOn w:val="DefaultParagraphFont"/>
    <w:link w:val="Heading7"/>
    <w:uiPriority w:val="9"/>
    <w:semiHidden/>
    <w:rsid w:val="00FC693F"/>
    <w:rPr>
      <w:rFonts w:ascii="微软雅黑" w:hAnsi="微软雅黑" w:eastAsia="微软雅黑" w:cs="微软雅黑"/>
      <w:i/>
      <w:iCs/>
      <w:color w:val="404040" w:themeColor="text1" w:themeTint="BF"/>
    </w:rPr>
  </w:style>
  <w:style w:type="character" w:customStyle="1" w:styleId="Heading8Char">
    <w:name w:val="Heading 8 Char"/>
    <w:basedOn w:val="DefaultParagraphFont"/>
    <w:link w:val="Heading8"/>
    <w:uiPriority w:val="9"/>
    <w:semiHidden/>
    <w:rsid w:val="00FC693F"/>
    <w:rPr>
      <w:rFonts w:ascii="微软雅黑" w:hAnsi="微软雅黑" w:eastAsia="微软雅黑" w:cs="微软雅黑"/>
      <w:color w:val="4F81BD" w:themeColor="accent1"/>
      <w:sz w:val="20"/>
      <w:szCs w:val="20"/>
    </w:rPr>
  </w:style>
  <w:style w:type="character" w:customStyle="1" w:styleId="Heading9Char">
    <w:name w:val="Heading 9 Char"/>
    <w:basedOn w:val="DefaultParagraphFont"/>
    <w:link w:val="Heading9"/>
    <w:uiPriority w:val="9"/>
    <w:semiHidden/>
    <w:rsid w:val="00FC693F"/>
    <w:rPr>
      <w:rFonts w:ascii="微软雅黑" w:hAnsi="微软雅黑" w:eastAsia="微软雅黑" w:cs="微软雅黑"/>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微软雅黑" w:hAnsi="微软雅黑" w:eastAsia="微软雅黑" w:cs="微软雅黑"/>
      <w:b/>
      <w:bCs/>
      <w:color w:val="4F81BD" w:themeColor="accent1"/>
      <w:sz w:val="18"/>
      <w:szCs w:val="18"/>
    </w:rPr>
  </w:style>
  <w:style w:type="character" w:styleId="Strong">
    <w:name w:val="Strong"/>
    <w:basedOn w:val="DefaultParagraphFont"/>
    <w:uiPriority w:val="22"/>
    <w:qFormat/>
    <w:rsid w:val="00FC693F"/>
    <w:rPr>
      <w:rFonts w:ascii="微软雅黑" w:hAnsi="微软雅黑" w:eastAsia="微软雅黑" w:cs="微软雅黑"/>
      <w:b/>
      <w:bCs/>
    </w:rPr>
  </w:style>
  <w:style w:type="character" w:styleId="Emphasis">
    <w:name w:val="Emphasis"/>
    <w:basedOn w:val="DefaultParagraphFont"/>
    <w:uiPriority w:val="20"/>
    <w:qFormat/>
    <w:rsid w:val="00FC693F"/>
    <w:rPr>
      <w:rFonts w:ascii="微软雅黑" w:hAnsi="微软雅黑" w:eastAsia="微软雅黑" w:cs="微软雅黑"/>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rFonts w:ascii="微软雅黑" w:hAnsi="微软雅黑" w:eastAsia="微软雅黑" w:cs="微软雅黑"/>
      <w:b/>
      <w:bCs/>
      <w:i/>
      <w:iCs/>
      <w:color w:val="4F81BD" w:themeColor="accent1"/>
    </w:rPr>
  </w:style>
  <w:style w:type="character" w:customStyle="1" w:styleId="IntenseQuoteChar">
    <w:name w:val="Intense Quote Char"/>
    <w:basedOn w:val="DefaultParagraphFont"/>
    <w:link w:val="IntenseQuote"/>
    <w:uiPriority w:val="30"/>
    <w:rsid w:val="00FC693F"/>
    <w:rPr>
      <w:rFonts w:ascii="微软雅黑" w:hAnsi="微软雅黑" w:eastAsia="微软雅黑" w:cs="微软雅黑"/>
      <w:b/>
      <w:bCs/>
      <w:i/>
      <w:iCs/>
      <w:color w:val="4F81BD" w:themeColor="accent1"/>
    </w:rPr>
  </w:style>
  <w:style w:type="character" w:styleId="SubtleEmphasis">
    <w:name w:val="Subtle Emphasis"/>
    <w:basedOn w:val="DefaultParagraphFont"/>
    <w:uiPriority w:val="19"/>
    <w:qFormat/>
    <w:rsid w:val="00FC693F"/>
    <w:rPr>
      <w:rFonts w:ascii="微软雅黑" w:hAnsi="微软雅黑" w:eastAsia="微软雅黑" w:cs="微软雅黑"/>
      <w:i/>
      <w:iCs/>
      <w:color w:val="808080" w:themeColor="text1" w:themeTint="7F"/>
    </w:rPr>
  </w:style>
  <w:style w:type="character" w:styleId="IntenseEmphasis">
    <w:name w:val="Intense Emphasis"/>
    <w:basedOn w:val="DefaultParagraphFont"/>
    <w:uiPriority w:val="21"/>
    <w:qFormat/>
    <w:rsid w:val="00FC693F"/>
    <w:rPr>
      <w:rFonts w:ascii="微软雅黑" w:hAnsi="微软雅黑" w:eastAsia="微软雅黑" w:cs="微软雅黑"/>
      <w:b/>
      <w:bCs/>
      <w:i/>
      <w:iCs/>
      <w:color w:val="4F81BD" w:themeColor="accent1"/>
    </w:rPr>
  </w:style>
  <w:style w:type="character" w:styleId="SubtleReference">
    <w:name w:val="Subtle Reference"/>
    <w:basedOn w:val="DefaultParagraphFont"/>
    <w:uiPriority w:val="31"/>
    <w:qFormat/>
    <w:rsid w:val="00FC693F"/>
    <w:rPr>
      <w:rFonts w:ascii="微软雅黑" w:hAnsi="微软雅黑" w:eastAsia="微软雅黑" w:cs="微软雅黑"/>
      <w:smallCaps/>
      <w:color w:val="C0504D" w:themeColor="accent2"/>
      <w:u w:val="single"/>
    </w:rPr>
  </w:style>
  <w:style w:type="character" w:styleId="IntenseReference">
    <w:name w:val="Intense Reference"/>
    <w:basedOn w:val="DefaultParagraphFont"/>
    <w:uiPriority w:val="32"/>
    <w:qFormat/>
    <w:rsid w:val="00FC693F"/>
    <w:rPr>
      <w:rFonts w:ascii="微软雅黑" w:hAnsi="微软雅黑" w:eastAsia="微软雅黑" w:cs="微软雅黑"/>
      <w:b/>
      <w:bCs/>
      <w:smallCaps/>
      <w:color w:val="C0504D" w:themeColor="accent2"/>
      <w:spacing w:val="5"/>
      <w:u w:val="single"/>
    </w:rPr>
  </w:style>
  <w:style w:type="character" w:styleId="BookTitle">
    <w:name w:val="Book Title"/>
    <w:basedOn w:val="DefaultParagraphFont"/>
    <w:uiPriority w:val="33"/>
    <w:qFormat/>
    <w:rsid w:val="00FC693F"/>
    <w:rPr>
      <w:rFonts w:ascii="微软雅黑" w:hAnsi="微软雅黑" w:eastAsia="微软雅黑" w:cs="微软雅黑"/>
      <w:b/>
      <w:bCs/>
      <w:smallCaps/>
      <w:spacing w:val="5"/>
    </w:rPr>
  </w:style>
  <w:style w:type="paragraph" w:styleId="TOCHeading">
    <w:name w:val="TOC Heading"/>
    <w:basedOn w:val="Heading1"/>
    <w:next w:val="Normal"/>
    <w:uiPriority w:val="39"/>
    <w:semiHidden/>
    <w:unhideWhenUsed/>
    <w:qFormat/>
    <w:rsid w:val="00FC693F"/>
    <w:pPr>
      <w:outlineLvl w:val="9"/>
    </w:pPr>
    <w:rPr>
      <w:rFonts w:ascii="微软雅黑" w:hAnsi="微软雅黑" w:eastAsia="微软雅黑" w:cs="微软雅黑"/>
    </w:rPr>
  </w:style>
  <w:style w:type="table" w:styleId="TableGrid">
    <w:name w:val="Table Grid"/>
    <w:basedOn w:val="TableNormal"/>
    <w:uiPriority w:val="59"/>
    <w:rsid w:val="00FC693F"/>
    <w:pPr>
      <w:spacing w:after="0" w:line="240" w:lineRule="auto"/>
    </w:pPr>
    <w:rPr>
      <w:rFonts w:ascii="微软雅黑" w:hAnsi="微软雅黑" w:eastAsia="微软雅黑" w:cs="微软雅黑"/>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rFonts w:ascii="微软雅黑" w:hAnsi="微软雅黑" w:eastAsia="微软雅黑" w:cs="微软雅黑"/>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rFonts w:ascii="微软雅黑" w:hAnsi="微软雅黑" w:eastAsia="微软雅黑" w:cs="微软雅黑"/>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rFonts w:ascii="微软雅黑" w:hAnsi="微软雅黑" w:eastAsia="微软雅黑" w:cs="微软雅黑"/>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rFonts w:ascii="微软雅黑" w:hAnsi="微软雅黑" w:eastAsia="微软雅黑" w:cs="微软雅黑"/>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rFonts w:ascii="微软雅黑" w:hAnsi="微软雅黑" w:eastAsia="微软雅黑" w:cs="微软雅黑"/>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rFonts w:ascii="微软雅黑" w:hAnsi="微软雅黑" w:eastAsia="微软雅黑" w:cs="微软雅黑"/>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rFonts w:ascii="微软雅黑" w:hAnsi="微软雅黑" w:eastAsia="微软雅黑" w:cs="微软雅黑"/>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rPr>
      <w:rFonts w:ascii="微软雅黑" w:hAnsi="微软雅黑" w:eastAsia="微软雅黑" w:cs="微软雅黑"/>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rPr>
      <w:rFonts w:ascii="微软雅黑" w:hAnsi="微软雅黑" w:eastAsia="微软雅黑" w:cs="微软雅黑"/>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微软雅黑" w:hAnsi="微软雅黑" w:eastAsia="微软雅黑" w:cs="微软雅黑"/>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微软雅黑" w:hAnsi="微软雅黑" w:eastAsia="微软雅黑" w:cs="微软雅黑"/>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微软雅黑" w:hAnsi="微软雅黑" w:eastAsia="微软雅黑" w:cs="微软雅黑"/>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微软雅黑" w:hAnsi="微软雅黑" w:eastAsia="微软雅黑" w:cs="微软雅黑"/>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微软雅黑" w:hAnsi="微软雅黑" w:eastAsia="微软雅黑" w:cs="微软雅黑"/>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微软雅黑" w:hAnsi="微软雅黑" w:eastAsia="微软雅黑" w:cs="微软雅黑"/>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微软雅黑" w:hAnsi="微软雅黑" w:eastAsia="微软雅黑" w:cs="微软雅黑"/>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footer" Target="footer1.xml"/><Relationship Id="rId11" Type="http://schemas.openxmlformats.org/officeDocument/2006/relationships/hyperlink" Target="https://www.constellationenergy.com/news/2026/10/constellation-secures-conditional-doe-loan-commitment-of-up-to-5-billion-to-expand-nuclear-output.html" TargetMode="External"/><Relationship Id="rId12" Type="http://schemas.openxmlformats.org/officeDocument/2006/relationships/hyperlink" Target="https://news.un.org/feed/view/en/story/2026/10/1168677" TargetMode="External"/><Relationship Id="rId13" Type="http://schemas.openxmlformats.org/officeDocument/2006/relationships/hyperlink" Target="https://www.shpgx.com/html/xyzx/20261027/10229.html" TargetMode="External"/><Relationship Id="rId14" Type="http://schemas.openxmlformats.org/officeDocument/2006/relationships/hyperlink" Target="https://www.cpnn.com.cn/news/xwtt/202610/t20261027_1922765.html" TargetMode="External"/><Relationship Id="rId15" Type="http://schemas.openxmlformats.org/officeDocument/2006/relationships/hyperlink" Target="https://ember-energy.org/latest-insights/turkiye-could-electrify-85-of-its-energy-use" TargetMode="External"/><Relationship Id="rId16" Type="http://schemas.openxmlformats.org/officeDocument/2006/relationships/hyperlink" Target="https://www.cpnn.com.cn/news/dfny/202610/t20261027_1922626.html" TargetMode="External"/><Relationship Id="rId17" Type="http://schemas.openxmlformats.org/officeDocument/2006/relationships/hyperlink" Target="https://www.epe.gov.br/pt/imprensa/noticias/pde-projeta-avanco-da-demanda-de-energia-e-ganho-de-espaco-da-eletricidade-ate-2036" TargetMode="External"/><Relationship Id="rId18" Type="http://schemas.openxmlformats.org/officeDocument/2006/relationships/hyperlink" Target="https://news.cctv.com/2026/10/27/ARTI9ypvdsJ71mLbeH6WEyAK261027.shtml" TargetMode="External"/><Relationship Id="rId19" Type="http://schemas.openxmlformats.org/officeDocument/2006/relationships/hyperlink" Target="https://sana.sy/en/economic/2353967/" TargetMode="External"/><Relationship Id="rId20" Type="http://schemas.openxmlformats.org/officeDocument/2006/relationships/hyperlink" Target="https://sputniknews.cn/20261027/1073821237.html" TargetMode="External"/><Relationship Id="rId21" Type="http://schemas.openxmlformats.org/officeDocument/2006/relationships/hyperlink" Target="https://www.interfax.ru/business/1125244" TargetMode="External"/><Relationship Id="rId22" Type="http://schemas.openxmlformats.org/officeDocument/2006/relationships/hyperlink" Target="https://sputniknews.cn/20261027/1073820428.html" TargetMode="External"/><Relationship Id="rId23" Type="http://schemas.openxmlformats.org/officeDocument/2006/relationships/hyperlink" Target="https://www.interfax.ru/business/1125254" TargetMode="External"/><Relationship Id="rId24" Type="http://schemas.openxmlformats.org/officeDocument/2006/relationships/hyperlink" Target="https://www.nve.no/nytt-fra-nve/nyheter-energi/energibruken-i-norge-blir-mer-effektiv/" TargetMode="External"/><Relationship Id="rId25" Type="http://schemas.openxmlformats.org/officeDocument/2006/relationships/hyperlink" Target="https://www.cpnn.com.cn/news/yq/202610/t20261027_1922666.html" TargetMode="External"/><Relationship Id="rId26" Type="http://schemas.openxmlformats.org/officeDocument/2006/relationships/hyperlink" Target="https://www.china5e.com/news/news-1211019-1.html" TargetMode="External"/><Relationship Id="rId27" Type="http://schemas.openxmlformats.org/officeDocument/2006/relationships/hyperlink" Target="https://www.china5e.com/news/news-1211018-1.html" TargetMode="External"/><Relationship Id="rId28" Type="http://schemas.openxmlformats.org/officeDocument/2006/relationships/hyperlink" Target="http://news.cnpc.com.cn/system/2026/10/27/030205857.shtml" TargetMode="External"/><Relationship Id="rId29" Type="http://schemas.openxmlformats.org/officeDocument/2006/relationships/hyperlink" Target="https://www.cpnn.com.cn/news/gj/202610/t20261027_1922698.html" TargetMode="External"/><Relationship Id="rId30" Type="http://schemas.openxmlformats.org/officeDocument/2006/relationships/hyperlink" Target="https://www.nea.gov.cn/20261027/8b7696d937f54e07a406c93966d98b2b/c.html" TargetMode="External"/><Relationship Id="rId31" Type="http://schemas.openxmlformats.org/officeDocument/2006/relationships/hyperlink" Target="https://www.cpnn.com.cn/news/yq/202610/t20261027_1922701.html" TargetMode="External"/><Relationship Id="rId32" Type="http://schemas.openxmlformats.org/officeDocument/2006/relationships/hyperlink" Target="https://www.shpgx.com/html/xyzx/20261027/10230.html" TargetMode="External"/><Relationship Id="rId33" Type="http://schemas.openxmlformats.org/officeDocument/2006/relationships/hyperlink" Target="https://www.china5e.com/news/news-1211003-1.html" TargetMode="External"/><Relationship Id="rId34" Type="http://schemas.openxmlformats.org/officeDocument/2006/relationships/hyperlink" Target="https://www.pv-magazine.com/2026/10/27/chinas-solar-installations-fall-54-year-on-year-despite-september-reboun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微软雅黑"/>
        <a:ea typeface="微软雅黑"/>
        <a:cs typeface="微软雅黑"/>
        <a:font script="Jpan" typeface="微软雅黑"/>
        <a:font script="Hang" typeface="微软雅黑"/>
        <a:font script="Hans" typeface="微软雅黑"/>
        <a:font script="Hant" typeface="微软雅黑"/>
        <a:font script="Arab" typeface="微软雅黑"/>
        <a:font script="Hebr" typeface="微软雅黑"/>
        <a:font script="Thai" typeface="微软雅黑"/>
        <a:font script="Ethi" typeface="微软雅黑"/>
        <a:font script="Beng" typeface="微软雅黑"/>
        <a:font script="Gujr" typeface="微软雅黑"/>
        <a:font script="Khmr" typeface="微软雅黑"/>
        <a:font script="Knda" typeface="微软雅黑"/>
        <a:font script="Guru" typeface="微软雅黑"/>
        <a:font script="Cans" typeface="微软雅黑"/>
        <a:font script="Cher" typeface="微软雅黑"/>
        <a:font script="Yiii" typeface="微软雅黑"/>
        <a:font script="Tibt" typeface="微软雅黑"/>
        <a:font script="Thaa" typeface="微软雅黑"/>
        <a:font script="Deva" typeface="微软雅黑"/>
        <a:font script="Telu" typeface="微软雅黑"/>
        <a:font script="Taml" typeface="微软雅黑"/>
        <a:font script="Syrc" typeface="微软雅黑"/>
        <a:font script="Orya" typeface="微软雅黑"/>
        <a:font script="Mlym" typeface="微软雅黑"/>
        <a:font script="Laoo" typeface="微软雅黑"/>
        <a:font script="Sinh" typeface="微软雅黑"/>
        <a:font script="Mong" typeface="微软雅黑"/>
        <a:font script="Viet" typeface="微软雅黑"/>
        <a:font script="Uigh" typeface="微软雅黑"/>
        <a:font script="Geor" typeface="微软雅黑"/>
      </a:majorFont>
      <a:minorFont>
        <a:latin typeface="微软雅黑"/>
        <a:ea typeface="微软雅黑"/>
        <a:cs typeface="微软雅黑"/>
        <a:font script="Jpan" typeface="微软雅黑"/>
        <a:font script="Hang" typeface="微软雅黑"/>
        <a:font script="Hans" typeface="微软雅黑"/>
        <a:font script="Hant" typeface="微软雅黑"/>
        <a:font script="Arab" typeface="微软雅黑"/>
        <a:font script="Hebr" typeface="微软雅黑"/>
        <a:font script="Thai" typeface="微软雅黑"/>
        <a:font script="Ethi" typeface="微软雅黑"/>
        <a:font script="Beng" typeface="微软雅黑"/>
        <a:font script="Gujr" typeface="微软雅黑"/>
        <a:font script="Khmr" typeface="微软雅黑"/>
        <a:font script="Knda" typeface="微软雅黑"/>
        <a:font script="Guru" typeface="微软雅黑"/>
        <a:font script="Cans" typeface="微软雅黑"/>
        <a:font script="Cher" typeface="微软雅黑"/>
        <a:font script="Yiii" typeface="微软雅黑"/>
        <a:font script="Tibt" typeface="微软雅黑"/>
        <a:font script="Thaa" typeface="微软雅黑"/>
        <a:font script="Deva" typeface="微软雅黑"/>
        <a:font script="Telu" typeface="微软雅黑"/>
        <a:font script="Taml" typeface="微软雅黑"/>
        <a:font script="Syrc" typeface="微软雅黑"/>
        <a:font script="Orya" typeface="微软雅黑"/>
        <a:font script="Mlym" typeface="微软雅黑"/>
        <a:font script="Laoo" typeface="微软雅黑"/>
        <a:font script="Sinh" typeface="微软雅黑"/>
        <a:font script="Mong" typeface="微软雅黑"/>
        <a:font script="Viet" typeface="微软雅黑"/>
        <a:font script="Uigh" typeface="微软雅黑"/>
        <a:font script="Geor" typeface="微软雅黑"/>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2026年10月27日 每日能源报告</dc:title>
  <dc:subject/>
  <dc:creator>北京百看科技有限公司</dc:creator>
  <cp:keywords/>
  <dc:description>generated by python-docx</dc:description>
  <cp:lastModifiedBy/>
  <cp:revision>1</cp:revision>
  <dcterms:created xsi:type="dcterms:W3CDTF">2013-12-23T23:15:00Z</dcterms:created>
  <dcterms:modified xsi:type="dcterms:W3CDTF">2013-12-23T23:15:00Z</dcterms:modified>
  <cp:category/>
</cp:coreProperties>
</file>