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信息覆盖时段：2026-10-14 00:00 至 2026-10-15 00:00（不含），Asia/Shanghai。</w:t>
      </w:r>
    </w:p>
    <w:p>
      <w:pPr/>
      <w:r>
        <w:rPr>
          <w:rFonts w:ascii="微软雅黑" w:hAnsi="微软雅黑" w:eastAsia="微软雅黑" w:cs="微软雅黑"/>
        </w:rPr>
        <w:t>统计区间：2026-10-14 至 2026-10-15（结束日不含，北京时间）</w:t>
      </w:r>
    </w:p>
    <w:p>
      <w:pPr>
        <w:ind w:firstLine="420"/>
      </w:pPr>
      <w:r>
        <w:rPr>
          <w:rFonts w:ascii="微软雅黑" w:hAnsi="微软雅黑" w:eastAsia="微软雅黑" w:cs="微软雅黑"/>
        </w:rPr>
        <w:t>资料更新截止：2026-10-15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阿曼O-GREEN与哈国Samruk-Energy签署2GW绿电合作协议 </w:t>
      </w:r>
      <w:hyperlink w:anchor="source-1947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沙特阿美总裁警告全球原油库存逼近“极度危险”低位 </w:t>
      </w:r>
      <w:hyperlink w:anchor="source-1938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8752">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霍尔木兹海峡商船再遭袭击，新加坡两船受损 </w:t>
      </w:r>
      <w:hyperlink w:anchor="source-1936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8866">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光伏八龙头杭州闭门会议划定硅料组件价格底线 </w:t>
      </w:r>
      <w:hyperlink w:anchor="source-1866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PJM拟在州协议框架下研究软银在俄亥俄的10吉瓦AI数据中心园区 </w:t>
      </w:r>
      <w:hyperlink w:anchor="source-19438">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哈萨克斯坦2025年可再生能源发电量</w:t>
            </w:r>
          </w:p>
        </w:tc>
        <w:tc>
          <w:tcPr>
            <w:tcW w:type="dxa" w:w="2268"/>
          </w:tcPr>
          <w:p>
            <w:pPr>
              <w:spacing w:after="40"/>
            </w:pPr>
            <w:r>
              <w:rPr>
                <w:rFonts w:ascii="微软雅黑" w:hAnsi="微软雅黑" w:eastAsia="微软雅黑" w:cs="微软雅黑"/>
              </w:rPr>
              <w:t>86亿千瓦时</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1947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哈萨克斯坦2025年新增可再生能源项目装机</w:t>
            </w:r>
          </w:p>
        </w:tc>
        <w:tc>
          <w:tcPr>
            <w:tcW w:type="dxa" w:w="2268"/>
          </w:tcPr>
          <w:p>
            <w:pPr>
              <w:spacing w:after="40"/>
            </w:pPr>
            <w:r>
              <w:rPr>
                <w:rFonts w:ascii="微软雅黑" w:hAnsi="微软雅黑" w:eastAsia="微软雅黑" w:cs="微软雅黑"/>
              </w:rPr>
              <w:t>超500MW</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1947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国家电投与Samruk-Energy在建巴甫洛达尔州风电配套储能规模</w:t>
            </w:r>
          </w:p>
        </w:tc>
        <w:tc>
          <w:tcPr>
            <w:tcW w:type="dxa" w:w="2268"/>
          </w:tcPr>
          <w:p>
            <w:pPr>
              <w:spacing w:after="40"/>
            </w:pPr>
            <w:r>
              <w:rPr>
                <w:rFonts w:ascii="微软雅黑" w:hAnsi="微软雅黑" w:eastAsia="微软雅黑" w:cs="微软雅黑"/>
              </w:rPr>
              <w:t>300MW/600MWh</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47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中国光伏行业8家头部企业多晶硅（西门子法及颗粒硅）平均成本含税价格底线</w:t>
            </w:r>
          </w:p>
        </w:tc>
        <w:tc>
          <w:tcPr>
            <w:tcW w:type="dxa" w:w="2268"/>
          </w:tcPr>
          <w:p>
            <w:pPr>
              <w:spacing w:after="40"/>
            </w:pPr>
            <w:r>
              <w:rPr>
                <w:rFonts w:ascii="微软雅黑" w:hAnsi="微软雅黑" w:eastAsia="微软雅黑" w:cs="微软雅黑"/>
              </w:rPr>
              <w:t>不低于4.3万元/吨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66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中国光伏行业8家头部企业BC背接触组件价格底线</w:t>
            </w:r>
          </w:p>
        </w:tc>
        <w:tc>
          <w:tcPr>
            <w:tcW w:type="dxa" w:w="2268"/>
          </w:tcPr>
          <w:p>
            <w:pPr>
              <w:spacing w:after="40"/>
            </w:pPr>
            <w:r>
              <w:rPr>
                <w:rFonts w:ascii="微软雅黑" w:hAnsi="微软雅黑" w:eastAsia="微软雅黑" w:cs="微软雅黑"/>
              </w:rPr>
              <w:t>不低于0.86元/瓦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66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中国光伏行业8家头部企业TOPCon隧穿氧化层钝化接触组件价格底线</w:t>
            </w:r>
          </w:p>
        </w:tc>
        <w:tc>
          <w:tcPr>
            <w:tcW w:type="dxa" w:w="2268"/>
          </w:tcPr>
          <w:p>
            <w:pPr>
              <w:spacing w:after="40"/>
            </w:pPr>
            <w:r>
              <w:rPr>
                <w:rFonts w:ascii="微软雅黑" w:hAnsi="微软雅黑" w:eastAsia="微软雅黑" w:cs="微软雅黑"/>
              </w:rPr>
              <w:t>不低于0.79元/瓦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8666">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软银AI数据中心园区规划负荷（俄亥俄州）</w:t>
            </w:r>
          </w:p>
        </w:tc>
        <w:tc>
          <w:tcPr>
            <w:tcW w:type="dxa" w:w="2268"/>
          </w:tcPr>
          <w:p>
            <w:pPr>
              <w:spacing w:after="40"/>
            </w:pPr>
            <w:r>
              <w:rPr>
                <w:rFonts w:ascii="微软雅黑" w:hAnsi="微软雅黑" w:eastAsia="微软雅黑" w:cs="微软雅黑"/>
              </w:rPr>
              <w:t>约10吉瓦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43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协议涵盖的额外负荷（俄亥俄州）</w:t>
            </w:r>
          </w:p>
        </w:tc>
        <w:tc>
          <w:tcPr>
            <w:tcW w:type="dxa" w:w="2268"/>
          </w:tcPr>
          <w:p>
            <w:pPr>
              <w:spacing w:after="40"/>
            </w:pPr>
            <w:r>
              <w:rPr>
                <w:rFonts w:ascii="微软雅黑" w:hAnsi="微软雅黑" w:eastAsia="微软雅黑" w:cs="微软雅黑"/>
              </w:rPr>
              <w:t>9.6吉瓦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43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协议涵盖的新建燃气发电装机（SB Energy）</w:t>
            </w:r>
          </w:p>
        </w:tc>
        <w:tc>
          <w:tcPr>
            <w:tcW w:type="dxa" w:w="2268"/>
          </w:tcPr>
          <w:p>
            <w:pPr>
              <w:spacing w:after="40"/>
            </w:pPr>
            <w:r>
              <w:rPr>
                <w:rFonts w:ascii="微软雅黑" w:hAnsi="微软雅黑" w:eastAsia="微软雅黑" w:cs="微软雅黑"/>
              </w:rPr>
              <w:t>10.2吉瓦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43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Kistos从Vår Energi收购PL 169E等三份许可证10%工作权益首付款</w:t>
            </w:r>
          </w:p>
        </w:tc>
        <w:tc>
          <w:tcPr>
            <w:tcW w:type="dxa" w:w="2268"/>
          </w:tcPr>
          <w:p>
            <w:pPr>
              <w:spacing w:after="40"/>
            </w:pPr>
            <w:r>
              <w:rPr>
                <w:rFonts w:ascii="微软雅黑" w:hAnsi="微软雅黑" w:eastAsia="微软雅黑" w:cs="微软雅黑"/>
              </w:rPr>
              <w:t>1290万美元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359">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霍尔木兹海峡商船再遭袭击，新加坡两船受损</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海上贸易作战中心（UKMTO）报告集装箱船和成品油油轮通过霍尔木兹海峡时遭不明投射物袭击。一艘船于13日遭袭受损起火后沉没，21名船员安全撤离；另一艘船于14日遭袭后依靠自身动力抵达安全锚地，22名船员安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局对霍尔木兹海峡商业航运持续遭受袭击深表关切，声明指此类无端袭击毫无正当理由并违反国际法。据路透社报道，伊朗官员表示德黑兰约10天前开始对被认为违反其海上交通限制的船只使用不同策略，正值针对此类船只袭击增加，伊朗官员未提供支持其新策略说法的详细证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海峡通行风险上升叠加OPEC+增产消息，促使更多超大型油轮（VLCC）驶离波斯湾，油轮公司更多采用船对船海上转运维持原油出口以降低遭袭风险。</w:t>
      </w:r>
    </w:p>
    <w:p>
      <w:pPr>
        <w:ind w:firstLine="420"/>
      </w:pPr>
      <w:r>
        <w:rPr>
          <w:rFonts w:ascii="微软雅黑" w:hAnsi="微软雅黑" w:eastAsia="微软雅黑" w:cs="微软雅黑"/>
        </w:rPr>
        <w:t>来源：</w:t>
      </w:r>
      <w:hyperlink w:anchor="source-1936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8866">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也门胡塞武装袭击沙特阿美设施并威胁扩大打击范围</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胡塞武装10月14日宣布使用弹道导弹、巡航导弹和无人机对沙特东部省宰赫兰的沙特阿美设施、利雅得哈立德国王国际机场及阿美炼油厂实施打击，宣称造成损毁和火灾。沙特能源部称阿美宰赫兰办公楼13日晚遭袭，引发有限规模火灾，未造成人员伤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胡塞武装将上述地点及海上列为合法目标，呼吁国际航运公司及员工远离，警告未来数日内将继续袭击沙特机场和石油设施。沙特主导的多国联军称14日在利雅得上空拦截并摧毁一枚胡塞弹道导弹。沙特能源部声明称阿美宰赫兰办公楼遭袭引发有限规模火灾，无人员伤亡。胡塞武装称本轮冲突升级以来沙特已对也门实施2281次空袭及导弹打击，本次行动是对沙特近期空袭萨那及胡塞控制区的报复，且未提供具体损失或人员伤亡情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胡塞武装将海上目标列为合法打击对象，叠加此前霍尔木兹海峡商船遇袭事件，可能加剧海湾地区海运与能源设施的安全风险。</w:t>
      </w:r>
    </w:p>
    <w:p>
      <w:pPr>
        <w:ind w:firstLine="420"/>
      </w:pPr>
      <w:r>
        <w:rPr>
          <w:rFonts w:ascii="微软雅黑" w:hAnsi="微软雅黑" w:eastAsia="微软雅黑" w:cs="微软雅黑"/>
        </w:rPr>
        <w:t>来源：</w:t>
      </w:r>
      <w:hyperlink w:anchor="source-19086">
        <w:r>
          <w:rPr>
            <w:rFonts w:ascii="微软雅黑" w:hAnsi="微软雅黑" w:eastAsia="微软雅黑" w:cs="微软雅黑"/>
            <w:color w:val="087E89"/>
          </w:rPr>
          <w:t>18</w:t>
        </w:r>
      </w:hyperlink>
      <w:r>
        <w:rPr>
          <w:rFonts w:ascii="微软雅黑" w:hAnsi="微软雅黑" w:eastAsia="微软雅黑" w:cs="微软雅黑"/>
        </w:rPr>
        <w:t xml:space="preserve"> </w:t>
      </w:r>
      <w:hyperlink w:anchor="source-19051">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19172">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3. 沙特阿美总裁警告全球原油库存逼近“极度危险”低位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沙特阿美总裁兼首席执行官阿明·纳赛尔10月12日在第二十五届世界石油大会上表示，全球原油库存正逼近“极度危险”的低位，恢复至正常水平可能需要长达两年时间。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纳赛尔指出，当前商业陆上石油库存已低于60亿桶，被视为“最后可用的缓冲”，但其中绝大多数实际上无法为市场所用。受霍尔木兹海峡局势影响，全球能源供应链持续承压，供应紧张程度加剧。纳赛尔表示，即便霍尔木兹海峡短期内完全重新开放、市场信心全面恢复，补充消耗殆尽的库存也至少需要两年“超负荷加班生产”。纳赛尔同时提到当前国际柴油价格已达约200美元/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纳赛尔的表态凸显当前全球原油及成品油库存缓冲薄弱、供应链脆弱，可能加剧市场对供应短缺的担忧并支撑高油价。</w:t>
      </w:r>
    </w:p>
    <w:p>
      <w:pPr>
        <w:ind w:firstLine="420"/>
      </w:pPr>
      <w:r>
        <w:rPr>
          <w:rFonts w:ascii="微软雅黑" w:hAnsi="微软雅黑" w:eastAsia="微软雅黑" w:cs="微软雅黑"/>
        </w:rPr>
        <w:t>来源：</w:t>
      </w:r>
      <w:hyperlink w:anchor="source-1938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8752">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美俄就俄柴油出口达成阶段性安排</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美俄领导人在美乌会议期间就俄向美国及全球市场出口柴油达成一致，美方称此举意在促使俄罗斯重回谈判桌并软化俄方立场。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宣布俄将立即向美国及全球释放超30万吨柴油，11月提供50万吨柴油，此后再向市场提供100万吨柴油。俄副总理诺瓦克预计到2026年底，俄方有能力每月向全球市场供应300万至350万吨柴油；美国财政部已发布临时通用许可，俄柴油出口在2027年4月前不会受到美方制裁约束。诺瓦克称该协议是积极信号，将带动炼油厂加工量和原油产量增长，带来预算税收并支持油气行业增产加工计划，但同时表示无法预测美方制裁松动是否将持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短期市场可获得部分新增俄柴油供应，但分析人士认为俄短期内新增供应量有限且交付能力存在不确定性，柴油价格或难以快速显著下降。</w:t>
      </w:r>
    </w:p>
    <w:p>
      <w:pPr>
        <w:ind w:firstLine="420"/>
      </w:pPr>
      <w:r>
        <w:rPr>
          <w:rFonts w:ascii="微软雅黑" w:hAnsi="微软雅黑" w:eastAsia="微软雅黑" w:cs="微软雅黑"/>
        </w:rPr>
        <w:t>来源：</w:t>
      </w:r>
      <w:hyperlink w:anchor="source-18800">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9252">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PJM拟在州协议框架下研究软银在俄亥俄的10吉瓦AI数据中心园区</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PJM互联电网计划在“州协议途径”框架下，研究软银集团在俄亥俄州联邦用地规划建设的约10吉瓦AI数据中心园区及其配套发电和输电。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研究协议涵盖额外的9.6吉瓦负荷和10.2吉瓦由软银旗下SB Energy新建的燃气发电设施，分阶段建设至2032年完成。Flagship项目大部分由SB Energy及其他软银关联公司建设在美国能源部位于俄亥俄州派克县的朴茨茅斯气体扩散厂用地。SB Energy承诺支付发电和输电基础设施费用，富余容量将提供给电网。研究仅评估输电设施是否充足，不选择项目、不指定实体、不确定成本分摊、不授予输电服务或并网权利。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研究协议下，SB Energy承担的支付义务不随数据中心园区实际用电量变化，理论上可在项目调整时降低电网风险，但研究阶段不构成项目批准。</w:t>
      </w:r>
    </w:p>
    <w:p>
      <w:pPr>
        <w:ind w:firstLine="420"/>
      </w:pPr>
      <w:r>
        <w:rPr>
          <w:rFonts w:ascii="微软雅黑" w:hAnsi="微软雅黑" w:eastAsia="微软雅黑" w:cs="微软雅黑"/>
        </w:rPr>
        <w:t>来源：</w:t>
      </w:r>
      <w:hyperlink w:anchor="source-1943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6. BigMint：2026年1-7月全球炼焦煤贸易同比增长14%</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据BigMint 10月5日发布的信息，2026年1-7月全球冶金煤贸易量2.519亿吨，同比增长14%，去年同期为2.201亿吨。蒙古和俄罗斯出口增幅最大，澳大利亚和美国适度增长，加拿大、莫桑比克、波兰和哥伦比亚出口下降。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-7月俄罗斯焦煤出口3740万吨，同比增加950万吨，增幅34%，对多个亚洲市场扩张。同期澳大利亚炼焦煤出口8640万吨，同比增长3%，对日本、中国和越南出口增加，对印度出口大幅下降。印度同期粗钢产量1.011亿吨，同比增长6.1%，冶金煤进口下降约4%至3200万吨，自澳大利亚进口份额从约54%降至40%，自俄罗斯份额从16%升至29%。前7个月美国焦煤出口增长4%至2630万吨，加拿大出口下降15%至1900万吨，中加贸易量减少230万吨为降幅最大；印尼出口增长5%至1280万吨，莫桑比克出口下降15%至420万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俄罗斯对亚洲冶金煤出口扩张、印度自俄采购份额显著上升，正在改写亚太炼焦煤供应格局。</w:t>
      </w:r>
    </w:p>
    <w:p>
      <w:pPr>
        <w:ind w:firstLine="420"/>
      </w:pPr>
      <w:r>
        <w:rPr>
          <w:rFonts w:ascii="微软雅黑" w:hAnsi="微软雅黑" w:eastAsia="微软雅黑" w:cs="微软雅黑"/>
        </w:rPr>
        <w:t>来源：</w:t>
      </w:r>
      <w:hyperlink w:anchor="source-1945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7. 美国能源部资助加速世界首例熔盐氯化物反应堆实验</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美国能源部批准对熔融氯化物反应堆实验（MCRE）加速最终阶段的成本共担资助，隶属“先进反应堆示范计划”。MCRE预计最早于2027年实现首次临界，旨在生成燃料行为、反应堆运行与性能的关键实测数据。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该资助由能源部划拨，资金将支持Southern Company、爱达荷国家实验室（INL）与CORE POWER推进熔盐反应堆技术研究。MCRE设计成为全球首个达到临界的快谱熔融氯化物盐反应堆实验。MCRE本身不使用乏燃料、不验证闭式燃料循环，也不测试船用反应堆，这些属未来潜在能力。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实验数据将为未来反应堆设计、许可路径和商业部署提供基础。</w:t>
      </w:r>
    </w:p>
    <w:p>
      <w:pPr>
        <w:ind w:firstLine="420"/>
      </w:pPr>
      <w:r>
        <w:rPr>
          <w:rFonts w:ascii="微软雅黑" w:hAnsi="微软雅黑" w:eastAsia="微软雅黑" w:cs="微软雅黑"/>
        </w:rPr>
        <w:t>来源：</w:t>
      </w:r>
      <w:hyperlink w:anchor="source-1942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阿曼O-GREEN与哈国Samruk-Energy签署2GW绿电合作协议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阿曼O-GREEN与哈萨克斯坦Samruk-Energy签署协议，计划在中亚及其他国际市场共同开发约2GW光伏与风电项目，并配套电池储能，电力将面向电力市场、工业用户及AI数据中心。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协议由O-GREEN首席执行官Mustafa Al Hinai与Samruk-Energy首席投资官Ansar Aidarov签署。规划项目包括约2GW光伏与风电，并配套电池储能（BESS）。哈萨克斯坦能源部数据显示，过去六年该国可再生能源发电占比从2%升至8%，现有172座可再生能源设施、装机超3.8GW；2025年可再生能源发电86亿千瓦时，年内新增9个项目、超500MW。2026年4月，国家电投与Samruk-Energy在巴甫洛达尔州开工建设1GW风电及300MW/600MWh储能，计划2029年投运；双方还规划了合计1.8GW的风光项目（两座风电场共1.5GW加一座300MW光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协议将绿电与数据中心负荷直接绑定，体现“绿电+储能+算力”一体化布局；主权基金与跨国平台正取代传统开发商成为新兴市场绿电组织者。</w:t>
      </w:r>
    </w:p>
    <w:p>
      <w:pPr>
        <w:ind w:firstLine="420"/>
      </w:pPr>
      <w:r>
        <w:rPr>
          <w:rFonts w:ascii="微软雅黑" w:hAnsi="微软雅黑" w:eastAsia="微软雅黑" w:cs="微软雅黑"/>
        </w:rPr>
        <w:t>来源：</w:t>
      </w:r>
      <w:hyperlink w:anchor="source-19476">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9. 英国CCUS集群累计支持约5500个就业岗位</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英国新任负责碳捕集、利用与封存（CCUS）的部长发表演讲，介绍政府已与产业合作促成5项最终投资决定，并公布东海岸集群与HyNet集群的项目就业数据。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演讲者身份为新任负责CCUS的部长，同时兼任地方能源与就业事务部长（Minister for Local Energy and Jobs）。政府已与产业合作促成5项最终投资决定。东海岸集群的Northern Endurance Partnership和Net Zero Teesside Power项目在建造期支持约3000个就业岗位；HyNet集群下Liverpool Bay CCS在英格兰西北部和北威尔士支持超过1400个就业岗位；这些项目目前在英国累计支持约5500个就业岗位。</w:t>
      </w:r>
    </w:p>
    <w:p>
      <w:pPr>
        <w:ind w:firstLine="420"/>
      </w:pPr>
      <w:r>
        <w:rPr>
          <w:rFonts w:ascii="微软雅黑" w:hAnsi="微软雅黑" w:eastAsia="微软雅黑" w:cs="微软雅黑"/>
        </w:rPr>
        <w:t>来源：</w:t>
      </w:r>
      <w:hyperlink w:anchor="source-1931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10. 欧洲光伏发电在2026年能源紧张窗口期间显著增长</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在欧洲2026年窗口227天内，西班牙、德国、希腊光伏发电量较2022年同期显著增长。</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2026年窗口227天内，西班牙、德国、希腊光伏发电量分别为49.4 TWh、74.7 TWh、10.0 TWh；2022年同期分别为23.8 TWh、48.5 TWh、4.7 TWh。</w:t>
      </w:r>
    </w:p>
    <w:p>
      <w:pPr>
        <w:ind w:firstLine="420"/>
      </w:pPr>
      <w:r>
        <w:rPr>
          <w:rFonts w:ascii="微软雅黑" w:hAnsi="微软雅黑" w:eastAsia="微软雅黑" w:cs="微软雅黑"/>
        </w:rPr>
        <w:t>来源：</w:t>
      </w:r>
      <w:hyperlink w:anchor="source-19276">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11. Kistos以1290万美元收购Balder区域Ringhorne许可证10%股权</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Kistos与Vår Energi达成交易，以1290万美元从后者收购挪威大陆架PL 169E、PL 956和PL 956B生产许可证的10%工作权益，使其在整个Balder区域获得统一的10%权益。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Kistos已同意从Vår Energi购买挪威大陆架PL 169E、PL 956和PL 956B的10%工作权益，首付款1290万美元。交易生效日期为2026年1月1日，尚待挪威能源部批准。此次收购使其在Balder与Ringhorne油田、Ringhorne East Unit以及PL 956和PL 956B中Ringhorne Nord油田部分均获得统一的10%权益，并与PL 027中已有的10%股权相匹配。执行主席Andrew Austin表示，该许可证扩大了公司在Balder区域的影响力和敞口，中期重点是到2029年实现新产量投产，并将2C资源转化为2P储量。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对齐Balder区域权益有助于提升油田开发效率并降低运营成本，为Kistos中期产量接续提供支撑。</w:t>
      </w:r>
    </w:p>
    <w:p>
      <w:pPr>
        <w:ind w:firstLine="420"/>
      </w:pPr>
      <w:r>
        <w:rPr>
          <w:rFonts w:ascii="微软雅黑" w:hAnsi="微软雅黑" w:eastAsia="微软雅黑" w:cs="微软雅黑"/>
        </w:rPr>
        <w:t>来源：</w:t>
      </w:r>
      <w:hyperlink w:anchor="source-19359">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12. 俄国防部称对乌能源和通信基础设施实施密集打击</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俄罗斯国防部通报，俄军使用陆基精确打击武器和远程无人机对乌克兰基辅、基辅州及哈尔科夫州的通信和能源基础设施实施密集打击，打击时间为当地时间10月14日凌晨。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俄军使用陆基精确打击武器和远程无人机对乌克兰基辅、基辅州及哈尔科夫州的通信和能源基础设施实施密集打击，时间为当地时间10月14日凌晨。被打击的设施服务于乌军工联合体和乌武装力量。过去一夜间俄防空系统共拦截和击落902架乌克兰固定翼无人机。同日，基辅市市长克利奇科称基辅多处能源设施遭空袭，5时30分许基辅及布罗瓦雷方向响起密集爆炸声，乌空军5时26分至5时29分间称俄军向基辅市发射多枚弹道导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打击对象明确涉及通信和能源基础设施，可能影响乌克兰军工生产组织及能源供应稳定性，也加剧俄乌之间的能源与安全对峙。</w:t>
      </w:r>
    </w:p>
    <w:p>
      <w:pPr>
        <w:ind w:firstLine="420"/>
      </w:pPr>
      <w:r>
        <w:rPr>
          <w:rFonts w:ascii="微软雅黑" w:hAnsi="微软雅黑" w:eastAsia="微软雅黑" w:cs="微软雅黑"/>
        </w:rPr>
        <w:t>来源：</w:t>
      </w:r>
      <w:hyperlink w:anchor="source-18960">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18907">
        <w:r>
          <w:rPr>
            <w:rFonts w:ascii="微软雅黑" w:hAnsi="微软雅黑" w:eastAsia="微软雅黑" w:cs="微软雅黑"/>
            <w:color w:val="087E89"/>
          </w:rPr>
          <w:t>25</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新疆吐哈盆地探明富油煤储量超775亿吨</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第三次新疆综合科学考察成果发布会公布吐哈盆地富油煤探明储量超775亿吨，其中哈密超640亿吨、吐鲁番135亿吨。科考同时测算每加工1亿吨富油煤可产出油气当量3450万吨，并建议国家层面将富油煤纳入非常规油气资源管理。</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富油煤焦油产率平均达12%，最高近20%。新疆大学、西安科技大学、中国煤科院正联合攻关热解气化一体化、温和液化、地下原位热解三条技术路线，预计未来2到3年取得较大突破。高效综合利用建议已被国家发改委、工信部等六部委采纳，哈密煤制油气战略基地建设建议纳入国家发改委《石油天然气发展“十五五”规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若新热解技术将焦油产率从8%提高至12%以上，1亿吨富油煤可多产400万吨油，约相当于吐哈油田两年的产油量。</w:t>
      </w:r>
    </w:p>
    <w:p>
      <w:pPr>
        <w:ind w:firstLine="420"/>
      </w:pPr>
      <w:r>
        <w:rPr>
          <w:rFonts w:ascii="微软雅黑" w:hAnsi="微软雅黑" w:eastAsia="微软雅黑" w:cs="微软雅黑"/>
        </w:rPr>
        <w:t>来源：</w:t>
      </w:r>
      <w:hyperlink w:anchor="source-19460">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14. 中国石油首套溶液法POE示范装置实现市场化供货</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10月12日，中国石油大庆石化首批辛烯共聚聚烯烃弹性体（POE）产品发运出厂，满载31.5吨产品的货运车辆驶离厂区，将应用于光伏胶膜、汽车改性材料等领域。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大庆石化POE工业示范装置产能为3万吨/年，依托中国石油石油化工研究院技术攻关成果。该装置在炼油化工和新材料分公司专家组帮扶指导下，于9月23日打通全流程产出POE颗粒，实现一次开车成功。POE兼具塑料刚性与橡胶弹性，是光伏胶膜EVA的重要替代材料，户外环境下可稳定服役25年以上，长期以来国内市场依赖进口。独立石化另有独创气相法POE工艺，综合能耗约为传统溶液法的60%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对推动高端聚烯烃国产化替代、缓解POE进口依赖具有重要作用。</w:t>
      </w:r>
    </w:p>
    <w:p>
      <w:pPr>
        <w:ind w:firstLine="420"/>
      </w:pPr>
      <w:r>
        <w:rPr>
          <w:rFonts w:ascii="微软雅黑" w:hAnsi="微软雅黑" w:eastAsia="微软雅黑" w:cs="微软雅黑"/>
        </w:rPr>
        <w:t>来源：</w:t>
      </w:r>
      <w:hyperlink w:anchor="source-18851">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15. 山西主产区停产炼焦煤矿复产慢于预期</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截至10月12日，山西长治、吕梁等5个主产区停产炼焦煤矿仍有39座、涉及产能4150万吨，复产进度整体慢于市场预期。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9月18日国家发改委、能源局、矿山安监局联合印发煤炭稳产稳供通知；9月26日山西召开专项推进会，明确通过安全评估的煤矿12月底前可按不高于核定能力1/12组织生产，测算可新增产量约3100万吨。但截至10月12日，山西5个主产区仍有39座停产炼焦煤矿待复产，涉及产能4150万吨，复产进度慢于市场预期。</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主产区复产推进缓慢，叠加港口焦煤库存与口岸蒙煤库存处于年内低点，下游焦煤可用天数普遍不高，对短期焦煤供应构成收紧影响。</w:t>
      </w:r>
    </w:p>
    <w:p>
      <w:pPr>
        <w:ind w:firstLine="420"/>
      </w:pPr>
      <w:r>
        <w:rPr>
          <w:rFonts w:ascii="微软雅黑" w:hAnsi="微软雅黑" w:eastAsia="微软雅黑" w:cs="微软雅黑"/>
        </w:rPr>
        <w:t>来源：</w:t>
      </w:r>
      <w:hyperlink w:anchor="source-19457">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16. 国家核安全局批准高温气冷堆安全设计准则</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国家核安全局批准江苏徐圩核能供热发电厂高温气冷堆安全设计准则，由清华大学核研院编制，是我国首个小型核动力堆安全设计准则。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准则针对多模块带一机配置设定单个模块概率安全目标，旨在不依赖场外干预下对公众保护水平与大型核动力厂相当或更高。聚焦放射性包容、反应性控制、堆芯余热排出三项基本安全功能，依托TRISO球形燃料元件、全范围负温度系数和被动舱室冷却等固有安全特性。定义可控、安全、可维修三种反应堆状态，制定44条具体设计准则，涵盖总体要求、屏障设计、保护系统、堆芯热量传输、燃料和放射性控制五个层面，并融入风险指引方法。针对进水、进气等特殊事故工况提出专门应对措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为后续熔盐堆、浮动堆等其他堆型安全设计准则的制定和审评提供示范，标志着高温气冷堆由示范工程向商业化应用迈出关键一步。</w:t>
      </w:r>
    </w:p>
    <w:p>
      <w:pPr>
        <w:ind w:firstLine="420"/>
      </w:pPr>
      <w:r>
        <w:rPr>
          <w:rFonts w:ascii="微软雅黑" w:hAnsi="微软雅黑" w:eastAsia="微软雅黑" w:cs="微软雅黑"/>
        </w:rPr>
        <w:t>来源：</w:t>
      </w:r>
      <w:hyperlink w:anchor="source-18786">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国能信控本部2026年储能用电芯框架公开招标</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数科公司国能信控技术股份有限公司发布2026年国能信控本部承揽设备类储能用电芯框架公开招标项目招标公告。</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预估采购数量200000kWh，订单签订后30天内完成供货；交货地点为江苏镇江扬中或招标人指定的其他国内地点。合同有效期限为本协议生效时至2028年6月30日或框架涉及数量执行完毕（先到为准），执行范围覆盖国能信控公司本部及子分公司。投标人须为独立法人，2021年10月至投标截止日须至少具有2份电池或电芯（单体容量≥314Ah）供货合同业绩，且单份合同总容量不低于200MWh或200000kWh，并提供第三方检测机构出具的型式试验报告或产品认证证书；不接受联合体和代理商投标。招标文件购买时间为2026-10-15 09:00:00至2026-10-20 16:00:00，每套售价70元；投标文件递交及开标时间为2026-11-05 09:00:00（北京时间），通过国能e招投标人业务系统线上开标。电芯应用于新能源发电、微电网、分布式能源和矿用应急电源等领域。</w:t>
      </w:r>
    </w:p>
    <w:p>
      <w:pPr>
        <w:ind w:firstLine="420"/>
      </w:pPr>
      <w:r>
        <w:rPr>
          <w:rFonts w:ascii="微软雅黑" w:hAnsi="微软雅黑" w:eastAsia="微软雅黑" w:cs="微软雅黑"/>
        </w:rPr>
        <w:t>来源：</w:t>
      </w:r>
      <w:hyperlink w:anchor="source-19453">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18. 光伏八龙头杭州闭门会议划定硅料组件价格底线</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协鑫科技、新疆大全、通威等8家光伏龙头在杭州召开闭门会议，落实上海、成都两次会议精神，推动行业自律向执行落地推进。会议在多晶硅及组件环节划出明确价格底线，并形成产能压降落地计划。</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今年8月，8家企业在上海签署《反内卷倡议书》，承诺光伏产品售价不低于依据团体标准《光伏行业成本核算模型通则》核算的成本，并加强互相监督、落实能耗新标准、主动出清高耗能落后产能。杭州会议明确：硅料含税成本均价不得低于4.3万元/吨，BC组件不得低于0.86元/瓦，TOPCon组件不得低于0.79元/瓦；出口产品及社会采购、招投标环节同样不得低于上述底线。会议同时形成产能限制落地计划，推动企业依据市场总需求自主统筹、主动压降产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上海有色网郑天鸿表示，硅料环节头部8家企业占据国内九成以上有效产能，自律较易推动；组件端企业数量多、成本线不一，且面临招投标和海外出口订单，限价执行难度高于硅料环节。郑天鸿判断行业难出现持续性大幅上涨，减产保价或可托底但价格实质持续上涨难度仍大。万联证券屈放认为需加强行业整合与监督督导机制。</w:t>
      </w:r>
    </w:p>
    <w:p>
      <w:pPr>
        <w:ind w:firstLine="420"/>
      </w:pPr>
      <w:r>
        <w:rPr>
          <w:rFonts w:ascii="微软雅黑" w:hAnsi="微软雅黑" w:eastAsia="微软雅黑" w:cs="微软雅黑"/>
        </w:rPr>
        <w:t>来源：</w:t>
      </w:r>
      <w:hyperlink w:anchor="source-18666">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19. 三部委印发内河新能源船舶行动方案 提出2028年电动运输船破千艘</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三部委印发内河新能源船舶行动方案，提出到2028年内河新能源船舶保有量较2025年翻倍，电动运输船舶突破1000艘、甲醇动力船舶突破100艘，初步实现全场景示范应用。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方案提出在“两横一纵两网”零碳水路运输通道上，因地制宜建设“风光储充换”一体化设施并完善甲醇加注服务网络。到2030年内河新能源船舶保有量和零碳水路运输通道里程持续增加，初步实现新能源船舶规模化应用。方案将新能源船舶推广应用纳入省级碳达峰碳中和综合评价考核内容，并加大中央和地方资金对船舶建造及补能设施的支持。</w:t>
      </w:r>
    </w:p>
    <w:p>
      <w:pPr>
        <w:ind w:firstLine="420"/>
      </w:pPr>
      <w:r>
        <w:rPr>
          <w:rFonts w:ascii="微软雅黑" w:hAnsi="微软雅黑" w:eastAsia="微软雅黑" w:cs="微软雅黑"/>
        </w:rPr>
        <w:t>来源：</w:t>
      </w:r>
      <w:hyperlink w:anchor="source-18789">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20. 上半年中国负极材料出货同比增48%，产能利用率升至80%以上</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2026年上半年中国负极材料出货量达191万吨，同比增长48%，产能利用率由2025年的70%升至80%以上，反映石墨类负极供需两端同步放量但加工环节仍偏紧。</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来源材料指出石墨化环节再度成为制约锂电负极供应的关键瓶颈。中科电气2026年上半年石墨类负极业务收入48.50亿元，同比增长44.84%，毛利率同比下降10.65个百分点至10.18%。</w:t>
      </w:r>
    </w:p>
    <w:p>
      <w:pPr>
        <w:ind w:firstLine="420"/>
      </w:pPr>
      <w:r>
        <w:rPr>
          <w:rFonts w:ascii="微软雅黑" w:hAnsi="微软雅黑" w:eastAsia="微软雅黑" w:cs="微软雅黑"/>
        </w:rPr>
        <w:t>来源：</w:t>
      </w:r>
      <w:hyperlink w:anchor="source-19188">
        <w:r>
          <w:rPr>
            <w:rFonts w:ascii="微软雅黑" w:hAnsi="微软雅黑" w:eastAsia="微软雅黑" w:cs="微软雅黑"/>
            <w:color w:val="087E89"/>
          </w:rPr>
          <w:t>17</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项目所在国与项目类型、装机规模和储能配套尚处于协议阶段，最终落地时间与投资分配待披露。 </w:t>
      </w:r>
      <w:hyperlink w:anchor="source-1947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霍尔木兹海峡通航状况及中东地缘风险演变；OPEC+实际增产能否转化为有效供应。 </w:t>
      </w:r>
      <w:hyperlink w:anchor="source-19389">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8752">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霍尔木兹海峡后续商船袭击的调查结论，以及伊朗针对违反海上交通限制船只所采用的具体策略细节。 </w:t>
      </w:r>
      <w:hyperlink w:anchor="source-19367">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8866">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部分企业存在挂牌坚守指导价但实际成交不按挂牌价执行的“两张皮”现象；组件端限价自律及出口订单落实情况尚待观察。 </w:t>
      </w:r>
      <w:hyperlink w:anchor="source-18666">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PJM研究结论、输电扩建需求，以及AEP俄亥俄需新增的输电设施范围和成本。 </w:t>
      </w:r>
      <w:hyperlink w:anchor="source-19438">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该交易需经挪威能源部批准；执行主席提及的2029年新产量投产目标以及2C资源向2P储量转化进展。 </w:t>
      </w:r>
      <w:hyperlink w:anchor="source-19359">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464 篇文章，形成 447 篇有效能源材料；正文引用 26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4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9476"/>
      <w:bookmarkEnd w:id="1" w:name="source-19476"/>
    </w:p>
    <w:p>
      <w:pPr>
        <w:pStyle w:val="ListBullet"/>
      </w:pPr>
      <w:r>
        <w:rPr>
          <w:rFonts w:ascii="微软雅黑" w:hAnsi="微软雅黑" w:eastAsia="微软雅黑" w:cs="微软雅黑"/>
        </w:rPr>
        <w:t>[1] Solarbe(光伏网)｜</w:t>
      </w:r>
      <w:hyperlink r:id="rId11">
        <w:r>
          <w:rPr>
            <w:rFonts w:ascii="微软雅黑" w:hAnsi="微软雅黑" w:eastAsia="微软雅黑" w:cs="微软雅黑"/>
            <w:color w:val="087E89"/>
          </w:rPr>
          <w:t>2GW：阿曼 O-GREEN 联手哈国 Samruk-Energy，瞄准“绿电＋数据中心”</w:t>
        </w:r>
      </w:hyperlink>
      <w:r>
        <w:rPr>
          <w:rFonts w:ascii="微软雅黑" w:hAnsi="微软雅黑" w:eastAsia="微软雅黑" w:cs="微软雅黑"/>
        </w:rPr>
      </w:r>
    </w:p>
    <w:p>
      <w:pPr>
        <w:spacing w:after="0" w:line="20" w:lineRule="exact"/>
      </w:pPr>
      <w:bookmarkStart w:id="2" w:name="source-19389"/>
      <w:bookmarkEnd w:id="2" w:name="source-19389"/>
    </w:p>
    <w:p>
      <w:pPr>
        <w:pStyle w:val="ListBullet"/>
      </w:pPr>
      <w:r>
        <w:rPr>
          <w:rFonts w:ascii="微软雅黑" w:hAnsi="微软雅黑" w:eastAsia="微软雅黑" w:cs="微软雅黑"/>
        </w:rPr>
        <w:t>[2] 中国能源新闻网｜</w:t>
      </w:r>
      <w:hyperlink r:id="rId12">
        <w:r>
          <w:rPr>
            <w:rFonts w:ascii="微软雅黑" w:hAnsi="微软雅黑" w:eastAsia="微软雅黑" w:cs="微软雅黑"/>
            <w:color w:val="087E89"/>
          </w:rPr>
          <w:t>沙特阿美总裁：全球原油库存逼近“危险低位”</w:t>
        </w:r>
      </w:hyperlink>
      <w:r>
        <w:rPr>
          <w:rFonts w:ascii="微软雅黑" w:hAnsi="微软雅黑" w:eastAsia="微软雅黑" w:cs="微软雅黑"/>
        </w:rPr>
      </w:r>
    </w:p>
    <w:p>
      <w:pPr>
        <w:spacing w:after="0" w:line="20" w:lineRule="exact"/>
      </w:pPr>
      <w:bookmarkStart w:id="3" w:name="source-18752"/>
      <w:bookmarkEnd w:id="3" w:name="source-18752"/>
    </w:p>
    <w:p>
      <w:pPr>
        <w:pStyle w:val="ListBullet"/>
      </w:pPr>
      <w:r>
        <w:rPr>
          <w:rFonts w:ascii="微软雅黑" w:hAnsi="微软雅黑" w:eastAsia="微软雅黑" w:cs="微软雅黑"/>
        </w:rPr>
        <w:t>[3] 中国能源网｜</w:t>
      </w:r>
      <w:hyperlink r:id="rId13">
        <w:r>
          <w:rPr>
            <w:rFonts w:ascii="微软雅黑" w:hAnsi="微软雅黑" w:eastAsia="微软雅黑" w:cs="微软雅黑"/>
            <w:color w:val="087E89"/>
          </w:rPr>
          <w:t>沙特阿美总裁：全球原油库存逼近“危险低位”</w:t>
        </w:r>
      </w:hyperlink>
      <w:r>
        <w:rPr>
          <w:rFonts w:ascii="微软雅黑" w:hAnsi="微软雅黑" w:eastAsia="微软雅黑" w:cs="微软雅黑"/>
        </w:rPr>
      </w:r>
    </w:p>
    <w:p>
      <w:pPr>
        <w:spacing w:after="0" w:line="20" w:lineRule="exact"/>
      </w:pPr>
      <w:bookmarkStart w:id="4" w:name="source-19367"/>
      <w:bookmarkEnd w:id="4" w:name="source-19367"/>
    </w:p>
    <w:p>
      <w:pPr>
        <w:pStyle w:val="ListBullet"/>
      </w:pPr>
      <w:r>
        <w:rPr>
          <w:rFonts w:ascii="微软雅黑" w:hAnsi="微软雅黑" w:eastAsia="微软雅黑" w:cs="微软雅黑"/>
        </w:rPr>
        <w:t>[4] 新华社国际要闻（战略与能源）｜</w:t>
      </w:r>
      <w:hyperlink r:id="rId14">
        <w:r>
          <w:rPr>
            <w:rFonts w:ascii="微软雅黑" w:hAnsi="微软雅黑" w:eastAsia="微软雅黑" w:cs="微软雅黑"/>
            <w:color w:val="087E89"/>
          </w:rPr>
          <w:t>两艘新加坡籍船只在霍尔木兹海峡遭袭</w:t>
        </w:r>
      </w:hyperlink>
      <w:r>
        <w:rPr>
          <w:rFonts w:ascii="微软雅黑" w:hAnsi="微软雅黑" w:eastAsia="微软雅黑" w:cs="微软雅黑"/>
        </w:rPr>
      </w:r>
    </w:p>
    <w:p>
      <w:pPr>
        <w:spacing w:after="0" w:line="20" w:lineRule="exact"/>
      </w:pPr>
      <w:bookmarkStart w:id="5" w:name="source-18866"/>
      <w:bookmarkEnd w:id="5" w:name="source-18866"/>
    </w:p>
    <w:p>
      <w:pPr>
        <w:pStyle w:val="ListBullet"/>
      </w:pPr>
      <w:r>
        <w:rPr>
          <w:rFonts w:ascii="微软雅黑" w:hAnsi="微软雅黑" w:eastAsia="微软雅黑" w:cs="微软雅黑"/>
        </w:rPr>
        <w:t>[5] OGN News｜</w:t>
      </w:r>
      <w:hyperlink r:id="rId15">
        <w:r>
          <w:rPr>
            <w:rFonts w:ascii="微软雅黑" w:hAnsi="微软雅黑" w:eastAsia="微软雅黑" w:cs="微软雅黑"/>
            <w:color w:val="087E89"/>
          </w:rPr>
          <w:t>油价上涨：霍尔木兹海峡航运风险抵消OPEC+增产影响</w:t>
        </w:r>
      </w:hyperlink>
      <w:r>
        <w:rPr>
          <w:rFonts w:ascii="微软雅黑" w:hAnsi="微软雅黑" w:eastAsia="微软雅黑" w:cs="微软雅黑"/>
        </w:rPr>
      </w:r>
    </w:p>
    <w:p>
      <w:pPr>
        <w:spacing w:after="0" w:line="20" w:lineRule="exact"/>
      </w:pPr>
      <w:bookmarkStart w:id="6" w:name="source-18666"/>
      <w:bookmarkEnd w:id="6" w:name="source-18666"/>
    </w:p>
    <w:p>
      <w:pPr>
        <w:pStyle w:val="ListBullet"/>
      </w:pPr>
      <w:r>
        <w:rPr>
          <w:rFonts w:ascii="微软雅黑" w:hAnsi="微软雅黑" w:eastAsia="微软雅黑" w:cs="微软雅黑"/>
        </w:rPr>
        <w:t>[6] 经济日报｜</w:t>
      </w:r>
      <w:hyperlink r:id="rId16">
        <w:r>
          <w:rPr>
            <w:rFonts w:ascii="微软雅黑" w:hAnsi="微软雅黑" w:eastAsia="微软雅黑" w:cs="微软雅黑"/>
            <w:color w:val="087E89"/>
          </w:rPr>
          <w:t>光伏行业自律向纵深推进</w:t>
        </w:r>
      </w:hyperlink>
      <w:r>
        <w:rPr>
          <w:rFonts w:ascii="微软雅黑" w:hAnsi="微软雅黑" w:eastAsia="微软雅黑" w:cs="微软雅黑"/>
        </w:rPr>
      </w:r>
    </w:p>
    <w:p>
      <w:pPr>
        <w:spacing w:after="0" w:line="20" w:lineRule="exact"/>
      </w:pPr>
      <w:bookmarkStart w:id="7" w:name="source-19438"/>
      <w:bookmarkEnd w:id="7" w:name="source-19438"/>
    </w:p>
    <w:p>
      <w:pPr>
        <w:pStyle w:val="ListBullet"/>
      </w:pPr>
      <w:r>
        <w:rPr>
          <w:rFonts w:ascii="微软雅黑" w:hAnsi="微软雅黑" w:eastAsia="微软雅黑" w:cs="微软雅黑"/>
        </w:rPr>
        <w:t>[7] Utility Dive｜</w:t>
      </w:r>
      <w:hyperlink r:id="rId17">
        <w:r>
          <w:rPr>
            <w:rFonts w:ascii="微软雅黑" w:hAnsi="微软雅黑" w:eastAsia="微软雅黑" w:cs="微软雅黑"/>
            <w:color w:val="087E89"/>
          </w:rPr>
          <w:t>PJM计划在州协议框架下研究软银在俄亥俄州的AI项目</w:t>
        </w:r>
      </w:hyperlink>
      <w:r>
        <w:rPr>
          <w:rFonts w:ascii="微软雅黑" w:hAnsi="微软雅黑" w:eastAsia="微软雅黑" w:cs="微软雅黑"/>
        </w:rPr>
      </w:r>
    </w:p>
    <w:p>
      <w:pPr>
        <w:spacing w:after="0" w:line="20" w:lineRule="exact"/>
      </w:pPr>
      <w:bookmarkStart w:id="8" w:name="source-19359"/>
      <w:bookmarkEnd w:id="8" w:name="source-19359"/>
    </w:p>
    <w:p>
      <w:pPr>
        <w:pStyle w:val="ListBullet"/>
      </w:pPr>
      <w:r>
        <w:rPr>
          <w:rFonts w:ascii="微软雅黑" w:hAnsi="微软雅黑" w:eastAsia="微软雅黑" w:cs="微软雅黑"/>
        </w:rPr>
        <w:t>[8] World Oil｜</w:t>
      </w:r>
      <w:hyperlink r:id="rId18">
        <w:r>
          <w:rPr>
            <w:rFonts w:ascii="微软雅黑" w:hAnsi="微软雅黑" w:eastAsia="微软雅黑" w:cs="微软雅黑"/>
            <w:color w:val="087E89"/>
          </w:rPr>
          <w:t>Kistos以1290万美元从Vår Energi收购Ringhorne许可证10%股权</w:t>
        </w:r>
      </w:hyperlink>
      <w:r>
        <w:rPr>
          <w:rFonts w:ascii="微软雅黑" w:hAnsi="微软雅黑" w:eastAsia="微软雅黑" w:cs="微软雅黑"/>
        </w:rPr>
      </w:r>
    </w:p>
    <w:p>
      <w:pPr>
        <w:spacing w:after="0" w:line="20" w:lineRule="exact"/>
      </w:pPr>
      <w:bookmarkStart w:id="9" w:name="source-19310"/>
      <w:bookmarkEnd w:id="9" w:name="source-19310"/>
    </w:p>
    <w:p>
      <w:pPr>
        <w:pStyle w:val="ListBullet"/>
      </w:pPr>
      <w:r>
        <w:rPr>
          <w:rFonts w:ascii="微软雅黑" w:hAnsi="微软雅黑" w:eastAsia="微软雅黑" w:cs="微软雅黑"/>
        </w:rPr>
        <w:t>[9] 英国能源安全与净零排放部｜</w:t>
      </w:r>
      <w:hyperlink r:id="rId19">
        <w:r>
          <w:rPr>
            <w:rFonts w:ascii="微软雅黑" w:hAnsi="微软雅黑" w:eastAsia="微软雅黑" w:cs="微软雅黑"/>
            <w:color w:val="087E89"/>
          </w:rPr>
          <w:t>碳捕集与英国工业的更新</w:t>
        </w:r>
      </w:hyperlink>
      <w:r>
        <w:rPr>
          <w:rFonts w:ascii="微软雅黑" w:hAnsi="微软雅黑" w:eastAsia="微软雅黑" w:cs="微软雅黑"/>
        </w:rPr>
      </w:r>
    </w:p>
    <w:p>
      <w:pPr>
        <w:spacing w:after="0" w:line="20" w:lineRule="exact"/>
      </w:pPr>
      <w:bookmarkStart w:id="10" w:name="source-18851"/>
      <w:bookmarkEnd w:id="10" w:name="source-18851"/>
    </w:p>
    <w:p>
      <w:pPr>
        <w:pStyle w:val="ListBullet"/>
      </w:pPr>
      <w:r>
        <w:rPr>
          <w:rFonts w:ascii="微软雅黑" w:hAnsi="微软雅黑" w:eastAsia="微软雅黑" w:cs="微软雅黑"/>
        </w:rPr>
        <w:t>[10] 中国石油报·中国石油新闻中心｜</w:t>
      </w:r>
      <w:hyperlink r:id="rId20">
        <w:r>
          <w:rPr>
            <w:rFonts w:ascii="微软雅黑" w:hAnsi="微软雅黑" w:eastAsia="微软雅黑" w:cs="微软雅黑"/>
            <w:color w:val="087E89"/>
          </w:rPr>
          <w:t>中国石油首套溶液法POE示范装置实现市场化供货</w:t>
        </w:r>
      </w:hyperlink>
      <w:r>
        <w:rPr>
          <w:rFonts w:ascii="微软雅黑" w:hAnsi="微软雅黑" w:eastAsia="微软雅黑" w:cs="微软雅黑"/>
        </w:rPr>
      </w:r>
    </w:p>
    <w:p>
      <w:pPr>
        <w:spacing w:after="0" w:line="20" w:lineRule="exact"/>
      </w:pPr>
      <w:bookmarkStart w:id="11" w:name="source-19460"/>
      <w:bookmarkEnd w:id="11" w:name="source-19460"/>
    </w:p>
    <w:p>
      <w:pPr>
        <w:pStyle w:val="ListBullet"/>
      </w:pPr>
      <w:r>
        <w:rPr>
          <w:rFonts w:ascii="微软雅黑" w:hAnsi="微软雅黑" w:eastAsia="微软雅黑" w:cs="微软雅黑"/>
        </w:rPr>
        <w:t>[11] 中国能源网｜</w:t>
      </w:r>
      <w:hyperlink r:id="rId21">
        <w:r>
          <w:rPr>
            <w:rFonts w:ascii="微软雅黑" w:hAnsi="微软雅黑" w:eastAsia="微软雅黑" w:cs="微软雅黑"/>
            <w:color w:val="087E89"/>
          </w:rPr>
          <w:t>新疆吐哈盆地探明富油煤储量超775亿吨</w:t>
        </w:r>
      </w:hyperlink>
      <w:r>
        <w:rPr>
          <w:rFonts w:ascii="微软雅黑" w:hAnsi="微软雅黑" w:eastAsia="微软雅黑" w:cs="微软雅黑"/>
        </w:rPr>
      </w:r>
    </w:p>
    <w:p>
      <w:pPr>
        <w:spacing w:after="0" w:line="20" w:lineRule="exact"/>
      </w:pPr>
      <w:bookmarkStart w:id="12" w:name="source-19456"/>
      <w:bookmarkEnd w:id="12" w:name="source-19456"/>
    </w:p>
    <w:p>
      <w:pPr>
        <w:pStyle w:val="ListBullet"/>
      </w:pPr>
      <w:r>
        <w:rPr>
          <w:rFonts w:ascii="微软雅黑" w:hAnsi="微软雅黑" w:eastAsia="微软雅黑" w:cs="微软雅黑"/>
        </w:rPr>
        <w:t>[12] 中国能源网｜</w:t>
      </w:r>
      <w:hyperlink r:id="rId22">
        <w:r>
          <w:rPr>
            <w:rFonts w:ascii="微软雅黑" w:hAnsi="微软雅黑" w:eastAsia="微软雅黑" w:cs="微软雅黑"/>
            <w:color w:val="087E89"/>
          </w:rPr>
          <w:t>BigMint：预计2026年全球炼焦煤贸易量将增长超过4亿吨</w:t>
        </w:r>
      </w:hyperlink>
      <w:r>
        <w:rPr>
          <w:rFonts w:ascii="微软雅黑" w:hAnsi="微软雅黑" w:eastAsia="微软雅黑" w:cs="微软雅黑"/>
        </w:rPr>
      </w:r>
    </w:p>
    <w:p>
      <w:pPr>
        <w:spacing w:after="0" w:line="20" w:lineRule="exact"/>
      </w:pPr>
      <w:bookmarkStart w:id="13" w:name="source-19453"/>
      <w:bookmarkEnd w:id="13" w:name="source-19453"/>
    </w:p>
    <w:p>
      <w:pPr>
        <w:pStyle w:val="ListBullet"/>
      </w:pPr>
      <w:r>
        <w:rPr>
          <w:rFonts w:ascii="微软雅黑" w:hAnsi="微软雅黑" w:eastAsia="微软雅黑" w:cs="微软雅黑"/>
        </w:rPr>
        <w:t>[13] 国能e招（国家能源集团）｜</w:t>
      </w:r>
      <w:hyperlink r:id="rId23">
        <w:r>
          <w:rPr>
            <w:rFonts w:ascii="微软雅黑" w:hAnsi="微软雅黑" w:eastAsia="微软雅黑" w:cs="微软雅黑"/>
            <w:color w:val="087E89"/>
          </w:rPr>
          <w:t>数科公司国能信控技术股份有限公司承揽2026年国能信控本部承揽设备类储能用电芯框架公开招标项目招标公告</w:t>
        </w:r>
      </w:hyperlink>
      <w:r>
        <w:rPr>
          <w:rFonts w:ascii="微软雅黑" w:hAnsi="微软雅黑" w:eastAsia="微软雅黑" w:cs="微软雅黑"/>
        </w:rPr>
      </w:r>
    </w:p>
    <w:p>
      <w:pPr>
        <w:spacing w:after="0" w:line="20" w:lineRule="exact"/>
      </w:pPr>
      <w:bookmarkStart w:id="14" w:name="source-19422"/>
      <w:bookmarkEnd w:id="14" w:name="source-19422"/>
    </w:p>
    <w:p>
      <w:pPr>
        <w:pStyle w:val="ListBullet"/>
      </w:pPr>
      <w:r>
        <w:rPr>
          <w:rFonts w:ascii="微软雅黑" w:hAnsi="微软雅黑" w:eastAsia="微软雅黑" w:cs="微软雅黑"/>
        </w:rPr>
        <w:t>[14] 美国南方公司｜</w:t>
      </w:r>
      <w:hyperlink r:id="rId24">
        <w:r>
          <w:rPr>
            <w:rFonts w:ascii="微软雅黑" w:hAnsi="微软雅黑" w:eastAsia="微软雅黑" w:cs="微软雅黑"/>
            <w:color w:val="087E89"/>
          </w:rPr>
          <w:t>美国能源部资助加速世界首例熔盐氯化物反应堆实验</w:t>
        </w:r>
      </w:hyperlink>
      <w:r>
        <w:rPr>
          <w:rFonts w:ascii="微软雅黑" w:hAnsi="微软雅黑" w:eastAsia="微软雅黑" w:cs="微软雅黑"/>
        </w:rPr>
      </w:r>
    </w:p>
    <w:p>
      <w:pPr>
        <w:spacing w:after="0" w:line="20" w:lineRule="exact"/>
      </w:pPr>
      <w:bookmarkStart w:id="15" w:name="source-18786"/>
      <w:bookmarkEnd w:id="15" w:name="source-18786"/>
    </w:p>
    <w:p>
      <w:pPr>
        <w:pStyle w:val="ListBullet"/>
      </w:pPr>
      <w:r>
        <w:rPr>
          <w:rFonts w:ascii="微软雅黑" w:hAnsi="微软雅黑" w:eastAsia="微软雅黑" w:cs="微软雅黑"/>
        </w:rPr>
        <w:t>[15] 清华大学核能与新能源技术研究院｜</w:t>
      </w:r>
      <w:hyperlink r:id="rId25">
        <w:r>
          <w:rPr>
            <w:rFonts w:ascii="微软雅黑" w:hAnsi="微软雅黑" w:eastAsia="微软雅黑" w:cs="微软雅黑"/>
            <w:color w:val="087E89"/>
          </w:rPr>
          <w:t>转发：创新安全审评路径 筑牢高温气冷堆安全根基——国家核安全局批准高温气冷堆安全设计准则</w:t>
        </w:r>
      </w:hyperlink>
      <w:r>
        <w:rPr>
          <w:rFonts w:ascii="微软雅黑" w:hAnsi="微软雅黑" w:eastAsia="微软雅黑" w:cs="微软雅黑"/>
        </w:rPr>
      </w:r>
    </w:p>
    <w:p>
      <w:pPr>
        <w:spacing w:after="0" w:line="20" w:lineRule="exact"/>
      </w:pPr>
      <w:bookmarkStart w:id="16" w:name="source-19457"/>
      <w:bookmarkEnd w:id="16" w:name="source-19457"/>
    </w:p>
    <w:p>
      <w:pPr>
        <w:pStyle w:val="ListBullet"/>
      </w:pPr>
      <w:r>
        <w:rPr>
          <w:rFonts w:ascii="微软雅黑" w:hAnsi="微软雅黑" w:eastAsia="微软雅黑" w:cs="微软雅黑"/>
        </w:rPr>
        <w:t>[16] 中国能源网｜</w:t>
      </w:r>
      <w:hyperlink r:id="rId26">
        <w:r>
          <w:rPr>
            <w:rFonts w:ascii="微软雅黑" w:hAnsi="微软雅黑" w:eastAsia="微软雅黑" w:cs="微软雅黑"/>
            <w:color w:val="087E89"/>
          </w:rPr>
          <w:t>12月的焦煤，涨不涨看复产，涨多少看运输，跌不跌看铁水</w:t>
        </w:r>
      </w:hyperlink>
      <w:r>
        <w:rPr>
          <w:rFonts w:ascii="微软雅黑" w:hAnsi="微软雅黑" w:eastAsia="微软雅黑" w:cs="微软雅黑"/>
        </w:rPr>
      </w:r>
    </w:p>
    <w:p>
      <w:pPr>
        <w:spacing w:after="0" w:line="20" w:lineRule="exact"/>
      </w:pPr>
      <w:bookmarkStart w:id="17" w:name="source-19188"/>
      <w:bookmarkEnd w:id="17" w:name="source-19188"/>
    </w:p>
    <w:p>
      <w:pPr>
        <w:pStyle w:val="ListBullet"/>
      </w:pPr>
      <w:r>
        <w:rPr>
          <w:rFonts w:ascii="微软雅黑" w:hAnsi="微软雅黑" w:eastAsia="微软雅黑" w:cs="微软雅黑"/>
        </w:rPr>
        <w:t>[17] 中国能源网｜</w:t>
      </w:r>
      <w:hyperlink r:id="rId27">
        <w:r>
          <w:rPr>
            <w:rFonts w:ascii="微软雅黑" w:hAnsi="微软雅黑" w:eastAsia="微软雅黑" w:cs="微软雅黑"/>
            <w:color w:val="087E89"/>
          </w:rPr>
          <w:t>石墨化为何又扼住了锂电负极的咽喉?</w:t>
        </w:r>
      </w:hyperlink>
      <w:r>
        <w:rPr>
          <w:rFonts w:ascii="微软雅黑" w:hAnsi="微软雅黑" w:eastAsia="微软雅黑" w:cs="微软雅黑"/>
        </w:rPr>
      </w:r>
    </w:p>
    <w:p>
      <w:pPr>
        <w:spacing w:after="0" w:line="20" w:lineRule="exact"/>
      </w:pPr>
      <w:bookmarkStart w:id="18" w:name="source-19086"/>
      <w:bookmarkEnd w:id="18" w:name="source-19086"/>
    </w:p>
    <w:p>
      <w:pPr>
        <w:pStyle w:val="ListBullet"/>
      </w:pPr>
      <w:r>
        <w:rPr>
          <w:rFonts w:ascii="微软雅黑" w:hAnsi="微软雅黑" w:eastAsia="微软雅黑" w:cs="微软雅黑"/>
        </w:rPr>
        <w:t>[18] 人民财讯等｜</w:t>
      </w:r>
      <w:hyperlink r:id="rId28">
        <w:r>
          <w:rPr>
            <w:rFonts w:ascii="微软雅黑" w:hAnsi="微软雅黑" w:eastAsia="微软雅黑" w:cs="微软雅黑"/>
            <w:color w:val="087E89"/>
          </w:rPr>
          <w:t>也门胡塞武装称袭击沙特机场和石油设施并引发火灾</w:t>
        </w:r>
      </w:hyperlink>
      <w:r>
        <w:rPr>
          <w:rFonts w:ascii="微软雅黑" w:hAnsi="微软雅黑" w:eastAsia="微软雅黑" w:cs="微软雅黑"/>
        </w:rPr>
      </w:r>
    </w:p>
    <w:p>
      <w:pPr>
        <w:spacing w:after="0" w:line="20" w:lineRule="exact"/>
      </w:pPr>
      <w:bookmarkStart w:id="19" w:name="source-19051"/>
      <w:bookmarkEnd w:id="19" w:name="source-19051"/>
    </w:p>
    <w:p>
      <w:pPr>
        <w:pStyle w:val="ListBullet"/>
      </w:pPr>
      <w:r>
        <w:rPr>
          <w:rFonts w:ascii="微软雅黑" w:hAnsi="微软雅黑" w:eastAsia="微软雅黑" w:cs="微软雅黑"/>
        </w:rPr>
        <w:t>[19] 新华社国际要闻（战略与能源）｜</w:t>
      </w:r>
      <w:hyperlink r:id="rId29">
        <w:r>
          <w:rPr>
            <w:rFonts w:ascii="微软雅黑" w:hAnsi="微软雅黑" w:eastAsia="微软雅黑" w:cs="微软雅黑"/>
            <w:color w:val="087E89"/>
          </w:rPr>
          <w:t>也门胡塞武装称袭击沙特机场和石油设施并引发火灾</w:t>
        </w:r>
      </w:hyperlink>
      <w:r>
        <w:rPr>
          <w:rFonts w:ascii="微软雅黑" w:hAnsi="微软雅黑" w:eastAsia="微软雅黑" w:cs="微软雅黑"/>
        </w:rPr>
      </w:r>
    </w:p>
    <w:p>
      <w:pPr>
        <w:spacing w:after="0" w:line="20" w:lineRule="exact"/>
      </w:pPr>
      <w:bookmarkStart w:id="20" w:name="source-19172"/>
      <w:bookmarkEnd w:id="20" w:name="source-19172"/>
    </w:p>
    <w:p>
      <w:pPr>
        <w:pStyle w:val="ListBullet"/>
      </w:pPr>
      <w:r>
        <w:rPr>
          <w:rFonts w:ascii="微软雅黑" w:hAnsi="微软雅黑" w:eastAsia="微软雅黑" w:cs="微软雅黑"/>
        </w:rPr>
        <w:t>[20] Anadolu Agency｜</w:t>
      </w:r>
      <w:hyperlink r:id="rId30">
        <w:r>
          <w:rPr>
            <w:rFonts w:ascii="微软雅黑" w:hAnsi="微软雅黑" w:eastAsia="微软雅黑" w:cs="微软雅黑"/>
            <w:color w:val="087E89"/>
          </w:rPr>
          <w:t>也门胡塞武装威胁将进一步袭击沙特机场和石油设施</w:t>
        </w:r>
      </w:hyperlink>
      <w:r>
        <w:rPr>
          <w:rFonts w:ascii="微软雅黑" w:hAnsi="微软雅黑" w:eastAsia="微软雅黑" w:cs="微软雅黑"/>
        </w:rPr>
      </w:r>
    </w:p>
    <w:p>
      <w:pPr>
        <w:spacing w:after="0" w:line="20" w:lineRule="exact"/>
      </w:pPr>
      <w:bookmarkStart w:id="21" w:name="source-18800"/>
      <w:bookmarkEnd w:id="21" w:name="source-18800"/>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美以柴油为筹码推动俄乌谈判遇阻</w:t>
        </w:r>
      </w:hyperlink>
      <w:r>
        <w:rPr>
          <w:rFonts w:ascii="微软雅黑" w:hAnsi="微软雅黑" w:eastAsia="微软雅黑" w:cs="微软雅黑"/>
        </w:rPr>
      </w:r>
    </w:p>
    <w:p>
      <w:pPr>
        <w:spacing w:after="0" w:line="20" w:lineRule="exact"/>
      </w:pPr>
      <w:bookmarkStart w:id="22" w:name="source-19252"/>
      <w:bookmarkEnd w:id="22" w:name="source-19252"/>
    </w:p>
    <w:p>
      <w:pPr>
        <w:pStyle w:val="ListBullet"/>
      </w:pPr>
      <w:r>
        <w:rPr>
          <w:rFonts w:ascii="微软雅黑" w:hAnsi="微软雅黑" w:eastAsia="微软雅黑" w:cs="微软雅黑"/>
        </w:rPr>
        <w:t>[22] Interfax｜</w:t>
      </w:r>
      <w:hyperlink r:id="rId32">
        <w:r>
          <w:rPr>
            <w:rFonts w:ascii="微软雅黑" w:hAnsi="微软雅黑" w:eastAsia="微软雅黑" w:cs="微软雅黑"/>
            <w:color w:val="087E89"/>
          </w:rPr>
          <w:t>诺瓦克预计，与美国就柴油达成的协议将影响俄罗斯石油产量的增长</w:t>
        </w:r>
      </w:hyperlink>
      <w:r>
        <w:rPr>
          <w:rFonts w:ascii="微软雅黑" w:hAnsi="微软雅黑" w:eastAsia="微软雅黑" w:cs="微软雅黑"/>
        </w:rPr>
      </w:r>
    </w:p>
    <w:p>
      <w:pPr>
        <w:spacing w:after="0" w:line="20" w:lineRule="exact"/>
      </w:pPr>
      <w:bookmarkStart w:id="23" w:name="source-19276"/>
      <w:bookmarkEnd w:id="23" w:name="source-19276"/>
    </w:p>
    <w:p>
      <w:pPr>
        <w:pStyle w:val="ListBullet"/>
      </w:pPr>
      <w:r>
        <w:rPr>
          <w:rFonts w:ascii="微软雅黑" w:hAnsi="微软雅黑" w:eastAsia="微软雅黑" w:cs="微软雅黑"/>
        </w:rPr>
        <w:t>[23] 光伏杂志国际版｜</w:t>
      </w:r>
      <w:hyperlink r:id="rId33">
        <w:r>
          <w:rPr>
            <w:rFonts w:ascii="微软雅黑" w:hAnsi="微软雅黑" w:eastAsia="微软雅黑" w:cs="微软雅黑"/>
            <w:color w:val="087E89"/>
          </w:rPr>
          <w:t>欧洲的第二次能源危机基本跳过了光伏发电时段</w:t>
        </w:r>
      </w:hyperlink>
      <w:r>
        <w:rPr>
          <w:rFonts w:ascii="微软雅黑" w:hAnsi="微软雅黑" w:eastAsia="微软雅黑" w:cs="微软雅黑"/>
        </w:rPr>
      </w:r>
    </w:p>
    <w:p>
      <w:pPr>
        <w:spacing w:after="0" w:line="20" w:lineRule="exact"/>
      </w:pPr>
      <w:bookmarkStart w:id="24" w:name="source-18960"/>
      <w:bookmarkEnd w:id="24" w:name="source-18960"/>
    </w:p>
    <w:p>
      <w:pPr>
        <w:pStyle w:val="ListBullet"/>
      </w:pPr>
      <w:r>
        <w:rPr>
          <w:rFonts w:ascii="微软雅黑" w:hAnsi="微软雅黑" w:eastAsia="微软雅黑" w:cs="微软雅黑"/>
        </w:rPr>
        <w:t>[24] 央视新闻等｜</w:t>
      </w:r>
      <w:hyperlink r:id="rId34">
        <w:r>
          <w:rPr>
            <w:rFonts w:ascii="微软雅黑" w:hAnsi="微软雅黑" w:eastAsia="微软雅黑" w:cs="微软雅黑"/>
            <w:color w:val="087E89"/>
          </w:rPr>
          <w:t>俄国防部称打击乌能源和基础设施</w:t>
        </w:r>
      </w:hyperlink>
      <w:r>
        <w:rPr>
          <w:rFonts w:ascii="微软雅黑" w:hAnsi="微软雅黑" w:eastAsia="微软雅黑" w:cs="微软雅黑"/>
        </w:rPr>
      </w:r>
    </w:p>
    <w:p>
      <w:pPr>
        <w:spacing w:after="0" w:line="20" w:lineRule="exact"/>
      </w:pPr>
      <w:bookmarkStart w:id="25" w:name="source-18907"/>
      <w:bookmarkEnd w:id="25" w:name="source-18907"/>
    </w:p>
    <w:p>
      <w:pPr>
        <w:pStyle w:val="ListBullet"/>
      </w:pPr>
      <w:r>
        <w:rPr>
          <w:rFonts w:ascii="微软雅黑" w:hAnsi="微软雅黑" w:eastAsia="微软雅黑" w:cs="微软雅黑"/>
        </w:rPr>
        <w:t>[25] 新华社国际要闻（战略与能源）｜</w:t>
      </w:r>
      <w:hyperlink r:id="rId35">
        <w:r>
          <w:rPr>
            <w:rFonts w:ascii="微软雅黑" w:hAnsi="微软雅黑" w:eastAsia="微软雅黑" w:cs="微软雅黑"/>
            <w:color w:val="087E89"/>
          </w:rPr>
          <w:t>乌克兰首都多处能源设施遭袭</w:t>
        </w:r>
      </w:hyperlink>
      <w:r>
        <w:rPr>
          <w:rFonts w:ascii="微软雅黑" w:hAnsi="微软雅黑" w:eastAsia="微软雅黑" w:cs="微软雅黑"/>
        </w:rPr>
      </w:r>
    </w:p>
    <w:p>
      <w:pPr>
        <w:spacing w:after="0" w:line="20" w:lineRule="exact"/>
      </w:pPr>
      <w:bookmarkStart w:id="26" w:name="source-18789"/>
      <w:bookmarkEnd w:id="26" w:name="source-18789"/>
    </w:p>
    <w:p>
      <w:pPr>
        <w:pStyle w:val="ListBullet"/>
      </w:pPr>
      <w:r>
        <w:rPr>
          <w:rFonts w:ascii="微软雅黑" w:hAnsi="微软雅黑" w:eastAsia="微软雅黑" w:cs="微软雅黑"/>
        </w:rPr>
        <w:t>[26] Solarbe(光伏网)｜</w:t>
      </w:r>
      <w:hyperlink r:id="rId36">
        <w:r>
          <w:rPr>
            <w:rFonts w:ascii="微软雅黑" w:hAnsi="微软雅黑" w:eastAsia="微软雅黑" w:cs="微软雅黑"/>
            <w:color w:val="087E89"/>
          </w:rPr>
          <w:t>三部委印发内河新能源船舶行动方案：因地制宜建设“风光储充换”一体化设施</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news.solarbe.com/202610/14/50030333.html" TargetMode="External"/><Relationship Id="rId12" Type="http://schemas.openxmlformats.org/officeDocument/2006/relationships/hyperlink" Target="https://www.cpnn.com.cn/news/gj/202610/t20261014_1919959.html" TargetMode="External"/><Relationship Id="rId13" Type="http://schemas.openxmlformats.org/officeDocument/2006/relationships/hyperlink" Target="https://www.china5e.com/news/news-1210350-1.html" TargetMode="External"/><Relationship Id="rId14" Type="http://schemas.openxmlformats.org/officeDocument/2006/relationships/hyperlink" Target="https://www.news.cn/world/20261014/70bf917613964e46815862d33dc97c22/c.html" TargetMode="External"/><Relationship Id="rId15" Type="http://schemas.openxmlformats.org/officeDocument/2006/relationships/hyperlink" Target="https://ognnews.com/ArticleTA/487959/oil-prices-rise-as-hormuz-shipping-risks-offset-higher-opec-output" TargetMode="External"/><Relationship Id="rId16" Type="http://schemas.openxmlformats.org/officeDocument/2006/relationships/hyperlink" Target="http://www.ce.cn/cysc/newmain/yc/jsxw/202610/t20261014_3257087.shtml" TargetMode="External"/><Relationship Id="rId17" Type="http://schemas.openxmlformats.org/officeDocument/2006/relationships/hyperlink" Target="https://www.utilitydive.com/news/pjm-softbank-ohio-ai-flagship-state-agreement-approach/832962/" TargetMode="External"/><Relationship Id="rId18" Type="http://schemas.openxmlformats.org/officeDocument/2006/relationships/hyperlink" Target="https://www.worldoil.com/news/2026/10/14/kistos-acquires-10-stake-in-ringhorne-licenses-from-var-energi-for-12-9-million/" TargetMode="External"/><Relationship Id="rId19" Type="http://schemas.openxmlformats.org/officeDocument/2006/relationships/hyperlink" Target="https://www.gov.uk/government/speeches/carbon-capture-and-the-renewal-of-british-industry" TargetMode="External"/><Relationship Id="rId20" Type="http://schemas.openxmlformats.org/officeDocument/2006/relationships/hyperlink" Target="http://news.cnpc.com.cn/system/2026/10/14/030205010.shtml" TargetMode="External"/><Relationship Id="rId21" Type="http://schemas.openxmlformats.org/officeDocument/2006/relationships/hyperlink" Target="https://www.china5e.com/news/news-1210377-1.html" TargetMode="External"/><Relationship Id="rId22" Type="http://schemas.openxmlformats.org/officeDocument/2006/relationships/hyperlink" Target="https://www.china5e.com/news/news-1210384-1.html" TargetMode="External"/><Relationship Id="rId23" Type="http://schemas.openxmlformats.org/officeDocument/2006/relationships/hyperlink" Target="https://www.chnenergybidding.com.cn/bidweb/001/001002/001002001/20261014/654c39ac-192f-47d9-9045-a127ea306590.html" TargetMode="External"/><Relationship Id="rId24" Type="http://schemas.openxmlformats.org/officeDocument/2006/relationships/hyperlink" Target="https://www.southerncompany.com/newsroom/clean-energy/u-s--department-of-energy-funding-accelerates-world-first-molten-chloride-reactor-experiment.html" TargetMode="External"/><Relationship Id="rId25" Type="http://schemas.openxmlformats.org/officeDocument/2006/relationships/hyperlink" Target="https://www.inet.tsinghua.edu.cn/info/1287/3207.htm" TargetMode="External"/><Relationship Id="rId26" Type="http://schemas.openxmlformats.org/officeDocument/2006/relationships/hyperlink" Target="https://www.china5e.com/news/news-1210382-1.html" TargetMode="External"/><Relationship Id="rId27" Type="http://schemas.openxmlformats.org/officeDocument/2006/relationships/hyperlink" Target="https://www.china5e.com/news/news-1210369-1.html" TargetMode="External"/><Relationship Id="rId28" Type="http://schemas.openxmlformats.org/officeDocument/2006/relationships/hyperlink" Target="https://www.stcn.com/article/detail/4218511.html" TargetMode="External"/><Relationship Id="rId29" Type="http://schemas.openxmlformats.org/officeDocument/2006/relationships/hyperlink" Target="https://www.news.cn/world/20261014/d24ba2380bed4b18a455e920b4f43b4e/c.html" TargetMode="External"/><Relationship Id="rId30" Type="http://schemas.openxmlformats.org/officeDocument/2006/relationships/hyperlink" Target="https://www.aa.com.tr/en/energy/oil/yemen-s-houthi-rebels-threaten-further-attacks-on-saudi-airports-oil-facilities-/60242" TargetMode="External"/><Relationship Id="rId31" Type="http://schemas.openxmlformats.org/officeDocument/2006/relationships/hyperlink" Target="https://www.cpnn.com.cn/news/gj/202610/t20261014_1919822.html" TargetMode="External"/><Relationship Id="rId32" Type="http://schemas.openxmlformats.org/officeDocument/2006/relationships/hyperlink" Target="https://www.interfax.ru/business/1122385" TargetMode="External"/><Relationship Id="rId33" Type="http://schemas.openxmlformats.org/officeDocument/2006/relationships/hyperlink" Target="https://www.pv-magazine.com/2026/10/14/europes-second-energy-crisis-largely-skipped-the-solar-hours/" TargetMode="External"/><Relationship Id="rId34" Type="http://schemas.openxmlformats.org/officeDocument/2006/relationships/hyperlink" Target="https://news.cctv.com/2026/10/14/ARTIHPl5Ufdrtv3sb4B41yPc261014.shtml" TargetMode="External"/><Relationship Id="rId35" Type="http://schemas.openxmlformats.org/officeDocument/2006/relationships/hyperlink" Target="https://www.news.cn/world/20261014/dc132af8488d4104a3c5a616adb68bde/c.html" TargetMode="External"/><Relationship Id="rId36" Type="http://schemas.openxmlformats.org/officeDocument/2006/relationships/hyperlink" Target="https://news.solarbe.com/202610/14/500303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2026年10月14日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