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信息覆盖时段：2026-10-10 00:00 至 2026-10-11 00:00（不含），Asia/Shanghai。</w:t>
      </w:r>
    </w:p>
    <w:p>
      <w:pPr/>
      <w:r>
        <w:rPr>
          <w:rFonts w:ascii="微软雅黑" w:hAnsi="微软雅黑" w:eastAsia="微软雅黑" w:cs="微软雅黑"/>
        </w:rPr>
        <w:t>统计区间：2026-10-10 至 2026-10-11（结束日不含，北京时间）</w:t>
      </w:r>
    </w:p>
    <w:p>
      <w:pPr>
        <w:ind w:firstLine="420"/>
      </w:pPr>
      <w:r>
        <w:rPr>
          <w:rFonts w:ascii="微软雅黑" w:hAnsi="微软雅黑" w:eastAsia="微软雅黑" w:cs="微软雅黑"/>
        </w:rPr>
        <w:t>资料更新截止：2026-10-11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飓风逼近墨西哥湾美海域逾70%原油生产关停 </w:t>
      </w:r>
      <w:hyperlink w:anchor="source-1621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5805">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5964">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俄美元首通话一个半小时重点讨论乌克兰与能源议题 </w:t>
      </w:r>
      <w:hyperlink w:anchor="source-16444">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5981">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修订版碳排放权交易管理暂行条例正式公布 </w:t>
      </w:r>
      <w:hyperlink w:anchor="source-16420">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中央发布发展新质生产力意见，单列推进能源革命 </w:t>
      </w:r>
      <w:hyperlink w:anchor="source-16419">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中共中央国务院发布关于发展新质生产力的意见 </w:t>
      </w:r>
      <w:hyperlink w:anchor="source-16193">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6213">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5690">
        <w:r>
          <w:rPr>
            <w:rFonts w:ascii="微软雅黑" w:hAnsi="微软雅黑" w:eastAsia="微软雅黑" w:cs="微软雅黑"/>
            <w:color w:val="087E89"/>
          </w:rPr>
          <w:t>10</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雪佛龙帕斯卡古拉炼油厂日产能</w:t>
            </w:r>
          </w:p>
        </w:tc>
        <w:tc>
          <w:tcPr>
            <w:tcW w:type="dxa" w:w="2268"/>
          </w:tcPr>
          <w:p>
            <w:pPr>
              <w:spacing w:after="40"/>
            </w:pPr>
            <w:r>
              <w:rPr>
                <w:rFonts w:ascii="微软雅黑" w:hAnsi="微软雅黑" w:eastAsia="微软雅黑" w:cs="微软雅黑"/>
              </w:rPr>
              <w:t>375200桶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21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5805">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5964">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Vertex莫比尔炼油厂日产能</w:t>
            </w:r>
          </w:p>
        </w:tc>
        <w:tc>
          <w:tcPr>
            <w:tcW w:type="dxa" w:w="2268"/>
          </w:tcPr>
          <w:p>
            <w:pPr>
              <w:spacing w:after="40"/>
            </w:pPr>
            <w:r>
              <w:rPr>
                <w:rFonts w:ascii="微软雅黑" w:hAnsi="微软雅黑" w:eastAsia="微软雅黑" w:cs="微软雅黑"/>
              </w:rPr>
              <w:t>91200桶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21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5805">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5964">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俄对美及伙伴额外柴油供应（10月）</w:t>
            </w:r>
          </w:p>
        </w:tc>
        <w:tc>
          <w:tcPr>
            <w:tcW w:type="dxa" w:w="2268"/>
          </w:tcPr>
          <w:p>
            <w:pPr>
              <w:spacing w:after="40"/>
            </w:pPr>
            <w:r>
              <w:rPr>
                <w:rFonts w:ascii="微软雅黑" w:hAnsi="微软雅黑" w:eastAsia="微软雅黑" w:cs="微软雅黑"/>
              </w:rPr>
              <w:t>30万吨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444">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5981">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俄对美及伙伴额外柴油供应（11月）</w:t>
            </w:r>
          </w:p>
        </w:tc>
        <w:tc>
          <w:tcPr>
            <w:tcW w:type="dxa" w:w="2268"/>
          </w:tcPr>
          <w:p>
            <w:pPr>
              <w:spacing w:after="40"/>
            </w:pPr>
            <w:r>
              <w:rPr>
                <w:rFonts w:ascii="微软雅黑" w:hAnsi="微软雅黑" w:eastAsia="微软雅黑" w:cs="微软雅黑"/>
              </w:rPr>
              <w:t>50万吨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444">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5981">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俄对美及伙伴额外柴油供应（12月）</w:t>
            </w:r>
          </w:p>
        </w:tc>
        <w:tc>
          <w:tcPr>
            <w:tcW w:type="dxa" w:w="2268"/>
          </w:tcPr>
          <w:p>
            <w:pPr>
              <w:spacing w:after="40"/>
            </w:pPr>
            <w:r>
              <w:rPr>
                <w:rFonts w:ascii="微软雅黑" w:hAnsi="微软雅黑" w:eastAsia="微软雅黑" w:cs="微软雅黑"/>
              </w:rPr>
              <w:t>100万吨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6444">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5981">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2025年全球新建可再生能源发电项目中成本低于化石能源电站的比例</w:t>
            </w:r>
          </w:p>
        </w:tc>
        <w:tc>
          <w:tcPr>
            <w:tcW w:type="dxa" w:w="2268"/>
          </w:tcPr>
          <w:p>
            <w:pPr>
              <w:spacing w:after="40"/>
            </w:pPr>
            <w:r>
              <w:rPr>
                <w:rFonts w:ascii="微软雅黑" w:hAnsi="微软雅黑" w:eastAsia="微软雅黑" w:cs="微软雅黑"/>
              </w:rPr>
              <w:t>超九成</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16419">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广西售电行业2026年1—8月累计亏损</w:t>
            </w:r>
          </w:p>
        </w:tc>
        <w:tc>
          <w:tcPr>
            <w:tcW w:type="dxa" w:w="2268"/>
          </w:tcPr>
          <w:p>
            <w:pPr>
              <w:spacing w:after="40"/>
            </w:pPr>
            <w:r>
              <w:rPr>
                <w:rFonts w:ascii="微软雅黑" w:hAnsi="微软雅黑" w:eastAsia="微软雅黑" w:cs="微软雅黑"/>
              </w:rPr>
              <w:t>超20亿元</w:t>
            </w:r>
          </w:p>
        </w:tc>
        <w:tc>
          <w:tcPr>
            <w:tcW w:type="dxa" w:w="2268"/>
          </w:tcPr>
          <w:p>
            <w:pPr>
              <w:spacing w:after="40"/>
            </w:pPr>
            <w:r>
              <w:rPr>
                <w:rFonts w:ascii="微软雅黑" w:hAnsi="微软雅黑" w:eastAsia="微软雅黑" w:cs="微软雅黑"/>
              </w:rPr>
              <w:t>2026年1—8月</w:t>
            </w:r>
          </w:p>
        </w:tc>
        <w:tc>
          <w:tcPr>
            <w:tcW w:type="dxa" w:w="2268"/>
          </w:tcPr>
          <w:p>
            <w:pPr>
              <w:spacing w:after="40"/>
            </w:pPr>
            <w:r>
              <w:rPr>
                <w:rFonts w:ascii="微软雅黑" w:hAnsi="微软雅黑" w:eastAsia="微软雅黑" w:cs="微软雅黑"/>
              </w:rPr>
            </w:r>
            <w:hyperlink w:anchor="source-15974">
              <w:r>
                <w:rPr>
                  <w:rFonts w:ascii="微软雅黑" w:hAnsi="微软雅黑" w:eastAsia="微软雅黑" w:cs="微软雅黑"/>
                  <w:color w:val="087E89"/>
                </w:rPr>
                <w:t>12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广西售电行业2026年9月单月预计亏损</w:t>
            </w:r>
          </w:p>
        </w:tc>
        <w:tc>
          <w:tcPr>
            <w:tcW w:type="dxa" w:w="2268"/>
          </w:tcPr>
          <w:p>
            <w:pPr>
              <w:spacing w:after="40"/>
            </w:pPr>
            <w:r>
              <w:rPr>
                <w:rFonts w:ascii="微软雅黑" w:hAnsi="微软雅黑" w:eastAsia="微软雅黑" w:cs="微软雅黑"/>
              </w:rPr>
              <w:t>超10亿元</w:t>
            </w:r>
          </w:p>
        </w:tc>
        <w:tc>
          <w:tcPr>
            <w:tcW w:type="dxa" w:w="2268"/>
          </w:tcPr>
          <w:p>
            <w:pPr>
              <w:spacing w:after="40"/>
            </w:pPr>
            <w:r>
              <w:rPr>
                <w:rFonts w:ascii="微软雅黑" w:hAnsi="微软雅黑" w:eastAsia="微软雅黑" w:cs="微软雅黑"/>
              </w:rPr>
              <w:t>2026年9月</w:t>
            </w:r>
          </w:p>
        </w:tc>
        <w:tc>
          <w:tcPr>
            <w:tcW w:type="dxa" w:w="2268"/>
          </w:tcPr>
          <w:p>
            <w:pPr>
              <w:spacing w:after="40"/>
            </w:pPr>
            <w:r>
              <w:rPr>
                <w:rFonts w:ascii="微软雅黑" w:hAnsi="微软雅黑" w:eastAsia="微软雅黑" w:cs="微软雅黑"/>
              </w:rPr>
            </w:r>
            <w:hyperlink w:anchor="source-15974">
              <w:r>
                <w:rPr>
                  <w:rFonts w:ascii="微软雅黑" w:hAnsi="微软雅黑" w:eastAsia="微软雅黑" w:cs="微软雅黑"/>
                  <w:color w:val="087E89"/>
                </w:rPr>
                <w:t>12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中国海洋原油增量在全国原油总增量中的占比</w:t>
            </w:r>
          </w:p>
        </w:tc>
        <w:tc>
          <w:tcPr>
            <w:tcW w:type="dxa" w:w="2268"/>
          </w:tcPr>
          <w:p>
            <w:pPr>
              <w:spacing w:after="40"/>
            </w:pPr>
            <w:r>
              <w:rPr>
                <w:rFonts w:ascii="微软雅黑" w:hAnsi="微软雅黑" w:eastAsia="微软雅黑" w:cs="微软雅黑"/>
              </w:rPr>
              <w:t>近七成</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5759">
              <w:r>
                <w:rPr>
                  <w:rFonts w:ascii="微软雅黑" w:hAnsi="微软雅黑" w:eastAsia="微软雅黑" w:cs="微软雅黑"/>
                  <w:color w:val="087E89"/>
                </w:rPr>
                <w:t>15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中国海上风电发电量</w:t>
            </w:r>
          </w:p>
        </w:tc>
        <w:tc>
          <w:tcPr>
            <w:tcW w:type="dxa" w:w="2268"/>
          </w:tcPr>
          <w:p>
            <w:pPr>
              <w:spacing w:after="40"/>
            </w:pPr>
            <w:r>
              <w:rPr>
                <w:rFonts w:ascii="微软雅黑" w:hAnsi="微软雅黑" w:eastAsia="微软雅黑" w:cs="微软雅黑"/>
              </w:rPr>
              <w:t>超1000亿千瓦时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5759">
              <w:r>
                <w:rPr>
                  <w:rFonts w:ascii="微软雅黑" w:hAnsi="微软雅黑" w:eastAsia="微软雅黑" w:cs="微软雅黑"/>
                  <w:color w:val="087E89"/>
                </w:rPr>
                <w:t>15</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俄美元首通话一个半小时重点讨论乌克兰与能源议题</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10月9日俄美元首通话一个半小时，重点讨论乌克兰局势。普京指乌方在杜马选举主要投票日对俄城市及投票站发动大规模无人机袭击，破坏立即恢复谈判的可能性，但重申仍致力于政治外交途径实现持久和平。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普京重申俄方仍致力于通过政治外交途径实现长期持久和平。普京9日通过总统官网声明，确认俄罗斯将向美国和全球市场提供石油和石油产品。俄副总理诺瓦克表示，俄将提前解除柴油出口限制，最早10月向美国及其他伙伴额外提供30万吨柴油，11月增至50万吨，12月增至100万吨，并保障国内燃料供应。在伊朗问题上，普京表示外交解决可能性尚未穷尽，关于将伊朗高浓缩铀运往俄罗斯的建议仍然有效，特朗普对此表示欢迎。特朗普此前在哥伦布日纪念活动上表示，美国对伊朗港口的封锁仍在严格执行，并承诺将在不久后就柴油价格问题作出重要表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俄方确认将向美及全球市场提供石油并提前解除柴油出口限制，按月递增额外供应量，若如期执行将增加国际市场柴油供应。</w:t>
      </w:r>
    </w:p>
    <w:p>
      <w:pPr>
        <w:ind w:firstLine="420"/>
      </w:pPr>
      <w:r>
        <w:rPr>
          <w:rFonts w:ascii="微软雅黑" w:hAnsi="微软雅黑" w:eastAsia="微软雅黑" w:cs="微软雅黑"/>
        </w:rPr>
        <w:t>来源：</w:t>
      </w:r>
      <w:hyperlink w:anchor="source-16444">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5981">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2. 英国10月8日宣布对俄新一轮制裁聚焦能源贸易与跨境金融</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当地时间10月8日，英国政府发布公告，推出新一轮对俄罗斯制裁措施，聚焦能源贸易、跨境金融及军工供应链等领域，共新增数十个相关个人与实体。</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在能源领域，英国重点针对俄罗斯石油产业及违规航运船队实施制裁，进一步压缩俄能源外贸渠道。金融层面，英国此次制裁瞄准协助俄方绕开国际金融限制的跨境支付及加密货币相关主体，旨在斩断俄方隐秘资金流通网络。英国将多家参与对俄军民两用物资贸易的机构及个人纳入制裁范围，打击通过第三方渠道向俄罗斯输送军工生产关键设备、元器件的供应链。截至目前，俄罗斯官方尚未对英国本轮新增制裁作出公开回应。</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英国制裁直接针对俄罗斯石油产业及违规航运船队，意在进一步压缩俄能源外贸渠道，同时打击跨境支付与加密货币相关主体以切断俄方绕开金融限制的资金流通网络。</w:t>
      </w:r>
    </w:p>
    <w:p>
      <w:pPr>
        <w:ind w:firstLine="420"/>
      </w:pPr>
      <w:r>
        <w:rPr>
          <w:rFonts w:ascii="微软雅黑" w:hAnsi="微软雅黑" w:eastAsia="微软雅黑" w:cs="微软雅黑"/>
        </w:rPr>
        <w:t>来源：</w:t>
      </w:r>
      <w:hyperlink w:anchor="source-16278">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3. 飓风逼近墨西哥湾美海域逾70%原油生产关停</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飓风伊萨亚斯逼近墨西哥湾北部，石油公司暂停美国海域逾70%的原油生产。截至周四约130万桶/日原油产量被关闭，占总产量的六成以上，壳牌、雪佛龙削减作业，bp撤走全部人员并关闭关键平台生产。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受伊赛亚斯路径影响，雪佛龙帕斯卡古拉炼油厂（日产能375200桶）与Vertex莫比尔炼油厂（日产能91200桶）面临运营风险，后续主要风险为断电和洪水。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市场供应担忧推动油价上行，周四油价单日大涨逾4%。</w:t>
      </w:r>
    </w:p>
    <w:p>
      <w:pPr>
        <w:ind w:firstLine="420"/>
      </w:pPr>
      <w:r>
        <w:rPr>
          <w:rFonts w:ascii="微软雅黑" w:hAnsi="微软雅黑" w:eastAsia="微软雅黑" w:cs="微软雅黑"/>
        </w:rPr>
        <w:t>来源：</w:t>
      </w:r>
      <w:hyperlink w:anchor="source-1621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5805">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5964">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4. 俄美总统通话确认俄向美及全球供应石油</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俄罗斯总统普京与美国总统特朗普于10月9日通电话。克里姆林宫声明称，俄方在讨论全球能源形势时确认准备向美国及全球市场供应石油和石油产品，普京认为此举将对全球经济产生积极影响。</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双方通话重点讨论乌克兰危机解决前景，并就伊朗局势及双边关系交换意见。俄方确认将向美国和全球市场提供石油和石油产品。双方商定继续保持元首个人联系，并在总统行政部门、情报部门及其他机构层面开展合作。俄总统特别代表德米特里耶夫在社交媒体表示，俄美将继续开展能源和经济合作，并将惠及全球市场。</w:t>
      </w:r>
    </w:p>
    <w:p>
      <w:pPr>
        <w:ind w:firstLine="420"/>
      </w:pPr>
      <w:r>
        <w:rPr>
          <w:rFonts w:ascii="微软雅黑" w:hAnsi="微软雅黑" w:eastAsia="微软雅黑" w:cs="微软雅黑"/>
        </w:rPr>
        <w:t>来源：</w:t>
      </w:r>
      <w:hyperlink w:anchor="source-15498">
        <w:r>
          <w:rPr>
            <w:rFonts w:ascii="微软雅黑" w:hAnsi="微软雅黑" w:eastAsia="微软雅黑" w:cs="微软雅黑"/>
            <w:color w:val="087E89"/>
          </w:rPr>
          <w:t>21</w:t>
        </w:r>
      </w:hyperlink>
      <w:r>
        <w:rPr>
          <w:rFonts w:ascii="微软雅黑" w:hAnsi="微软雅黑" w:eastAsia="微软雅黑" w:cs="微软雅黑"/>
        </w:rPr>
        <w:t xml:space="preserve"> </w:t>
      </w:r>
      <w:hyperlink w:anchor="source-15539">
        <w:r>
          <w:rPr>
            <w:rFonts w:ascii="微软雅黑" w:hAnsi="微软雅黑" w:eastAsia="微软雅黑" w:cs="微软雅黑"/>
            <w:color w:val="087E89"/>
          </w:rPr>
          <w:t>22</w:t>
        </w:r>
      </w:hyperlink>
      <w:r>
        <w:rPr>
          <w:rFonts w:ascii="微软雅黑" w:hAnsi="微软雅黑" w:eastAsia="微软雅黑" w:cs="微软雅黑"/>
        </w:rPr>
        <w:t xml:space="preserve"> </w:t>
      </w:r>
      <w:hyperlink w:anchor="source-15919">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15551">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5. 欧洲天然气储气率降至2011年以来同期最低</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报道援引分析师观点指出，受高气价促使贸易商夏季售气而非注库影响，欧盟天然气储气率已降至略高于70%，为2011年以来同期最低水平，引发市场对今冬供气紧张的担忧。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欧洲输气系统运营商组织（ENTSOG）预测，若各国希望冬季末储气率维持于30%，需将天然气供应削减或限制约相当于总需求7%的规模。这与IEEFA对需求削减幅度的估算相吻合。</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储气率偏低叠加供应限制需求，可能推高欧洲冬季天然气价格，并增加政府介入市场的压力。</w:t>
      </w:r>
    </w:p>
    <w:p>
      <w:pPr>
        <w:ind w:firstLine="420"/>
      </w:pPr>
      <w:r>
        <w:rPr>
          <w:rFonts w:ascii="微软雅黑" w:hAnsi="微软雅黑" w:eastAsia="微软雅黑" w:cs="微软雅黑"/>
        </w:rPr>
        <w:t>来源：</w:t>
      </w:r>
      <w:hyperlink w:anchor="source-15394">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6. 印度电煤供应回升但近半电厂库存告急</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印度煤炭部数据显示，10月迄今火电厂日均煤炭供应量较上月提升9%，库存消耗速度放缓；但近一半电厂库存仍处危急级别，补库工作尚未启动。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电厂库存日均减少11.6万吨，较9月的24.3万吨有所改善。10月7日监测的约190家电厂中，约一半库存低于需求量的四分之一。若每日稳定发运465至475列铁路煤炭专列，将有助于供应企稳并在节日季与冬季前完成补库。用电峰值需求预计将在10月中旬回落。</w:t>
      </w:r>
    </w:p>
    <w:p>
      <w:pPr>
        <w:ind w:firstLine="420"/>
      </w:pPr>
      <w:r>
        <w:rPr>
          <w:rFonts w:ascii="微软雅黑" w:hAnsi="微软雅黑" w:eastAsia="微软雅黑" w:cs="微软雅黑"/>
        </w:rPr>
        <w:t>来源：</w:t>
      </w:r>
      <w:hyperlink w:anchor="source-16330">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7. 中共中央、国务院发布意见有序发展先进核裂变能</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中共中央、国务院10月9日印发《关于发展新质生产力的意见》，聚焦碳达峰碳中和目标，明确提出有序发展先进核裂变能，并构建高比例可再生能源电力系统。</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意见围绕发展新质生产力作出部署，在能源领域强调以碳达峰碳中和目标为引领，明确有序发展先进核裂变能，并推动构建高比例可再生能源电力系统。文件由中共中央、国务院于10月9日联合印发，定位为面向新质生产力发展的指导性意见。</w:t>
      </w:r>
    </w:p>
    <w:p>
      <w:pPr>
        <w:ind w:firstLine="420"/>
      </w:pPr>
      <w:r>
        <w:rPr>
          <w:rFonts w:ascii="微软雅黑" w:hAnsi="微软雅黑" w:eastAsia="微软雅黑" w:cs="微软雅黑"/>
        </w:rPr>
        <w:t>来源：</w:t>
      </w:r>
      <w:hyperlink w:anchor="source-15547">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8. 8月南方区域用电负荷创新高 全域中长期交易按自然日连续开市</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8月南方区域迎峰度夏电力保供进入关键期，最高负荷达2.82亿千瓦，年内第六次创历史新高。自9月1日起，广州电力交易中心联合五省区交易中心实现全域中长期交易按自然日连续开市。</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8月全网日前市场加权均价0.355元/千瓦时，实时市场加权均价0.36元/千瓦时，环比分别上涨19.9%、20.4%。受汛期来水偏枯、水电出力下降影响，贵州、广西、云南日前均价环比涨幅均超过三成。8月批发市场用户侧中长期签约电量占比达84.5%，中长期合约均价0.3257元/千瓦时，环比下降3.1%；批发市场用户侧整体结算均价0.3158元/千瓦时，环比仅上涨0.5%。8月跨省区总结算电量287.7亿千瓦时，与7月基本持平，现货偏差电量占比降至5.2%。8月五省区零售用户平均结算价格0.314元/千瓦时，环比上涨1.4%；云南零售均价0.1305元/千瓦时，环比上涨7.9%，仍处于五省区最低水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汛期来水偏枯导致西部水电出力下降，推动贵州、广西、云南日前市场价格明显回升；中长期合约价格环比下降与结算均价涨幅有限，反映中长期连续开市机制有助于稳定用户侧价格预期。</w:t>
      </w:r>
    </w:p>
    <w:p>
      <w:pPr>
        <w:ind w:firstLine="420"/>
      </w:pPr>
      <w:r>
        <w:rPr>
          <w:rFonts w:ascii="微软雅黑" w:hAnsi="微软雅黑" w:eastAsia="微软雅黑" w:cs="微软雅黑"/>
        </w:rPr>
        <w:t>来源：</w:t>
      </w:r>
      <w:hyperlink w:anchor="source-16071">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9. 澳大利亚Waratah超级电池获准在国家电力市场自由交易</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澳大利亚能源监管局批准修改Waratah超级电池的SIPS合同，使其得以在国家电力市场自由交易。该电池规模为850兆瓦、1680兆瓦时，为澳大利亚电网已连接的最强大机组。</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监管局此次批准对SIPS合同作出修改，赋予该电池在国家电力市场自由交易的资格。Waratah超级电池是澳大利亚电网已连接的最强大机组，规模为850兆瓦、1680兆瓦时。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合同性质由系统集成保护服务（SIPS）转向市场化自由交易，可能改变该机组在系统保护与能量市场之间的角色定位。</w:t>
      </w:r>
    </w:p>
    <w:p>
      <w:pPr>
        <w:ind w:firstLine="420"/>
      </w:pPr>
      <w:r>
        <w:rPr>
          <w:rFonts w:ascii="微软雅黑" w:hAnsi="微软雅黑" w:eastAsia="微软雅黑" w:cs="微软雅黑"/>
        </w:rPr>
        <w:t>来源：</w:t>
      </w:r>
      <w:hyperlink w:anchor="source-15864">
        <w:r>
          <w:rPr>
            <w:rFonts w:ascii="微软雅黑" w:hAnsi="微软雅黑" w:eastAsia="微软雅黑" w:cs="微软雅黑"/>
            <w:color w:val="087E89"/>
          </w:rPr>
          <w:t>28</w:t>
        </w:r>
      </w:hyperlink>
      <w:r>
        <w:rPr>
          <w:rFonts w:ascii="微软雅黑" w:hAnsi="微软雅黑" w:eastAsia="微软雅黑" w:cs="微软雅黑"/>
        </w:rPr>
      </w:r>
    </w:p>
    <w:p>
      <w:pPr>
        <w:pStyle w:val="Heading3"/>
      </w:pPr>
      <w:r>
        <w:rPr>
          <w:rFonts w:ascii="微软雅黑" w:hAnsi="微软雅黑" w:eastAsia="微软雅黑" w:cs="微软雅黑"/>
        </w:rPr>
        <w:t>10. 北苏门答腊巴当托鲁水电站水库开始蓄水</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北苏门答腊巴当托鲁水电站水库开始蓄水。该水电站上游连接多巴湖，被认为在厄尔尼诺条件下供水较其他水电站更为充足稳定。蓄水后将进入为期两周的全设施测试，再并入PLN电网并颁发运行合格证。</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能源矿产部表示，蓄水完成后将进行为期两周的全设施测试，通过后并入PLN电网并颁发运行合格证。当前苏北电网仍依赖来自苏南的跨网输送补充电力供应。</w:t>
      </w:r>
    </w:p>
    <w:p>
      <w:pPr>
        <w:ind w:firstLine="420"/>
      </w:pPr>
      <w:r>
        <w:rPr>
          <w:rFonts w:ascii="微软雅黑" w:hAnsi="微软雅黑" w:eastAsia="微软雅黑" w:cs="微软雅黑"/>
        </w:rPr>
        <w:t>来源：</w:t>
      </w:r>
      <w:hyperlink w:anchor="source-15548">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11. 奥地利第三轮EAG光伏与储能补贴申请开放十分钟激增</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奥地利今年第三轮也是最后一轮EAG光伏与储能补贴申请窗口开放，初步数据显示OeMAG运营的补贴门户在开放10分钟内即发出约43,300份申请号，显著高于夏季第二轮的24,900份。</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改革方案拟改为全年接受申请，申请人随最终发票一并提交补贴请求，计划2027年生效；新方案拟以储能奖励取代常规投资补贴，并将智能能源管理系统设为强制配套要求。新装光伏配套储能逆变器须为欧洲制造，既有光伏加装储能可继续申领“欧洲制造”附加奖励，相关立法修订需议会三分之二多数通过。</w:t>
      </w:r>
    </w:p>
    <w:p>
      <w:pPr>
        <w:ind w:firstLine="420"/>
      </w:pPr>
      <w:r>
        <w:rPr>
          <w:rFonts w:ascii="微软雅黑" w:hAnsi="微软雅黑" w:eastAsia="微软雅黑" w:cs="微软雅黑"/>
        </w:rPr>
        <w:t>来源：</w:t>
      </w:r>
      <w:hyperlink w:anchor="source-16217">
        <w:r>
          <w:rPr>
            <w:rFonts w:ascii="微软雅黑" w:hAnsi="微软雅黑" w:eastAsia="微软雅黑" w:cs="微软雅黑"/>
            <w:color w:val="087E89"/>
          </w:rPr>
          <w:t>27</w:t>
        </w:r>
      </w:hyperlink>
      <w:r>
        <w:rPr>
          <w:rFonts w:ascii="微软雅黑" w:hAnsi="微软雅黑" w:eastAsia="微软雅黑" w:cs="微软雅黑"/>
        </w:rPr>
      </w:r>
    </w:p>
    <w:p>
      <w:pPr>
        <w:pStyle w:val="Heading3"/>
      </w:pPr>
      <w:r>
        <w:rPr>
          <w:rFonts w:ascii="微软雅黑" w:hAnsi="微软雅黑" w:eastAsia="微软雅黑" w:cs="微软雅黑"/>
        </w:rPr>
        <w:t>12. 中央发布发展新质生产力意见，单列推进能源革命</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中共中央、国务院印发《关于发展新质生产力的意见》，将“积极推进能源革命”作为第十三条单列。</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意见强调“先立后破”原则，让新增用能需求优先由清洁能源承担，并守住能源安全这一“国之大者”。同日相关报道援引数据指出，2025年全球超九成新建可再生能源发电项目成本已低于化石能源电站。</w:t>
      </w:r>
    </w:p>
    <w:p>
      <w:pPr>
        <w:ind w:firstLine="420"/>
      </w:pPr>
      <w:r>
        <w:rPr>
          <w:rFonts w:ascii="微软雅黑" w:hAnsi="微软雅黑" w:eastAsia="微软雅黑" w:cs="微软雅黑"/>
        </w:rPr>
        <w:t>来源：</w:t>
      </w:r>
      <w:hyperlink w:anchor="source-16419">
        <w:r>
          <w:rPr>
            <w:rFonts w:ascii="微软雅黑" w:hAnsi="微软雅黑" w:eastAsia="微软雅黑" w:cs="微软雅黑"/>
            <w:color w:val="087E89"/>
          </w:rPr>
          <w:t>7</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中共中央国务院发布关于发展新质生产力的意见</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中共中央、国务院印发《关于发展新质生产力的意见》，围绕科技创新、产业创新、发展方式创新、体制机制创新和人才工作机制创新作出系统部署，明确做强绿色制造业、壮大绿色能源产业。</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文件要求聚焦碳达峰碳中和目标，有序发展先进核裂变能，构建高比例可再生能源电力系统，完善新能源消纳和调控政策措施，推动能源消费、供给、技术、体制革命。提出加快新一代信息技术、新能源、新材料、智能网联新能源汽车、机器人、生物医药、高端装备、航空航天等战略性新兴产业发展，前瞻布局量子科技、生物制造、氢能和核聚变能、脑机接口、具身智能、第六代移动通信等未来产业。全面实施碳排放总量和强度双控制度，扩大全国碳排放权交易市场覆盖范围，加快温室气体自愿减排交易市场建设，完善全国统一绿证市场。由中央财办、国家发展改革委牵头做好理论研究、战略规划、跨区域跨部门协调和跟踪监测评估。</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意见将绿色能源产业、零碳工厂和园区建设以及全国碳市场扩容列为重点方向，为新能源消纳和电力系统调节提供顶层政策依据。</w:t>
      </w:r>
    </w:p>
    <w:p>
      <w:pPr>
        <w:ind w:firstLine="420"/>
      </w:pPr>
      <w:r>
        <w:rPr>
          <w:rFonts w:ascii="微软雅黑" w:hAnsi="微软雅黑" w:eastAsia="微软雅黑" w:cs="微软雅黑"/>
        </w:rPr>
        <w:t>来源：</w:t>
      </w:r>
      <w:hyperlink w:anchor="source-16193">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6213">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5690">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14. 中国海洋原油增量占全国近七成，海上风电年发电量破千亿千瓦时</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据相关报道，中国海洋原油增产量在全国原油总增量中占比近七成，海上风电发电量已超过1000亿千瓦时，反映海上油气与海上风电两大领域继续作为能源增量的重要来源。</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来源指出，海洋原油增产量已占全国原油总增量近七成；同期海上风电累计发电量超过1000亿千瓦时。报道未披露具体的统计口径、年度起止时点及对应的具体数值单位。</w:t>
      </w:r>
    </w:p>
    <w:p>
      <w:pPr>
        <w:ind w:firstLine="420"/>
      </w:pPr>
      <w:r>
        <w:rPr>
          <w:rFonts w:ascii="微软雅黑" w:hAnsi="微软雅黑" w:eastAsia="微软雅黑" w:cs="微软雅黑"/>
        </w:rPr>
        <w:t>来源：</w:t>
      </w:r>
      <w:hyperlink w:anchor="source-15759">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15. 塔里木盆地天然气深度处理工程投产累计处理560亿立方米</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塔里木油田位于新疆轮台县的天然气深度处理工程投产以来已累计处理天然气560亿立方米，并产出乙烷、轻烃和液化气。塔里木能源公司单套处理规模位居国内油气田前列，核心设备已实现国产化。</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塔里木能源公司位于新疆轮台县，年处理天然气能力达250亿立方米，轮南天然气深度处理工程是我国油气田单套处理规模最大的天然气深度处理工程之一。工程投产以来累计处理天然气560亿立方米，生产乙烷408万吨、轻烃和液化气280万吨。丙烷制冷机、压缩机、高速再生气压缩机等核心设备全部实现国产化替代。</w:t>
      </w:r>
    </w:p>
    <w:p>
      <w:pPr>
        <w:ind w:firstLine="420"/>
      </w:pPr>
      <w:r>
        <w:rPr>
          <w:rFonts w:ascii="微软雅黑" w:hAnsi="微软雅黑" w:eastAsia="微软雅黑" w:cs="微软雅黑"/>
        </w:rPr>
        <w:t>来源：</w:t>
      </w:r>
      <w:hyperlink w:anchor="source-16111">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16. 大唐核电公司获15.7亿元增资，增资后股权比例不变</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大唐发电、大唐集团、大唐核电公司签署增资协议，合计向大唐核电公司增资15.7亿元，用于核电项目设备采购及前期费用。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大唐发电与大唐集团、大唐核电公司签署增资协议。大唐集团按60%持股比例出资9.42亿元，大唐发电按40%出资6.28亿元，均以自有资金现金出资。增资资金用于徐大堡核电、宁德核电二期、庄河核电一期设备采购与施工准备，以及阳西核电前期费用。本次增资构成关联交易，但未构成重大资产重组；增资后大唐集团、大唐发电对大唐核电公司的持股比例保持不变。截至今年6月末，大唐核电公司资产总额46.98亿元，资产负债率0.02%；上半年营业收入509.43万元，净利润4.11万元。</w:t>
      </w:r>
    </w:p>
    <w:p>
      <w:pPr>
        <w:ind w:firstLine="420"/>
      </w:pPr>
      <w:r>
        <w:rPr>
          <w:rFonts w:ascii="微软雅黑" w:hAnsi="微软雅黑" w:eastAsia="微软雅黑" w:cs="微软雅黑"/>
        </w:rPr>
        <w:t>来源：</w:t>
      </w:r>
      <w:hyperlink w:anchor="source-16186">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17. 广西9家央企售电公司联名递交紧急风险请示</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2026年9月30日，9家央企下属售电公司联名向有关部门递交《关于请求采取紧急措施防范广西电力市场系统性风险的请示》，反映广西售电行业严重亏损情况。</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请示指出，2026年1—8月广西售电行业累计亏损超20亿元，9月单月预计亏损超10亿元，全年亏损或突破50亿元。请示文件提出四项措施：一是暂缓9月售电侧电费结算并启动熔断；二是启动9—12月批零电价传导；三是执行年度方案机制电量结算；四是支持零售合同有序解约。</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央企售电公司集中发出系统性风险预警，反映广西电力批零价差与零售合同执行之间存在结构性矛盾，相关熔断与电价传导机制是否启动有待后续确认。</w:t>
      </w:r>
    </w:p>
    <w:p>
      <w:pPr>
        <w:ind w:firstLine="420"/>
      </w:pPr>
      <w:r>
        <w:rPr>
          <w:rFonts w:ascii="微软雅黑" w:hAnsi="微软雅黑" w:eastAsia="微软雅黑" w:cs="微软雅黑"/>
        </w:rPr>
        <w:t>来源：</w:t>
      </w:r>
      <w:hyperlink w:anchor="source-15974">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18. 修订版碳排放权交易管理暂行条例正式公布</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修订版碳排放权交易管理暂行条例公布，明确不再新建地方碳排放权交易市场，重点排放单位不再参与相同温室气体种类和行业的地方碳排放权交易，并规定未按期清缴配额的罚则。</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条例规定，碳排放配额实行免费分配，并根据国家有关要求逐步推行免费和有偿相结合的分配方式。重点排放单位未按期足额清缴碳排放配额的，处100万至500万元罚款；逾期未清缴的，按未清缴配额清缴时限前1个月市场交易平均成交价5至10倍罚款，可责令停产整治。条例同时明确，重点排放单位消费非化石能源电力的，按照国家有关规定对其碳排放配额和温室气体排放量予以相应调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条例统一全国碳交易制度，抑制地方市场重复建设；罚则提高合规压力，引导控排主体加大非化石能源消费与减排投入。</w:t>
      </w:r>
    </w:p>
    <w:p>
      <w:pPr>
        <w:ind w:firstLine="420"/>
      </w:pPr>
      <w:r>
        <w:rPr>
          <w:rFonts w:ascii="微软雅黑" w:hAnsi="微软雅黑" w:eastAsia="微软雅黑" w:cs="微软雅黑"/>
        </w:rPr>
        <w:t>来源：</w:t>
      </w:r>
      <w:hyperlink w:anchor="source-16420">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19. 美丽四川建设十五五规划出台 明确碳达峰任务</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四川省人民政府印发《美丽四川建设“十五五”规划》，确立2030、2035两阶段目标，统筹降碳、减污、扩绿、增长，明确碳达峰与碳市场、零碳工厂园区等任务。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文号为川府发〔2026〕20号，对标美丽中国建设“十五五”规划，目标是建设美丽中国先行区。规划布局污染治理、绿色低碳转型、生态安全屏障建设、环境治理能力现代化五大板块，并明确推进碳市场、碳足迹、零碳工厂园区、水风光清洁能源基地、生态碳汇核算、生态产品价值实现等重点工作。</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为四川省碳达峰与绿色低碳转型提供政策框架，将带动清洁能源基地、生态产品价值实现等相关领域投入。</w:t>
      </w:r>
    </w:p>
    <w:p>
      <w:pPr>
        <w:ind w:firstLine="420"/>
      </w:pPr>
      <w:r>
        <w:rPr>
          <w:rFonts w:ascii="微软雅黑" w:hAnsi="微软雅黑" w:eastAsia="微软雅黑" w:cs="微软雅黑"/>
        </w:rPr>
        <w:t>来源：</w:t>
      </w:r>
      <w:hyperlink w:anchor="source-16422">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20. 广东惠州中洞抽水蓄能电站首台机组转子完成吊装</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广东惠州中洞抽水蓄能电站首台机组转子10月8日完成吊装，机组正式进入总装阶段。该项目是国家抽水蓄能中长期发展规划及“十四五”革命老区基础设施建设重点项目。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电站共安装3台400兆瓦抽水蓄能机组，包括1台变速和2台定速机组，其中400兆瓦变速抽水蓄能机组为世界单机容量最大。本次吊装的是1号机组（定速）转子，总吊装重量520吨，采用2台桥机并车作业，于10月8日17时平稳吊装至机坑预定位置，机组正式进入总装阶段。</w:t>
      </w:r>
    </w:p>
    <w:p>
      <w:pPr>
        <w:ind w:firstLine="420"/>
      </w:pPr>
      <w:r>
        <w:rPr>
          <w:rFonts w:ascii="微软雅黑" w:hAnsi="微软雅黑" w:eastAsia="微软雅黑" w:cs="微软雅黑"/>
        </w:rPr>
        <w:t>来源：</w:t>
      </w:r>
      <w:hyperlink w:anchor="source-15756">
        <w:r>
          <w:rPr>
            <w:rFonts w:ascii="微软雅黑" w:hAnsi="微软雅黑" w:eastAsia="微软雅黑" w:cs="微软雅黑"/>
            <w:color w:val="087E89"/>
          </w:rPr>
          <w:t>20</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炼油厂是否因断电和洪水而中断生产有待观察。 </w:t>
      </w:r>
      <w:hyperlink w:anchor="source-1621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5805">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5964">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俄方10月起逐月增加的额外柴油供应量能否如期兑现；普京关于将伊朗高浓缩铀运俄的建议的后续落实；特朗普承诺的柴油价格相关表态。 </w:t>
      </w:r>
      <w:hyperlink w:anchor="source-16444">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5981">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后续配套实施细则及与全国碳市场扩围至钢铁、水泥、铝冶炼行业的衔接安排。 </w:t>
      </w:r>
      <w:hyperlink w:anchor="source-16420">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意见后续配套实施细则，以及各部门、各地方落实“先立后破”与能源安全要求的具体路径。 </w:t>
      </w:r>
      <w:hyperlink w:anchor="source-16419">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碳排放总量和强度双控具体指标、全国碳排放权交易市场扩容节奏以及有序发展先进核裂变能的实施路径有待后续配套文件明确。 </w:t>
      </w:r>
      <w:hyperlink w:anchor="source-16193">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6213">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5690">
        <w:r>
          <w:rPr>
            <w:rFonts w:ascii="微软雅黑" w:hAnsi="微软雅黑" w:eastAsia="微软雅黑" w:cs="微软雅黑"/>
            <w:color w:val="087E89"/>
          </w:rPr>
          <w:t>10</w:t>
        </w:r>
      </w:hyperlink>
      <w:r>
        <w:rPr>
          <w:rFonts w:ascii="微软雅黑" w:hAnsi="微软雅黑" w:eastAsia="微软雅黑" w:cs="微软雅黑"/>
        </w:rPr>
      </w:r>
    </w:p>
    <w:p>
      <w:pPr>
        <w:pStyle w:val="ListBullet"/>
      </w:pPr>
      <w:r>
        <w:rPr>
          <w:rFonts w:ascii="微软雅黑" w:hAnsi="微软雅黑" w:eastAsia="微软雅黑" w:cs="微软雅黑"/>
        </w:rPr>
        <w:t xml:space="preserve">西部水电出力恢复情况及汛后来水形势对西部省份日前市场价格的边际影响。 </w:t>
      </w:r>
      <w:hyperlink w:anchor="source-16071">
        <w:r>
          <w:rPr>
            <w:rFonts w:ascii="微软雅黑" w:hAnsi="微软雅黑" w:eastAsia="微软雅黑" w:cs="微软雅黑"/>
            <w:color w:val="087E89"/>
          </w:rPr>
          <w:t>11</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386 篇文章，形成 291 篇有效能源材料；正文引用 28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10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16215"/>
      <w:bookmarkEnd w:id="1" w:name="source-16215"/>
    </w:p>
    <w:p>
      <w:pPr>
        <w:pStyle w:val="ListBullet"/>
      </w:pPr>
      <w:r>
        <w:rPr>
          <w:rFonts w:ascii="微软雅黑" w:hAnsi="微软雅黑" w:eastAsia="微软雅黑" w:cs="微软雅黑"/>
        </w:rPr>
        <w:t>[1] 叙利亚通讯社｜</w:t>
      </w:r>
      <w:hyperlink r:id="rId11">
        <w:r>
          <w:rPr>
            <w:rFonts w:ascii="微软雅黑" w:hAnsi="微软雅黑" w:eastAsia="微软雅黑" w:cs="微软雅黑"/>
            <w:color w:val="087E89"/>
          </w:rPr>
          <w:t>飓风逼近墨西哥湾引发供应担忧，油价上涨</w:t>
        </w:r>
      </w:hyperlink>
      <w:r>
        <w:rPr>
          <w:rFonts w:ascii="微软雅黑" w:hAnsi="微软雅黑" w:eastAsia="微软雅黑" w:cs="微软雅黑"/>
        </w:rPr>
      </w:r>
    </w:p>
    <w:p>
      <w:pPr>
        <w:spacing w:after="0" w:line="20" w:lineRule="exact"/>
      </w:pPr>
      <w:bookmarkStart w:id="2" w:name="source-15805"/>
      <w:bookmarkEnd w:id="2" w:name="source-15805"/>
    </w:p>
    <w:p>
      <w:pPr>
        <w:pStyle w:val="ListBullet"/>
      </w:pPr>
      <w:r>
        <w:rPr>
          <w:rFonts w:ascii="微软雅黑" w:hAnsi="微软雅黑" w:eastAsia="微软雅黑" w:cs="微软雅黑"/>
        </w:rPr>
        <w:t>[2] 汇通财经｜</w:t>
      </w:r>
      <w:hyperlink r:id="rId12">
        <w:r>
          <w:rPr>
            <w:rFonts w:ascii="微软雅黑" w:hAnsi="微软雅黑" w:eastAsia="微软雅黑" w:cs="微软雅黑"/>
            <w:color w:val="087E89"/>
          </w:rPr>
          <w:t>中东枪声未停，飓风又来搅局，本周油价上演“过山车”，布伦特重返104美元！</w:t>
        </w:r>
      </w:hyperlink>
      <w:r>
        <w:rPr>
          <w:rFonts w:ascii="微软雅黑" w:hAnsi="微软雅黑" w:eastAsia="微软雅黑" w:cs="微软雅黑"/>
        </w:rPr>
      </w:r>
    </w:p>
    <w:p>
      <w:pPr>
        <w:spacing w:after="0" w:line="20" w:lineRule="exact"/>
      </w:pPr>
      <w:bookmarkStart w:id="3" w:name="source-15964"/>
      <w:bookmarkEnd w:id="3" w:name="source-15964"/>
    </w:p>
    <w:p>
      <w:pPr>
        <w:pStyle w:val="ListBullet"/>
      </w:pPr>
      <w:r>
        <w:rPr>
          <w:rFonts w:ascii="微软雅黑" w:hAnsi="微软雅黑" w:eastAsia="微软雅黑" w:cs="微软雅黑"/>
        </w:rPr>
        <w:t>[3] 新浪财经｜</w:t>
      </w:r>
      <w:hyperlink r:id="rId13">
        <w:r>
          <w:rPr>
            <w:rFonts w:ascii="微软雅黑" w:hAnsi="微软雅黑" w:eastAsia="微软雅黑" w:cs="微软雅黑"/>
            <w:color w:val="087E89"/>
          </w:rPr>
          <w:t>俄罗斯柴油救场！特朗普宣布与普京达成协议，如何影响能源市场？</w:t>
        </w:r>
      </w:hyperlink>
      <w:r>
        <w:rPr>
          <w:rFonts w:ascii="微软雅黑" w:hAnsi="微软雅黑" w:eastAsia="微软雅黑" w:cs="微软雅黑"/>
        </w:rPr>
      </w:r>
    </w:p>
    <w:p>
      <w:pPr>
        <w:spacing w:after="0" w:line="20" w:lineRule="exact"/>
      </w:pPr>
      <w:bookmarkStart w:id="4" w:name="source-16444"/>
      <w:bookmarkEnd w:id="4" w:name="source-16444"/>
    </w:p>
    <w:p>
      <w:pPr>
        <w:pStyle w:val="ListBullet"/>
      </w:pPr>
      <w:r>
        <w:rPr>
          <w:rFonts w:ascii="微软雅黑" w:hAnsi="微软雅黑" w:eastAsia="微软雅黑" w:cs="微软雅黑"/>
        </w:rPr>
        <w:t>[4] 新华网｜</w:t>
      </w:r>
      <w:hyperlink r:id="rId14">
        <w:r>
          <w:rPr>
            <w:rFonts w:ascii="微软雅黑" w:hAnsi="微软雅黑" w:eastAsia="微软雅黑" w:cs="微软雅黑"/>
            <w:color w:val="087E89"/>
          </w:rPr>
          <w:t>俄美元首通话一个半小时 重点讨论乌克兰等问题</w:t>
        </w:r>
      </w:hyperlink>
      <w:r>
        <w:rPr>
          <w:rFonts w:ascii="微软雅黑" w:hAnsi="微软雅黑" w:eastAsia="微软雅黑" w:cs="微软雅黑"/>
        </w:rPr>
      </w:r>
    </w:p>
    <w:p>
      <w:pPr>
        <w:spacing w:after="0" w:line="20" w:lineRule="exact"/>
      </w:pPr>
      <w:bookmarkStart w:id="5" w:name="source-15981"/>
      <w:bookmarkEnd w:id="5" w:name="source-15981"/>
    </w:p>
    <w:p>
      <w:pPr>
        <w:pStyle w:val="ListBullet"/>
      </w:pPr>
      <w:r>
        <w:rPr>
          <w:rFonts w:ascii="微软雅黑" w:hAnsi="微软雅黑" w:eastAsia="微软雅黑" w:cs="微软雅黑"/>
        </w:rPr>
        <w:t>[5] 中国新闻网｜</w:t>
      </w:r>
      <w:hyperlink r:id="rId15">
        <w:r>
          <w:rPr>
            <w:rFonts w:ascii="微软雅黑" w:hAnsi="微软雅黑" w:eastAsia="微软雅黑" w:cs="微软雅黑"/>
            <w:color w:val="087E89"/>
          </w:rPr>
          <w:t>俄美就柴油贸易达成一致 美放松相关对俄制裁</w:t>
        </w:r>
      </w:hyperlink>
      <w:r>
        <w:rPr>
          <w:rFonts w:ascii="微软雅黑" w:hAnsi="微软雅黑" w:eastAsia="微软雅黑" w:cs="微软雅黑"/>
        </w:rPr>
      </w:r>
    </w:p>
    <w:p>
      <w:pPr>
        <w:spacing w:after="0" w:line="20" w:lineRule="exact"/>
      </w:pPr>
      <w:bookmarkStart w:id="6" w:name="source-16420"/>
      <w:bookmarkEnd w:id="6" w:name="source-16420"/>
    </w:p>
    <w:p>
      <w:pPr>
        <w:pStyle w:val="ListBullet"/>
      </w:pPr>
      <w:r>
        <w:rPr>
          <w:rFonts w:ascii="微软雅黑" w:hAnsi="微软雅黑" w:eastAsia="微软雅黑" w:cs="微软雅黑"/>
        </w:rPr>
        <w:t>[6] 中国能源新闻网｜</w:t>
      </w:r>
      <w:hyperlink r:id="rId16">
        <w:r>
          <w:rPr>
            <w:rFonts w:ascii="微软雅黑" w:hAnsi="微软雅黑" w:eastAsia="微软雅黑" w:cs="微软雅黑"/>
            <w:color w:val="087E89"/>
          </w:rPr>
          <w:t>修订版碳排放权交易管理暂行条例正式公布</w:t>
        </w:r>
      </w:hyperlink>
      <w:r>
        <w:rPr>
          <w:rFonts w:ascii="微软雅黑" w:hAnsi="微软雅黑" w:eastAsia="微软雅黑" w:cs="微软雅黑"/>
        </w:rPr>
      </w:r>
    </w:p>
    <w:p>
      <w:pPr>
        <w:spacing w:after="0" w:line="20" w:lineRule="exact"/>
      </w:pPr>
      <w:bookmarkStart w:id="7" w:name="source-16419"/>
      <w:bookmarkEnd w:id="7" w:name="source-16419"/>
    </w:p>
    <w:p>
      <w:pPr>
        <w:pStyle w:val="ListBullet"/>
      </w:pPr>
      <w:r>
        <w:rPr>
          <w:rFonts w:ascii="微软雅黑" w:hAnsi="微软雅黑" w:eastAsia="微软雅黑" w:cs="微软雅黑"/>
        </w:rPr>
        <w:t>[7] 中国能源新闻网｜</w:t>
      </w:r>
      <w:hyperlink r:id="rId17">
        <w:r>
          <w:rPr>
            <w:rFonts w:ascii="微软雅黑" w:hAnsi="微软雅黑" w:eastAsia="微软雅黑" w:cs="微软雅黑"/>
            <w:color w:val="087E89"/>
          </w:rPr>
          <w:t>新质生产力顶层文件，能源革命为何被单列？</w:t>
        </w:r>
      </w:hyperlink>
      <w:r>
        <w:rPr>
          <w:rFonts w:ascii="微软雅黑" w:hAnsi="微软雅黑" w:eastAsia="微软雅黑" w:cs="微软雅黑"/>
        </w:rPr>
      </w:r>
    </w:p>
    <w:p>
      <w:pPr>
        <w:spacing w:after="0" w:line="20" w:lineRule="exact"/>
      </w:pPr>
      <w:bookmarkStart w:id="8" w:name="source-16193"/>
      <w:bookmarkEnd w:id="8" w:name="source-16193"/>
    </w:p>
    <w:p>
      <w:pPr>
        <w:pStyle w:val="ListBullet"/>
      </w:pPr>
      <w:r>
        <w:rPr>
          <w:rFonts w:ascii="微软雅黑" w:hAnsi="微软雅黑" w:eastAsia="微软雅黑" w:cs="微软雅黑"/>
        </w:rPr>
        <w:t>[8] Solarbe(光伏网)｜</w:t>
      </w:r>
      <w:hyperlink r:id="rId18">
        <w:r>
          <w:rPr>
            <w:rFonts w:ascii="微软雅黑" w:hAnsi="微软雅黑" w:eastAsia="微软雅黑" w:cs="微软雅黑"/>
            <w:color w:val="087E89"/>
          </w:rPr>
          <w:t>中共中央、国务院发布关于发展新质生产力的意见</w:t>
        </w:r>
      </w:hyperlink>
      <w:r>
        <w:rPr>
          <w:rFonts w:ascii="微软雅黑" w:hAnsi="微软雅黑" w:eastAsia="微软雅黑" w:cs="微软雅黑"/>
        </w:rPr>
      </w:r>
    </w:p>
    <w:p>
      <w:pPr>
        <w:spacing w:after="0" w:line="20" w:lineRule="exact"/>
      </w:pPr>
      <w:bookmarkStart w:id="9" w:name="source-16213"/>
      <w:bookmarkEnd w:id="9" w:name="source-16213"/>
    </w:p>
    <w:p>
      <w:pPr>
        <w:pStyle w:val="ListBullet"/>
      </w:pPr>
      <w:r>
        <w:rPr>
          <w:rFonts w:ascii="微软雅黑" w:hAnsi="微软雅黑" w:eastAsia="微软雅黑" w:cs="微软雅黑"/>
        </w:rPr>
        <w:t>[9] 新疆维吾尔自治区数字化发展局｜</w:t>
      </w:r>
      <w:hyperlink r:id="rId19">
        <w:r>
          <w:rPr>
            <w:rFonts w:ascii="微软雅黑" w:hAnsi="微软雅黑" w:eastAsia="微软雅黑" w:cs="微软雅黑"/>
            <w:color w:val="087E89"/>
          </w:rPr>
          <w:t>中共中央 国务院关于发展新质生产力的意见</w:t>
        </w:r>
      </w:hyperlink>
      <w:r>
        <w:rPr>
          <w:rFonts w:ascii="微软雅黑" w:hAnsi="微软雅黑" w:eastAsia="微软雅黑" w:cs="微软雅黑"/>
        </w:rPr>
      </w:r>
    </w:p>
    <w:p>
      <w:pPr>
        <w:spacing w:after="0" w:line="20" w:lineRule="exact"/>
      </w:pPr>
      <w:bookmarkStart w:id="10" w:name="source-15690"/>
      <w:bookmarkEnd w:id="10" w:name="source-15690"/>
    </w:p>
    <w:p>
      <w:pPr>
        <w:pStyle w:val="ListBullet"/>
      </w:pPr>
      <w:r>
        <w:rPr>
          <w:rFonts w:ascii="微软雅黑" w:hAnsi="微软雅黑" w:eastAsia="微软雅黑" w:cs="微软雅黑"/>
        </w:rPr>
        <w:t>[10] 中国能源网｜</w:t>
      </w:r>
      <w:hyperlink r:id="rId20">
        <w:r>
          <w:rPr>
            <w:rFonts w:ascii="微软雅黑" w:hAnsi="微软雅黑" w:eastAsia="微软雅黑" w:cs="微软雅黑"/>
            <w:color w:val="087E89"/>
          </w:rPr>
          <w:t>中共中央国务院关于发展新质生产力的意见</w:t>
        </w:r>
      </w:hyperlink>
      <w:r>
        <w:rPr>
          <w:rFonts w:ascii="微软雅黑" w:hAnsi="微软雅黑" w:eastAsia="微软雅黑" w:cs="微软雅黑"/>
        </w:rPr>
      </w:r>
    </w:p>
    <w:p>
      <w:pPr>
        <w:spacing w:after="0" w:line="20" w:lineRule="exact"/>
      </w:pPr>
      <w:bookmarkStart w:id="11" w:name="source-16071"/>
      <w:bookmarkEnd w:id="11" w:name="source-16071"/>
    </w:p>
    <w:p>
      <w:pPr>
        <w:pStyle w:val="ListBullet"/>
      </w:pPr>
      <w:r>
        <w:rPr>
          <w:rFonts w:ascii="微软雅黑" w:hAnsi="微软雅黑" w:eastAsia="微软雅黑" w:cs="微软雅黑"/>
        </w:rPr>
        <w:t>[11] 中国能源新闻网｜</w:t>
      </w:r>
      <w:hyperlink r:id="rId21">
        <w:r>
          <w:rPr>
            <w:rFonts w:ascii="微软雅黑" w:hAnsi="微软雅黑" w:eastAsia="微软雅黑" w:cs="微软雅黑"/>
            <w:color w:val="087E89"/>
          </w:rPr>
          <w:t>8月南方区域用电量创历史新高 电价仅涨0.5%</w:t>
        </w:r>
      </w:hyperlink>
      <w:r>
        <w:rPr>
          <w:rFonts w:ascii="微软雅黑" w:hAnsi="微软雅黑" w:eastAsia="微软雅黑" w:cs="微软雅黑"/>
        </w:rPr>
      </w:r>
    </w:p>
    <w:p>
      <w:pPr>
        <w:spacing w:after="0" w:line="20" w:lineRule="exact"/>
      </w:pPr>
      <w:bookmarkStart w:id="12" w:name="source-15974"/>
      <w:bookmarkEnd w:id="12" w:name="source-15974"/>
    </w:p>
    <w:p>
      <w:pPr>
        <w:pStyle w:val="ListBullet"/>
      </w:pPr>
      <w:r>
        <w:rPr>
          <w:rFonts w:ascii="微软雅黑" w:hAnsi="微软雅黑" w:eastAsia="微软雅黑" w:cs="微软雅黑"/>
        </w:rPr>
        <w:t>[12] 界面新闻｜</w:t>
      </w:r>
      <w:hyperlink r:id="rId22">
        <w:r>
          <w:rPr>
            <w:rFonts w:ascii="微软雅黑" w:hAnsi="微软雅黑" w:eastAsia="微软雅黑" w:cs="微软雅黑"/>
            <w:color w:val="087E89"/>
          </w:rPr>
          <w:t>8个月亏损超20亿元，广西9家央企售电公司紧急联名求救</w:t>
        </w:r>
      </w:hyperlink>
      <w:r>
        <w:rPr>
          <w:rFonts w:ascii="微软雅黑" w:hAnsi="微软雅黑" w:eastAsia="微软雅黑" w:cs="微软雅黑"/>
        </w:rPr>
      </w:r>
    </w:p>
    <w:p>
      <w:pPr>
        <w:spacing w:after="0" w:line="20" w:lineRule="exact"/>
      </w:pPr>
      <w:bookmarkStart w:id="13" w:name="source-15548"/>
      <w:bookmarkEnd w:id="13" w:name="source-15548"/>
    </w:p>
    <w:p>
      <w:pPr>
        <w:pStyle w:val="ListBullet"/>
      </w:pPr>
      <w:r>
        <w:rPr>
          <w:rFonts w:ascii="微软雅黑" w:hAnsi="微软雅黑" w:eastAsia="微软雅黑" w:cs="微软雅黑"/>
        </w:rPr>
        <w:t>[13] 印度尼西亚能源与矿产资源部官网｜</w:t>
      </w:r>
      <w:hyperlink r:id="rId23">
        <w:r>
          <w:rPr>
            <w:rFonts w:ascii="微软雅黑" w:hAnsi="微软雅黑" w:eastAsia="微软雅黑" w:cs="微软雅黑"/>
            <w:color w:val="087E89"/>
          </w:rPr>
          <w:t>北苏门答腊：巴当托鲁水电站水库开始蓄水，圣诞新年假期前供电可靠性进一步提升</w:t>
        </w:r>
      </w:hyperlink>
      <w:r>
        <w:rPr>
          <w:rFonts w:ascii="微软雅黑" w:hAnsi="微软雅黑" w:eastAsia="微软雅黑" w:cs="微软雅黑"/>
        </w:rPr>
      </w:r>
    </w:p>
    <w:p>
      <w:pPr>
        <w:spacing w:after="0" w:line="20" w:lineRule="exact"/>
      </w:pPr>
      <w:bookmarkStart w:id="14" w:name="source-15394"/>
      <w:bookmarkEnd w:id="14" w:name="source-15394"/>
    </w:p>
    <w:p>
      <w:pPr>
        <w:pStyle w:val="ListBullet"/>
      </w:pPr>
      <w:r>
        <w:rPr>
          <w:rFonts w:ascii="微软雅黑" w:hAnsi="微软雅黑" w:eastAsia="微软雅黑" w:cs="微软雅黑"/>
        </w:rPr>
        <w:t>[14] Interfax｜</w:t>
      </w:r>
      <w:hyperlink r:id="rId24">
        <w:r>
          <w:rPr>
            <w:rFonts w:ascii="微软雅黑" w:hAnsi="微软雅黑" w:eastAsia="微软雅黑" w:cs="微软雅黑"/>
            <w:color w:val="087E89"/>
          </w:rPr>
          <w:t>分析师预测今冬欧洲将出现天然气短缺</w:t>
        </w:r>
      </w:hyperlink>
      <w:r>
        <w:rPr>
          <w:rFonts w:ascii="微软雅黑" w:hAnsi="微软雅黑" w:eastAsia="微软雅黑" w:cs="微软雅黑"/>
        </w:rPr>
      </w:r>
    </w:p>
    <w:p>
      <w:pPr>
        <w:spacing w:after="0" w:line="20" w:lineRule="exact"/>
      </w:pPr>
      <w:bookmarkStart w:id="15" w:name="source-15759"/>
      <w:bookmarkEnd w:id="15" w:name="source-15759"/>
    </w:p>
    <w:p>
      <w:pPr>
        <w:pStyle w:val="ListBullet"/>
      </w:pPr>
      <w:r>
        <w:rPr>
          <w:rFonts w:ascii="微软雅黑" w:hAnsi="微软雅黑" w:eastAsia="微软雅黑" w:cs="微软雅黑"/>
        </w:rPr>
        <w:t>[15] 上海石油天然气交易中心｜</w:t>
      </w:r>
      <w:hyperlink r:id="rId25">
        <w:r>
          <w:rPr>
            <w:rFonts w:ascii="微软雅黑" w:hAnsi="微软雅黑" w:eastAsia="微软雅黑" w:cs="微软雅黑"/>
            <w:color w:val="087E89"/>
          </w:rPr>
          <w:t>海洋原油增量占全国近七成</w:t>
        </w:r>
      </w:hyperlink>
      <w:r>
        <w:rPr>
          <w:rFonts w:ascii="微软雅黑" w:hAnsi="微软雅黑" w:eastAsia="微软雅黑" w:cs="微软雅黑"/>
        </w:rPr>
      </w:r>
    </w:p>
    <w:p>
      <w:pPr>
        <w:spacing w:after="0" w:line="20" w:lineRule="exact"/>
      </w:pPr>
      <w:bookmarkStart w:id="16" w:name="source-15547"/>
      <w:bookmarkEnd w:id="16" w:name="source-15547"/>
    </w:p>
    <w:p>
      <w:pPr>
        <w:pStyle w:val="ListBullet"/>
      </w:pPr>
      <w:r>
        <w:rPr>
          <w:rFonts w:ascii="微软雅黑" w:hAnsi="微软雅黑" w:eastAsia="微软雅黑" w:cs="微软雅黑"/>
        </w:rPr>
        <w:t>[16] 界面新闻 · 能源早报｜中共中央、国务院：有序发展先进核裂变能；9家央企售电公司被指8个月亏20亿｜</w:t>
      </w:r>
      <w:hyperlink r:id="rId26">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17" w:name="source-16330"/>
      <w:bookmarkEnd w:id="17" w:name="source-16330"/>
    </w:p>
    <w:p>
      <w:pPr>
        <w:pStyle w:val="ListBullet"/>
      </w:pPr>
      <w:r>
        <w:rPr>
          <w:rFonts w:ascii="微软雅黑" w:hAnsi="微软雅黑" w:eastAsia="微软雅黑" w:cs="微软雅黑"/>
        </w:rPr>
        <w:t>[17] 中国能源网｜</w:t>
      </w:r>
      <w:hyperlink r:id="rId27">
        <w:r>
          <w:rPr>
            <w:rFonts w:ascii="微软雅黑" w:hAnsi="微软雅黑" w:eastAsia="微软雅黑" w:cs="微软雅黑"/>
            <w:color w:val="087E89"/>
          </w:rPr>
          <w:t>印度电煤供应回升但补库未启动 近半电厂库存告急</w:t>
        </w:r>
      </w:hyperlink>
      <w:r>
        <w:rPr>
          <w:rFonts w:ascii="微软雅黑" w:hAnsi="微软雅黑" w:eastAsia="微软雅黑" w:cs="微软雅黑"/>
        </w:rPr>
      </w:r>
    </w:p>
    <w:p>
      <w:pPr>
        <w:spacing w:after="0" w:line="20" w:lineRule="exact"/>
      </w:pPr>
      <w:bookmarkStart w:id="18" w:name="source-16186"/>
      <w:bookmarkEnd w:id="18" w:name="source-16186"/>
    </w:p>
    <w:p>
      <w:pPr>
        <w:pStyle w:val="ListBullet"/>
      </w:pPr>
      <w:r>
        <w:rPr>
          <w:rFonts w:ascii="微软雅黑" w:hAnsi="微软雅黑" w:eastAsia="微软雅黑" w:cs="微软雅黑"/>
        </w:rPr>
        <w:t>[18] 中国能源新闻网｜</w:t>
      </w:r>
      <w:hyperlink r:id="rId28">
        <w:r>
          <w:rPr>
            <w:rFonts w:ascii="微软雅黑" w:hAnsi="微软雅黑" w:eastAsia="微软雅黑" w:cs="微软雅黑"/>
            <w:color w:val="087E89"/>
          </w:rPr>
          <w:t>15.7亿元！大唐核电公司获增资</w:t>
        </w:r>
      </w:hyperlink>
      <w:r>
        <w:rPr>
          <w:rFonts w:ascii="微软雅黑" w:hAnsi="微软雅黑" w:eastAsia="微软雅黑" w:cs="微软雅黑"/>
        </w:rPr>
      </w:r>
    </w:p>
    <w:p>
      <w:pPr>
        <w:spacing w:after="0" w:line="20" w:lineRule="exact"/>
      </w:pPr>
      <w:bookmarkStart w:id="19" w:name="source-16111"/>
      <w:bookmarkEnd w:id="19" w:name="source-16111"/>
    </w:p>
    <w:p>
      <w:pPr>
        <w:pStyle w:val="ListBullet"/>
      </w:pPr>
      <w:r>
        <w:rPr>
          <w:rFonts w:ascii="微软雅黑" w:hAnsi="微软雅黑" w:eastAsia="微软雅黑" w:cs="微软雅黑"/>
        </w:rPr>
        <w:t>[19] 央视新闻等｜</w:t>
      </w:r>
      <w:hyperlink r:id="rId29">
        <w:r>
          <w:rPr>
            <w:rFonts w:ascii="微软雅黑" w:hAnsi="微软雅黑" w:eastAsia="微软雅黑" w:cs="微软雅黑"/>
            <w:color w:val="087E89"/>
          </w:rPr>
          <w:t>资源“身价倍增”增辟低成本原料通道 塔里木盆地天然气深加工迈上新台阶</w:t>
        </w:r>
      </w:hyperlink>
      <w:r>
        <w:rPr>
          <w:rFonts w:ascii="微软雅黑" w:hAnsi="微软雅黑" w:eastAsia="微软雅黑" w:cs="微软雅黑"/>
        </w:rPr>
      </w:r>
    </w:p>
    <w:p>
      <w:pPr>
        <w:spacing w:after="0" w:line="20" w:lineRule="exact"/>
      </w:pPr>
      <w:bookmarkStart w:id="20" w:name="source-15756"/>
      <w:bookmarkEnd w:id="20" w:name="source-15756"/>
    </w:p>
    <w:p>
      <w:pPr>
        <w:pStyle w:val="ListBullet"/>
      </w:pPr>
      <w:r>
        <w:rPr>
          <w:rFonts w:ascii="微软雅黑" w:hAnsi="微软雅黑" w:eastAsia="微软雅黑" w:cs="微软雅黑"/>
        </w:rPr>
        <w:t>[20] 中国能源新闻网｜</w:t>
      </w:r>
      <w:hyperlink r:id="rId30">
        <w:r>
          <w:rPr>
            <w:rFonts w:ascii="微软雅黑" w:hAnsi="微软雅黑" w:eastAsia="微软雅黑" w:cs="微软雅黑"/>
            <w:color w:val="087E89"/>
          </w:rPr>
          <w:t>广东惠州中洞抽水蓄能电站首台机组转子完成吊装</w:t>
        </w:r>
      </w:hyperlink>
      <w:r>
        <w:rPr>
          <w:rFonts w:ascii="微软雅黑" w:hAnsi="微软雅黑" w:eastAsia="微软雅黑" w:cs="微软雅黑"/>
        </w:rPr>
      </w:r>
    </w:p>
    <w:p>
      <w:pPr>
        <w:spacing w:after="0" w:line="20" w:lineRule="exact"/>
      </w:pPr>
      <w:bookmarkStart w:id="21" w:name="source-15498"/>
      <w:bookmarkEnd w:id="21" w:name="source-15498"/>
    </w:p>
    <w:p>
      <w:pPr>
        <w:pStyle w:val="ListBullet"/>
      </w:pPr>
      <w:r>
        <w:rPr>
          <w:rFonts w:ascii="微软雅黑" w:hAnsi="微软雅黑" w:eastAsia="微软雅黑" w:cs="微软雅黑"/>
        </w:rPr>
        <w:t>[21] 中国新闻网｜</w:t>
      </w:r>
      <w:hyperlink r:id="rId31">
        <w:r>
          <w:rPr>
            <w:rFonts w:ascii="微软雅黑" w:hAnsi="微软雅黑" w:eastAsia="微软雅黑" w:cs="微软雅黑"/>
            <w:color w:val="087E89"/>
          </w:rPr>
          <w:t>俄美总统通话：俄将向美及全球市场供应石油和石油产品</w:t>
        </w:r>
      </w:hyperlink>
      <w:r>
        <w:rPr>
          <w:rFonts w:ascii="微软雅黑" w:hAnsi="微软雅黑" w:eastAsia="微软雅黑" w:cs="微软雅黑"/>
        </w:rPr>
      </w:r>
    </w:p>
    <w:p>
      <w:pPr>
        <w:spacing w:after="0" w:line="20" w:lineRule="exact"/>
      </w:pPr>
      <w:bookmarkStart w:id="22" w:name="source-15539"/>
      <w:bookmarkEnd w:id="22" w:name="source-15539"/>
    </w:p>
    <w:p>
      <w:pPr>
        <w:pStyle w:val="ListBullet"/>
      </w:pPr>
      <w:r>
        <w:rPr>
          <w:rFonts w:ascii="微软雅黑" w:hAnsi="微软雅黑" w:eastAsia="微软雅黑" w:cs="微软雅黑"/>
        </w:rPr>
        <w:t>[22] 人民财讯等｜</w:t>
      </w:r>
      <w:hyperlink r:id="rId32">
        <w:r>
          <w:rPr>
            <w:rFonts w:ascii="微软雅黑" w:hAnsi="微软雅黑" w:eastAsia="微软雅黑" w:cs="微软雅黑"/>
            <w:color w:val="087E89"/>
          </w:rPr>
          <w:t>普京：俄愿向美国及全球市场供应石油和石油产品</w:t>
        </w:r>
      </w:hyperlink>
      <w:r>
        <w:rPr>
          <w:rFonts w:ascii="微软雅黑" w:hAnsi="微软雅黑" w:eastAsia="微软雅黑" w:cs="微软雅黑"/>
        </w:rPr>
      </w:r>
    </w:p>
    <w:p>
      <w:pPr>
        <w:spacing w:after="0" w:line="20" w:lineRule="exact"/>
      </w:pPr>
      <w:bookmarkStart w:id="23" w:name="source-15919"/>
      <w:bookmarkEnd w:id="23" w:name="source-15919"/>
    </w:p>
    <w:p>
      <w:pPr>
        <w:pStyle w:val="ListBullet"/>
      </w:pPr>
      <w:r>
        <w:rPr>
          <w:rFonts w:ascii="微软雅黑" w:hAnsi="微软雅黑" w:eastAsia="微软雅黑" w:cs="微软雅黑"/>
        </w:rPr>
        <w:t>[23] 中国能源新闻网｜</w:t>
      </w:r>
      <w:hyperlink r:id="rId33">
        <w:r>
          <w:rPr>
            <w:rFonts w:ascii="微软雅黑" w:hAnsi="微软雅黑" w:eastAsia="微软雅黑" w:cs="微软雅黑"/>
            <w:color w:val="087E89"/>
          </w:rPr>
          <w:t>普京与特朗普通话：俄将向美及全球供应石油</w:t>
        </w:r>
      </w:hyperlink>
      <w:r>
        <w:rPr>
          <w:rFonts w:ascii="微软雅黑" w:hAnsi="微软雅黑" w:eastAsia="微软雅黑" w:cs="微软雅黑"/>
        </w:rPr>
      </w:r>
    </w:p>
    <w:p>
      <w:pPr>
        <w:spacing w:after="0" w:line="20" w:lineRule="exact"/>
      </w:pPr>
      <w:bookmarkStart w:id="24" w:name="source-15551"/>
      <w:bookmarkEnd w:id="24" w:name="source-15551"/>
    </w:p>
    <w:p>
      <w:pPr>
        <w:pStyle w:val="ListBullet"/>
      </w:pPr>
      <w:r>
        <w:rPr>
          <w:rFonts w:ascii="微软雅黑" w:hAnsi="微软雅黑" w:eastAsia="微软雅黑" w:cs="微软雅黑"/>
        </w:rPr>
        <w:t>[24] 中国新闻网｜</w:t>
      </w:r>
      <w:hyperlink r:id="rId34">
        <w:r>
          <w:rPr>
            <w:rFonts w:ascii="微软雅黑" w:hAnsi="微软雅黑" w:eastAsia="微软雅黑" w:cs="微软雅黑"/>
            <w:color w:val="087E89"/>
          </w:rPr>
          <w:t>普京与特朗普通话 确认俄将向美及全球供应石油</w:t>
        </w:r>
      </w:hyperlink>
      <w:r>
        <w:rPr>
          <w:rFonts w:ascii="微软雅黑" w:hAnsi="微软雅黑" w:eastAsia="微软雅黑" w:cs="微软雅黑"/>
        </w:rPr>
      </w:r>
    </w:p>
    <w:p>
      <w:pPr>
        <w:spacing w:after="0" w:line="20" w:lineRule="exact"/>
      </w:pPr>
      <w:bookmarkStart w:id="25" w:name="source-16278"/>
      <w:bookmarkEnd w:id="25" w:name="source-16278"/>
    </w:p>
    <w:p>
      <w:pPr>
        <w:pStyle w:val="ListBullet"/>
      </w:pPr>
      <w:r>
        <w:rPr>
          <w:rFonts w:ascii="微软雅黑" w:hAnsi="微软雅黑" w:eastAsia="微软雅黑" w:cs="微软雅黑"/>
        </w:rPr>
        <w:t>[25] 中国能源新闻网｜</w:t>
      </w:r>
      <w:hyperlink r:id="rId35">
        <w:r>
          <w:rPr>
            <w:rFonts w:ascii="微软雅黑" w:hAnsi="微软雅黑" w:eastAsia="微软雅黑" w:cs="微软雅黑"/>
            <w:color w:val="087E89"/>
          </w:rPr>
          <w:t>英国出台对俄新一轮制裁</w:t>
        </w:r>
      </w:hyperlink>
      <w:r>
        <w:rPr>
          <w:rFonts w:ascii="微软雅黑" w:hAnsi="微软雅黑" w:eastAsia="微软雅黑" w:cs="微软雅黑"/>
        </w:rPr>
      </w:r>
    </w:p>
    <w:p>
      <w:pPr>
        <w:spacing w:after="0" w:line="20" w:lineRule="exact"/>
      </w:pPr>
      <w:bookmarkStart w:id="26" w:name="source-16422"/>
      <w:bookmarkEnd w:id="26" w:name="source-16422"/>
    </w:p>
    <w:p>
      <w:pPr>
        <w:pStyle w:val="ListBullet"/>
      </w:pPr>
      <w:r>
        <w:rPr>
          <w:rFonts w:ascii="微软雅黑" w:hAnsi="微软雅黑" w:eastAsia="微软雅黑" w:cs="微软雅黑"/>
        </w:rPr>
        <w:t>[26] 中国能源新闻网｜</w:t>
      </w:r>
      <w:hyperlink r:id="rId36">
        <w:r>
          <w:rPr>
            <w:rFonts w:ascii="微软雅黑" w:hAnsi="微软雅黑" w:eastAsia="微软雅黑" w:cs="微软雅黑"/>
            <w:color w:val="087E89"/>
          </w:rPr>
          <w:t>美丽四川建设十五五规划出台 明确碳达峰任务</w:t>
        </w:r>
      </w:hyperlink>
      <w:r>
        <w:rPr>
          <w:rFonts w:ascii="微软雅黑" w:hAnsi="微软雅黑" w:eastAsia="微软雅黑" w:cs="微软雅黑"/>
        </w:rPr>
      </w:r>
    </w:p>
    <w:p>
      <w:pPr>
        <w:spacing w:after="0" w:line="20" w:lineRule="exact"/>
      </w:pPr>
      <w:bookmarkStart w:id="27" w:name="source-16217"/>
      <w:bookmarkEnd w:id="27" w:name="source-16217"/>
    </w:p>
    <w:p>
      <w:pPr>
        <w:pStyle w:val="ListBullet"/>
      </w:pPr>
      <w:r>
        <w:rPr>
          <w:rFonts w:ascii="微软雅黑" w:hAnsi="微软雅黑" w:eastAsia="微软雅黑" w:cs="微软雅黑"/>
        </w:rPr>
        <w:t>[27] 光伏杂志国际版｜</w:t>
      </w:r>
      <w:hyperlink r:id="rId37">
        <w:r>
          <w:rPr>
            <w:rFonts w:ascii="微软雅黑" w:hAnsi="微软雅黑" w:eastAsia="微软雅黑" w:cs="微软雅黑"/>
            <w:color w:val="087E89"/>
          </w:rPr>
          <w:t>奥地利：43,300份太阳能补贴申请在短短十分钟内提交</w:t>
        </w:r>
      </w:hyperlink>
      <w:r>
        <w:rPr>
          <w:rFonts w:ascii="微软雅黑" w:hAnsi="微软雅黑" w:eastAsia="微软雅黑" w:cs="微软雅黑"/>
        </w:rPr>
      </w:r>
    </w:p>
    <w:p>
      <w:pPr>
        <w:spacing w:after="0" w:line="20" w:lineRule="exact"/>
      </w:pPr>
      <w:bookmarkStart w:id="28" w:name="source-15864"/>
      <w:bookmarkEnd w:id="28" w:name="source-15864"/>
    </w:p>
    <w:p>
      <w:pPr>
        <w:pStyle w:val="ListBullet"/>
      </w:pPr>
      <w:r>
        <w:rPr>
          <w:rFonts w:ascii="微软雅黑" w:hAnsi="微软雅黑" w:eastAsia="微软雅黑" w:cs="微软雅黑"/>
        </w:rPr>
        <w:t>[28] 澳大利亚可再生能源新闻｜</w:t>
      </w:r>
      <w:hyperlink r:id="rId38">
        <w:r>
          <w:rPr>
            <w:rFonts w:ascii="微软雅黑" w:hAnsi="微软雅黑" w:eastAsia="微软雅黑" w:cs="微软雅黑"/>
            <w:color w:val="087E89"/>
          </w:rPr>
          <w:t>澳大利亚最强大的电池可在全国电力市场上自由交易，“缓冲器”合同发生重大调整</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sana.sy/en/economic/2349470/" TargetMode="External"/><Relationship Id="rId12" Type="http://schemas.openxmlformats.org/officeDocument/2006/relationships/hyperlink" Target="https://www.fx678.com/C/20261010/202610101122092066.html" TargetMode="External"/><Relationship Id="rId13" Type="http://schemas.openxmlformats.org/officeDocument/2006/relationships/hyperlink" Target="https://finance.sina.com.cn/jjxw/2026-10-10/doc-iniustfv7501474.shtml" TargetMode="External"/><Relationship Id="rId14" Type="http://schemas.openxmlformats.org/officeDocument/2006/relationships/hyperlink" Target="https://www.news.cn/world/20261010/9bfd8679b69f49aab1992c09aec86c19/c.html" TargetMode="External"/><Relationship Id="rId15" Type="http://schemas.openxmlformats.org/officeDocument/2006/relationships/hyperlink" Target="https://www.chinanews.com.cn/gj/2026/10-10/10710083.shtml" TargetMode="External"/><Relationship Id="rId16" Type="http://schemas.openxmlformats.org/officeDocument/2006/relationships/hyperlink" Target="https://www.cpnn.com.cn/news/hg/202610/t20261010_1919129.html" TargetMode="External"/><Relationship Id="rId17" Type="http://schemas.openxmlformats.org/officeDocument/2006/relationships/hyperlink" Target="https://www.cpnn.com.cn/news/xwtt/202610/t20261010_1919084.html" TargetMode="External"/><Relationship Id="rId18" Type="http://schemas.openxmlformats.org/officeDocument/2006/relationships/hyperlink" Target="https://news.solarbe.com/202610/10/50030127.html" TargetMode="External"/><Relationship Id="rId19" Type="http://schemas.openxmlformats.org/officeDocument/2006/relationships/hyperlink" Target="https://sfj.xinjiang.gov.cn/xjszfzj/bmxw/202610/e69ecaa2a1db4f5fbe0a942d520ff86d.shtml" TargetMode="External"/><Relationship Id="rId20" Type="http://schemas.openxmlformats.org/officeDocument/2006/relationships/hyperlink" Target="https://www.china5e.com/news/news-1210181-1.html" TargetMode="External"/><Relationship Id="rId21" Type="http://schemas.openxmlformats.org/officeDocument/2006/relationships/hyperlink" Target="https://www.cpnn.com.cn/news/hy/202610/t20261010_1919001.html" TargetMode="External"/><Relationship Id="rId22" Type="http://schemas.openxmlformats.org/officeDocument/2006/relationships/hyperlink" Target="https://www.jiemian.com/article/15174780.html" TargetMode="External"/><Relationship Id="rId23" Type="http://schemas.openxmlformats.org/officeDocument/2006/relationships/hyperlink" Target="https://www.esdm.go.id/id/media-center/arsip-berita/waduk-plta-batang-toru-mulai-digenangi-pasokan-listrik-sumatera-utara-kian-andal-jelang-nataru" TargetMode="External"/><Relationship Id="rId24" Type="http://schemas.openxmlformats.org/officeDocument/2006/relationships/hyperlink" Target="https://www.interfax.ru/business/1121491" TargetMode="External"/><Relationship Id="rId25" Type="http://schemas.openxmlformats.org/officeDocument/2006/relationships/hyperlink" Target="https://www.shpgx.com/html/xyzx/20261010/10070.html" TargetMode="External"/><Relationship Id="rId26" Type="http://schemas.openxmlformats.org/officeDocument/2006/relationships/hyperlink" Target="https://www.jiemian.com/article/15173704.html" TargetMode="External"/><Relationship Id="rId27" Type="http://schemas.openxmlformats.org/officeDocument/2006/relationships/hyperlink" Target="https://www.china5e.com/news/news-1210190-1.html" TargetMode="External"/><Relationship Id="rId28" Type="http://schemas.openxmlformats.org/officeDocument/2006/relationships/hyperlink" Target="https://www.cpnn.com.cn/news/nyqy/202610/t20261010_1919003.html" TargetMode="External"/><Relationship Id="rId29" Type="http://schemas.openxmlformats.org/officeDocument/2006/relationships/hyperlink" Target="https://news.cctv.com/2026/10/10/ARTIMvzT9HddLDL1lgIVzVQu261010.shtml" TargetMode="External"/><Relationship Id="rId30" Type="http://schemas.openxmlformats.org/officeDocument/2006/relationships/hyperlink" Target="https://www.cpnn.com.cn/news/dianli2023/202610/t20261010_1918915.html" TargetMode="External"/><Relationship Id="rId31" Type="http://schemas.openxmlformats.org/officeDocument/2006/relationships/hyperlink" Target="https://www.chinanews.com.cn/gj/2026/10-10/10709968.shtml" TargetMode="External"/><Relationship Id="rId32" Type="http://schemas.openxmlformats.org/officeDocument/2006/relationships/hyperlink" Target="https://www.stcn.com/article/detail/4210811.html" TargetMode="External"/><Relationship Id="rId33" Type="http://schemas.openxmlformats.org/officeDocument/2006/relationships/hyperlink" Target="https://www.cpnn.com.cn/news/gj/202610/t20261010_1918914.html" TargetMode="External"/><Relationship Id="rId34" Type="http://schemas.openxmlformats.org/officeDocument/2006/relationships/hyperlink" Target="https://www.chinanews.com.cn/gj/2026/10-10/10709982.shtml" TargetMode="External"/><Relationship Id="rId35" Type="http://schemas.openxmlformats.org/officeDocument/2006/relationships/hyperlink" Target="https://www.cpnn.com.cn/news/gj/202610/t20261010_1918950.html" TargetMode="External"/><Relationship Id="rId36" Type="http://schemas.openxmlformats.org/officeDocument/2006/relationships/hyperlink" Target="https://www.cpnn.com.cn/news/ydylnyhz/202610/t20261010_1919126.html" TargetMode="External"/><Relationship Id="rId37" Type="http://schemas.openxmlformats.org/officeDocument/2006/relationships/hyperlink" Target="https://www.pv-magazine.com/2026/10/10/austria-43300-applications-for-solar-subsidies-submitted-in-just-ten-minutes/" TargetMode="External"/><Relationship Id="rId38" Type="http://schemas.openxmlformats.org/officeDocument/2006/relationships/hyperlink" Target="https://reneweconomy.com.au/australias-most-powerful-battery-free-to-trade-on-market-in-major-change-to-shock-absorber-contract/?utm_source=rss&amp;utm_medium=rss&amp;utm_campaign=australias-most-powerful-battery-free-to-trade-on-market-in-major-change-to-shock-absorber-con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2026年10月10日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