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信息覆盖时段：2026-09-29 00:00 至 2026-09-30 00:00（不含），Asia/Shanghai。</w:t>
      </w:r>
    </w:p>
    <w:p>
      <w:pPr/>
      <w:r>
        <w:rPr>
          <w:rFonts w:ascii="微软雅黑" w:hAnsi="微软雅黑" w:eastAsia="微软雅黑" w:cs="微软雅黑"/>
        </w:rPr>
        <w:t>统计区间：2026-09-29 至 2026-09-30（结束日不含，北京时间）</w:t>
      </w:r>
    </w:p>
    <w:p>
      <w:pPr>
        <w:ind w:firstLine="420"/>
      </w:pPr>
      <w:r>
        <w:rPr>
          <w:rFonts w:ascii="微软雅黑" w:hAnsi="微软雅黑" w:eastAsia="微软雅黑" w:cs="微软雅黑"/>
        </w:rPr>
        <w:t>资料更新截止：2026-09-30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Polimex Mostostal将为波兰AP1000项目承建组装大厅 </w:t>
      </w:r>
      <w:hyperlink w:anchor="source-9069">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霍尔木兹海峡一艘船遭袭，火势已扑灭 </w:t>
      </w:r>
      <w:hyperlink w:anchor="source-8962">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伊朗警告将强硬回应限制其石油销售的企图 </w:t>
      </w:r>
      <w:hyperlink w:anchor="source-8897">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英国首相伯纳姆宣布设立大不列颠电网公司并推进并网改革 </w:t>
      </w:r>
      <w:hyperlink w:anchor="source-9025">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9084">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欧盟能源专员呼吁节能以应对气价飙升与库存偏低 </w:t>
      </w:r>
      <w:hyperlink w:anchor="source-8933">
        <w:r>
          <w:rPr>
            <w:rFonts w:ascii="微软雅黑" w:hAnsi="微软雅黑" w:eastAsia="微软雅黑" w:cs="微软雅黑"/>
            <w:color w:val="087E89"/>
          </w:rPr>
          <w:t>6</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波兰Lubiatowo-Kopalino核电站项目与波兰企业累计合同金额</w:t>
            </w:r>
          </w:p>
        </w:tc>
        <w:tc>
          <w:tcPr>
            <w:tcW w:type="dxa" w:w="2268"/>
          </w:tcPr>
          <w:p>
            <w:pPr>
              <w:spacing w:after="40"/>
            </w:pPr>
            <w:r>
              <w:rPr>
                <w:rFonts w:ascii="微软雅黑" w:hAnsi="微软雅黑" w:eastAsia="微软雅黑" w:cs="微软雅黑"/>
              </w:rPr>
              <w:t>超过22亿兹罗提（约5.7亿美元）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9069">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爱尔兰“自建连接”改革缩短并网时间</w:t>
            </w:r>
          </w:p>
        </w:tc>
        <w:tc>
          <w:tcPr>
            <w:tcW w:type="dxa" w:w="2268"/>
          </w:tcPr>
          <w:p>
            <w:pPr>
              <w:spacing w:after="40"/>
            </w:pPr>
            <w:r>
              <w:rPr>
                <w:rFonts w:ascii="微软雅黑" w:hAnsi="微软雅黑" w:eastAsia="微软雅黑" w:cs="微软雅黑"/>
              </w:rPr>
              <w:t>最多11个月</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9025">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9084">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欧盟天然气储存量占储存能力比例</w:t>
            </w:r>
          </w:p>
        </w:tc>
        <w:tc>
          <w:tcPr>
            <w:tcW w:type="dxa" w:w="2268"/>
          </w:tcPr>
          <w:p>
            <w:pPr>
              <w:spacing w:after="40"/>
            </w:pPr>
            <w:r>
              <w:rPr>
                <w:rFonts w:ascii="微软雅黑" w:hAnsi="微软雅黑" w:eastAsia="微软雅黑" w:cs="微软雅黑"/>
              </w:rPr>
              <w:t>65.6%</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8933">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欧盟天然气储存水平与同期对比</w:t>
            </w:r>
          </w:p>
        </w:tc>
        <w:tc>
          <w:tcPr>
            <w:tcW w:type="dxa" w:w="2268"/>
          </w:tcPr>
          <w:p>
            <w:pPr>
              <w:spacing w:after="40"/>
            </w:pPr>
            <w:r>
              <w:rPr>
                <w:rFonts w:ascii="微软雅黑" w:hAnsi="微软雅黑" w:eastAsia="微软雅黑" w:cs="微软雅黑"/>
              </w:rPr>
              <w:t>15年来同期最低</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8933">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2030年中国能源消费总量预测</w:t>
            </w:r>
          </w:p>
        </w:tc>
        <w:tc>
          <w:tcPr>
            <w:tcW w:type="dxa" w:w="2268"/>
          </w:tcPr>
          <w:p>
            <w:pPr>
              <w:spacing w:after="40"/>
            </w:pPr>
            <w:r>
              <w:rPr>
                <w:rFonts w:ascii="微软雅黑" w:hAnsi="微软雅黑" w:eastAsia="微软雅黑" w:cs="微软雅黑"/>
              </w:rPr>
              <w:t>约70亿吨标准煤</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8862">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8885">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2035年中国能源消费总量预测</w:t>
            </w:r>
          </w:p>
        </w:tc>
        <w:tc>
          <w:tcPr>
            <w:tcW w:type="dxa" w:w="2268"/>
          </w:tcPr>
          <w:p>
            <w:pPr>
              <w:spacing w:after="40"/>
            </w:pPr>
            <w:r>
              <w:rPr>
                <w:rFonts w:ascii="微软雅黑" w:hAnsi="微软雅黑" w:eastAsia="微软雅黑" w:cs="微软雅黑"/>
              </w:rPr>
              <w:t>约76亿吨标准煤</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8862">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8885">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“十五五”能源消费年均增速预测</w:t>
            </w:r>
          </w:p>
        </w:tc>
        <w:tc>
          <w:tcPr>
            <w:tcW w:type="dxa" w:w="2268"/>
          </w:tcPr>
          <w:p>
            <w:pPr>
              <w:spacing w:after="40"/>
            </w:pPr>
            <w:r>
              <w:rPr>
                <w:rFonts w:ascii="微软雅黑" w:hAnsi="微软雅黑" w:eastAsia="微软雅黑" w:cs="微软雅黑"/>
              </w:rPr>
              <w:t>约2.6%</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8862">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8885">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用户侧市场主体数量增幅</w:t>
            </w:r>
          </w:p>
        </w:tc>
        <w:tc>
          <w:tcPr>
            <w:tcW w:type="dxa" w:w="2268"/>
          </w:tcPr>
          <w:p>
            <w:pPr>
              <w:spacing w:after="40"/>
            </w:pPr>
            <w:r>
              <w:rPr>
                <w:rFonts w:ascii="微软雅黑" w:hAnsi="微软雅黑" w:eastAsia="微软雅黑" w:cs="微软雅黑"/>
              </w:rPr>
              <w:t>较2025年年初增长197%</w:t>
            </w:r>
          </w:p>
        </w:tc>
        <w:tc>
          <w:tcPr>
            <w:tcW w:type="dxa" w:w="2268"/>
          </w:tcPr>
          <w:p>
            <w:pPr>
              <w:spacing w:after="40"/>
            </w:pPr>
            <w:r>
              <w:rPr>
                <w:rFonts w:ascii="微软雅黑" w:hAnsi="微软雅黑" w:eastAsia="微软雅黑" w:cs="微软雅黑"/>
              </w:rPr>
              <w:t>2026年9月</w:t>
            </w:r>
          </w:p>
        </w:tc>
        <w:tc>
          <w:tcPr>
            <w:tcW w:type="dxa" w:w="2268"/>
          </w:tcPr>
          <w:p>
            <w:pPr>
              <w:spacing w:after="40"/>
            </w:pPr>
            <w:r>
              <w:rPr>
                <w:rFonts w:ascii="微软雅黑" w:hAnsi="微软雅黑" w:eastAsia="微软雅黑" w:cs="微软雅黑"/>
              </w:rPr>
            </w:r>
            <w:hyperlink w:anchor="source-8769">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省间+省内两级现货市场最大外送电力</w:t>
            </w:r>
          </w:p>
        </w:tc>
        <w:tc>
          <w:tcPr>
            <w:tcW w:type="dxa" w:w="2268"/>
          </w:tcPr>
          <w:p>
            <w:pPr>
              <w:spacing w:after="40"/>
            </w:pPr>
            <w:r>
              <w:rPr>
                <w:rFonts w:ascii="微软雅黑" w:hAnsi="微软雅黑" w:eastAsia="微软雅黑" w:cs="微软雅黑"/>
              </w:rPr>
              <w:t>534万千瓦</w:t>
            </w:r>
          </w:p>
        </w:tc>
        <w:tc>
          <w:tcPr>
            <w:tcW w:type="dxa" w:w="2268"/>
          </w:tcPr>
          <w:p>
            <w:pPr>
              <w:spacing w:after="40"/>
            </w:pPr>
            <w:r>
              <w:rPr>
                <w:rFonts w:ascii="微软雅黑" w:hAnsi="微软雅黑" w:eastAsia="微软雅黑" w:cs="微软雅黑"/>
              </w:rPr>
              <w:t>大负荷高峰期</w:t>
            </w:r>
          </w:p>
        </w:tc>
        <w:tc>
          <w:tcPr>
            <w:tcW w:type="dxa" w:w="2268"/>
          </w:tcPr>
          <w:p>
            <w:pPr>
              <w:spacing w:after="40"/>
            </w:pPr>
            <w:r>
              <w:rPr>
                <w:rFonts w:ascii="微软雅黑" w:hAnsi="微软雅黑" w:eastAsia="微软雅黑" w:cs="微软雅黑"/>
              </w:rPr>
            </w:r>
            <w:hyperlink w:anchor="source-8769">
              <w:r>
                <w:rPr>
                  <w:rFonts w:ascii="微软雅黑" w:hAnsi="微软雅黑" w:eastAsia="微软雅黑" w:cs="微软雅黑"/>
                  <w:color w:val="087E89"/>
                </w:rPr>
                <w:t>9</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霍尔木兹海峡一艘船遭袭，火势已扑灭</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一艘船在霍尔木兹海峡水域遭袭，火势已被扑灭，船员安全，遭袭船只继续航行。</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暂未收到关于环境影响或损失评估的报告。通报建议相关海域船只谨慎通行。</w:t>
      </w:r>
    </w:p>
    <w:p>
      <w:pPr>
        <w:ind w:firstLine="420"/>
      </w:pPr>
      <w:r>
        <w:rPr>
          <w:rFonts w:ascii="微软雅黑" w:hAnsi="微软雅黑" w:eastAsia="微软雅黑" w:cs="微软雅黑"/>
        </w:rPr>
        <w:t>来源：</w:t>
      </w:r>
      <w:hyperlink w:anchor="source-8962">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2. 伊朗威胁扩大打击，等待美方回应海峡重开方案</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伊朗议长兼首席谈判代表加利巴夫威胁，若伊朗安全得不到保障，中东地区将“没有基础设施会安全”。伊朗外长阿拉格齐表示，预计美方将于周二就伊朗重开霍尔木兹海峡的方案作出正式答复。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卡塔尔斡旋方向美方再次转达了伊朗提议。伊朗的先决条件包括中东地区七天停火（含黎巴嫩）、解冻海外伊朗资产、解除对伊朗石油行业的制裁以及结束美国对伊朗港口的海军封锁。冲突前，霍尔木兹海峡承载全球五分之一的石油和液化天然气运输。伊朗革命卫队发言人驳斥美国关于海峡仍开放的声明，警告任何试图通过的船只都将被打击或触雷。</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伊朗的强硬表态及革命卫队对任何通过船只的打击威胁，可能进一步压制海峡通行意愿。</w:t>
      </w:r>
    </w:p>
    <w:p>
      <w:pPr>
        <w:ind w:firstLine="420"/>
      </w:pPr>
      <w:r>
        <w:rPr>
          <w:rFonts w:ascii="微软雅黑" w:hAnsi="微软雅黑" w:eastAsia="微软雅黑" w:cs="微软雅黑"/>
        </w:rPr>
        <w:t>来源：</w:t>
      </w:r>
      <w:hyperlink w:anchor="source-8958">
        <w:r>
          <w:rPr>
            <w:rFonts w:ascii="微软雅黑" w:hAnsi="微软雅黑" w:eastAsia="微软雅黑" w:cs="微软雅黑"/>
            <w:color w:val="087E89"/>
          </w:rPr>
          <w:t>19</w:t>
        </w:r>
      </w:hyperlink>
      <w:r>
        <w:rPr>
          <w:rFonts w:ascii="微软雅黑" w:hAnsi="微软雅黑" w:eastAsia="微软雅黑" w:cs="微软雅黑"/>
        </w:rPr>
        <w:t xml:space="preserve"> </w:t>
      </w:r>
      <w:hyperlink w:anchor="source-8887">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3. 伊朗警告将强硬回应限制其石油销售的企图</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伊朗议会议长加利巴夫表示，若伊朗的经济安全得不到保障，中东地区任何国家都无法出售石油，并称对侵略和冒险行为的回应将是“强硬、快速、精准”的。</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加利巴夫警告，若伊朗国家安全得不到保障，任何国家的基础设施都不会安全。他称美国试图对伊朗实施海上封锁、关闭空中走廊以及施压贸易路线的举措将失败。贝森特称，伊朗可能将在未来两周内完成向中国交付最后批次原油，之后将“无货”。</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来源未给出明确量化市场影响。</w:t>
      </w:r>
    </w:p>
    <w:p>
      <w:pPr>
        <w:ind w:firstLine="420"/>
      </w:pPr>
      <w:r>
        <w:rPr>
          <w:rFonts w:ascii="微软雅黑" w:hAnsi="微软雅黑" w:eastAsia="微软雅黑" w:cs="微软雅黑"/>
        </w:rPr>
        <w:t>来源：</w:t>
      </w:r>
      <w:hyperlink w:anchor="source-8897">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4. 欧洲能源价格创纪录高位，通胀压力上升</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9月中旬欧盟汽油加权平均价格为每升2.063欧元，柴油为每升2.159欧元，均创欧盟委员会有统计以来最高值。欧盟天然气价格一度达每兆瓦时79.5欧元，为近三年高点。8月欧盟年通胀率为3.2%。</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2021年至2025年，管道气在欧盟天然气进口中的占比由80%降至55%，液化天然气占比则由20%升至45%。芬兰能源与清洁空气研究中心报告显示，中东冲突后荷兰、意大利、法国、西班牙四国共承担了近410亿欧元的额外化石燃料成本。法国扩大针对高油价的定向援助并延长对渔业、农业、建筑业等燃油成本压力较大行业的支持；德国下调了能源税。8月欧盟27个成员国中有20个国家通胀率较7月上升。</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高油价、高气价推动欧盟通胀上行，迫使法、德等国出台定向援助或税收减免措施，凸显欧洲能源安全的结构性矛盾。</w:t>
      </w:r>
    </w:p>
    <w:p>
      <w:pPr>
        <w:ind w:firstLine="420"/>
      </w:pPr>
      <w:r>
        <w:rPr>
          <w:rFonts w:ascii="微软雅黑" w:hAnsi="微软雅黑" w:eastAsia="微软雅黑" w:cs="微软雅黑"/>
        </w:rPr>
        <w:t>来源：</w:t>
      </w:r>
      <w:hyperlink w:anchor="source-8934">
        <w:r>
          <w:rPr>
            <w:rFonts w:ascii="微软雅黑" w:hAnsi="微软雅黑" w:eastAsia="微软雅黑" w:cs="微软雅黑"/>
            <w:color w:val="087E89"/>
          </w:rPr>
          <w:t>22</w:t>
        </w:r>
      </w:hyperlink>
      <w:r>
        <w:rPr>
          <w:rFonts w:ascii="微软雅黑" w:hAnsi="微软雅黑" w:eastAsia="微软雅黑" w:cs="微软雅黑"/>
        </w:rPr>
        <w:t xml:space="preserve"> </w:t>
      </w:r>
      <w:hyperlink w:anchor="source-8726">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5. 欧盟能源专员呼吁节能以应对气价飙升与库存偏低</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欧盟能源专员丹·约根森致信各成员国能源部长，呼吁节能、维持储气库注气或在必要时削减天然气和电力需求。</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欧盟57%的能源消费依靠进口化石燃料。欧洲天然气价格创3年新高，天然气储存量仅达储存能力的65.6%，为15年来同期最低。</w:t>
      </w:r>
    </w:p>
    <w:p>
      <w:pPr>
        <w:ind w:firstLine="420"/>
      </w:pPr>
      <w:r>
        <w:rPr>
          <w:rFonts w:ascii="微软雅黑" w:hAnsi="微软雅黑" w:eastAsia="微软雅黑" w:cs="微软雅黑"/>
        </w:rPr>
        <w:t>来源：</w:t>
      </w:r>
      <w:hyperlink w:anchor="source-8933">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6. 印尼中苏拉威西省要求镍等矿产必须在国内终端加工后出口</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印尼中苏拉威西省副省长表示，镍等矿产必须在国内完成终端加工，不再以半成品或原材料形式出口。该表态明确了省级层面对资源下游化的政策导向。</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印尼中苏拉威西省副省长表态，镍等矿产必须在国内进行终端加工，禁止以半成品或原材料形态对外出口。此举是印尼持续推进矿产资源下游化、限制原矿出口政策的省级落地表态，旨在将附加值留在本地冶炼和制造环节。来源仅披露政策意图与表述，未给出具体细则、适用范围、生效时间或配套监管措施。</w:t>
      </w:r>
    </w:p>
    <w:p>
      <w:pPr>
        <w:ind w:firstLine="420"/>
      </w:pPr>
      <w:r>
        <w:rPr>
          <w:rFonts w:ascii="微软雅黑" w:hAnsi="微软雅黑" w:eastAsia="微软雅黑" w:cs="微软雅黑"/>
        </w:rPr>
        <w:t>来源：</w:t>
      </w:r>
      <w:hyperlink w:anchor="source-8881">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7. Polimex Mostostal将为波兰AP1000项目承建组装大厅</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波兰建筑工程公司Polimex Mostostal被Bechtel选中，负责交付、组装并调试两座大型组装大厅，作为波兰首座核电站建设项目的一部分。合同范围涵盖为Polskie Elektrownie Jądrowe（PEJ）所委托的三台Westinghouse AP1000机组提供生产与组装设施，包括设计文档开发、材料供应、结构组装、测试及验收移交。</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两座组装大厅每座长129米、宽55米、高44米，紧邻在建机组，将配备三台桥式起重机（两台125吨、一台60吨），用于组装结构和机械模块、安全壳环与顶盖以及保护厂房面板。PEJ称，仅今年一年已为Lubiatowo-Kopalino核电站项目与波兰分包商签订了超过10份大型合同及若干小型协议，截至目前与波兰企业签订的合同总金额已超过22亿兹罗提（约合5.7亿美元）。波兰能源部长Miłosz Motyka表示，核电站是波兰能源安全的支柱，也是最重要的工业项目之一。</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该合同进一步落实波兰首座核电站供应链本土化路径。AP1000采用模块化建造技术，组装大厅将承担结构与机械模块预制环节。</w:t>
      </w:r>
    </w:p>
    <w:p>
      <w:pPr>
        <w:ind w:firstLine="420"/>
      </w:pPr>
      <w:r>
        <w:rPr>
          <w:rFonts w:ascii="微软雅黑" w:hAnsi="微软雅黑" w:eastAsia="微软雅黑" w:cs="微软雅黑"/>
        </w:rPr>
        <w:t>来源：</w:t>
      </w:r>
      <w:hyperlink w:anchor="source-9069">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8. IEA数据显示2025年全球光伏新增装机约690 GW</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《世界核工业现状报告》采用的PV数据偏保守，IEA PVPS更近期的数据显示2025年全球光伏新增装机约690 GW，比WNISR采用的数据多约180 GW，意味着太阳能与核电之间的装机差距及增速差距比报告所示更大。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报道援引IEA PVPS较新数据，指出2025年全球光伏新增装机约690 GW，较WNISR所采用的数据多约180 GW。据此，太阳能与核电之间的累计装机差距以及增速差距，均大于原报告所呈现的水平。</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在统计口径更新的情况下，太阳能与核电之间的相对差距及增速差距进一步扩大。</w:t>
      </w:r>
    </w:p>
    <w:p>
      <w:pPr>
        <w:ind w:firstLine="420"/>
      </w:pPr>
      <w:r>
        <w:rPr>
          <w:rFonts w:ascii="微软雅黑" w:hAnsi="微软雅黑" w:eastAsia="微软雅黑" w:cs="微软雅黑"/>
        </w:rPr>
        <w:t>来源：</w:t>
      </w:r>
      <w:hyperlink w:anchor="source-8776">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9. 英国首相伯纳姆宣布设立大不列颠电网公司并推进并网改革</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英国首相安迪·伯纳姆宣布设立新的政府机构“大不列颠电网”（GBG），将汇集公共与私营资本投资电力网络基础设施，并与现有电网运营商协作，加快项目建设、引入竞争。同时，政府将推进“自建连接”改革，允许开发商和企业自行建设并网设施，并加速输电项目竞争性招标，GBG亦可参与竞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GBG将汇集公共与私营资本，投资电力网络基础设施，并与现有电网运营商协作，加快项目建设、增加竞争。政府将推进“自建连接”改革，允许开发商和企业自行建设并网设施，并加速输电项目竞争性招标，GBG亦可参与竞标。Ofgem仍为独立经济监管机构，NESO仍负责电力系统的运行、规划与协调，GBG不替代现有机构。爱尔兰类似“自建连接”改革使并网时间最多缩短11个月。</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参考爱尔兰同类改革，并网时间最多可缩短11个月，来源未对英国具体电价降幅作出量化预测。</w:t>
      </w:r>
    </w:p>
    <w:p>
      <w:pPr>
        <w:ind w:firstLine="420"/>
      </w:pPr>
      <w:r>
        <w:rPr>
          <w:rFonts w:ascii="微软雅黑" w:hAnsi="微软雅黑" w:eastAsia="微软雅黑" w:cs="微软雅黑"/>
        </w:rPr>
        <w:t>来源：</w:t>
      </w:r>
      <w:hyperlink w:anchor="source-9025">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9084">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10. 德国报告显示电池储能可削减可再生能源补贴</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德国行业报告显示，通过部署电池储能抑制电价波动，可在风光出力高峰时段吸收电能，减少负电价小时数约53%，并有望降低对可再生能源的补贴支出。</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同一模拟显示，负电价小时数将减少约53%。德国目前电池储能装机超过21吉瓦，主要来自户用储能，且有许多大型储能项目正在规划中，但并非全部会落地。大多数户用电池在早晨开始充电，到中午光伏出力高峰时已经充满，因此无法帮助平衡电网。德国政府正在讨论新法案，旨在使可再生能源扩张与电网容量同步以削减成本，包括降低电网拥塞地区新增风光项目激励及削减小型屋顶光伏支持。</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模拟显示负电价小时数可减少约53%；来源未量化对补贴总额的具体节省幅度。</w:t>
      </w:r>
    </w:p>
    <w:p>
      <w:pPr>
        <w:ind w:firstLine="420"/>
      </w:pPr>
      <w:r>
        <w:rPr>
          <w:rFonts w:ascii="微软雅黑" w:hAnsi="微软雅黑" w:eastAsia="微软雅黑" w:cs="微软雅黑"/>
        </w:rPr>
        <w:t>来源：</w:t>
      </w:r>
      <w:hyperlink w:anchor="source-8977">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11. 意大利规范Conto Energia光伏提前退出并要求项目使用欧盟组件</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意大利环境与能源安全部发布法令，规定前四期Conto Energia上网电价/补贴支持、容量大于20千瓦的光伏电站可自愿提前退出激励机制，自2028年1月1日起开放，总容量上限10吉瓦。</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法令要求再电气化项目只能使用依据181/2023法令第12条登记在册的欧盟制造组件；仅新增容量可获后续支持，原容量须通过长期合同售电。</w:t>
      </w:r>
    </w:p>
    <w:p>
      <w:pPr>
        <w:ind w:firstLine="420"/>
      </w:pPr>
      <w:r>
        <w:rPr>
          <w:rFonts w:ascii="微软雅黑" w:hAnsi="微软雅黑" w:eastAsia="微软雅黑" w:cs="微软雅黑"/>
        </w:rPr>
        <w:t>来源：</w:t>
      </w:r>
      <w:hyperlink w:anchor="source-8817">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12. 通用物质公司提交浓缩厂许可证申请</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通用物质公司依据10 CFR Part 70提交浓缩厂许可证申请，先申请生产特殊核材料（含LEU和LEU+），计划次年再提交修订以生产HALEU。</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申请依据10 CFR Part 70提出。第一阶段申请范围涵盖LEU及LEU+产品的生产，后续修订将扩展至HALEU产能。</w:t>
      </w:r>
    </w:p>
    <w:p>
      <w:pPr>
        <w:ind w:firstLine="420"/>
      </w:pPr>
      <w:r>
        <w:rPr>
          <w:rFonts w:ascii="微软雅黑" w:hAnsi="微软雅黑" w:eastAsia="微软雅黑" w:cs="微软雅黑"/>
        </w:rPr>
        <w:t>来源：</w:t>
      </w:r>
      <w:hyperlink w:anchor="source-9029">
        <w:r>
          <w:rPr>
            <w:rFonts w:ascii="微软雅黑" w:hAnsi="微软雅黑" w:eastAsia="微软雅黑" w:cs="微软雅黑"/>
            <w:color w:val="087E89"/>
          </w:rPr>
          <w:t>11</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13. 中美第八轮经贸磋商达成“300亿对300亿”对等降税共识</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中美双方于9月20日至23日在纽约和华盛顿举行第八轮中美经贸磋商，取得积极共识，同意建立中美贸易理事会，并就自对方进口约300亿美元产品以对等方式降低关税，其中约90%产品关税将降至最惠国税率水平。</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在中美经贸磋商机制项下，双方同意建立中美贸易理事会，优化双边贸易。双方同意以对等方式降低自对方进口约300亿美元产品的关税，各自约90%产品关税将降至最惠国税率水平。中方自美进口煤炭关税纳入“300亿对300亿”对等降税框架，有利于中方在2027年和2028年每年自美进口煤炭。双方同意将吉隆比亚太经合组织领导人非正式会议相关经贸磋商联合安排延期至2027年1月10日。</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该降税框架为中方2027年和2028年每年自美进口煤炭提供关税便利，有利于中美能源贸易往来。</w:t>
      </w:r>
    </w:p>
    <w:p>
      <w:pPr>
        <w:ind w:firstLine="420"/>
      </w:pPr>
      <w:r>
        <w:rPr>
          <w:rFonts w:ascii="微软雅黑" w:hAnsi="微软雅黑" w:eastAsia="微软雅黑" w:cs="微软雅黑"/>
        </w:rPr>
        <w:t>来源：</w:t>
      </w:r>
      <w:hyperlink w:anchor="source-8573">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14. 报告预计“十五五”中国石油消费进入峰值平台期</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相关报告预计，“十五五”时期中国石油消费将逐步进入峰值平台期。报告同时披露，2025年中国石油消费量为7.8亿吨，占一次能源消费的18.2%。</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告判断，“十五五”时期中国石油消费将逐步进入峰值平台期。2025年中国石油消费量为7.8亿吨，占一次能源消费的18.2%。报告另指出，2025年受宏观经济、供需基本面宽松及地缘政治冲突等多重因素影响，国际油价呈现震荡下行走势。</w:t>
      </w:r>
    </w:p>
    <w:p>
      <w:pPr>
        <w:ind w:firstLine="420"/>
      </w:pPr>
      <w:r>
        <w:rPr>
          <w:rFonts w:ascii="微软雅黑" w:hAnsi="微软雅黑" w:eastAsia="微软雅黑" w:cs="微软雅黑"/>
        </w:rPr>
        <w:t>来源：</w:t>
      </w:r>
      <w:hyperlink w:anchor="source-8861">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15. 十二部门发文攻坚多式联运 聚焦煤炭等国家物资</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交通运输部等十二部门联合印发《推动多式联运高质量发展优化调整运输结构攻坚行动方案（2026—2030年）》，聚焦煤炭、铁矿石、粮食等国家重点物资，依托综合立体交通网主骨架强化综合货运大通道功能。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方案提出加快铁路瓶颈路段扩能改造，推动跨区域跨流域繁忙通道数智化改造；有序提升干线航道能级，畅通长三角、珠三角区域江（河）海联运通道；实施国际运输通道体系韧性提升工程，提升中欧（亚）班列发展水平，有序推进中吉乌铁路建设并提升相关铁路口岸及后方通道基础设施能力；将分年度发布多式联运重点项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来源未给出对煤炭运输成本及价格的明确影响。</w:t>
      </w:r>
    </w:p>
    <w:p>
      <w:pPr>
        <w:ind w:firstLine="420"/>
      </w:pPr>
      <w:r>
        <w:rPr>
          <w:rFonts w:ascii="微软雅黑" w:hAnsi="微软雅黑" w:eastAsia="微软雅黑" w:cs="微软雅黑"/>
        </w:rPr>
        <w:t>来源：</w:t>
      </w:r>
      <w:hyperlink w:anchor="source-8884">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16. 研究预计2035年中国能源消费总量将达76亿吨标准煤</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研究预计2030年中国能源消费总量将达70亿吨标准煤，“十五五”时期年均增长约2.6%；2035年将达76亿吨标准煤，年均增速回落至约1.6%。“十六五”时期不仅能源消费增量需全部由非化石能源覆盖，还要推进化石能源存量替代。</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研究指出单一措施实现2035年温室气体减排7%至10%目标难度很大，需综合施策。建议加快发展水核风光发电，更大规模推进非化石能源制氢、供热等非电利用，扩大碳捕集规模。提出2035年核电发电量1.1万亿千瓦时，风光电量5.5万亿千瓦时以上，非化石能源供热制氢等非电利用规模1.9亿吨标准煤，其中可再生能源制氢约1000万吨；并将单位GDP能耗降幅由12%提至13%。高技术及装备制造业、数字经济、低空经济等被列为未来十年能源消费增长主要动力，“四大高耗能”等传统产业用能在“十六五”进入下降通道。</w:t>
      </w:r>
    </w:p>
    <w:p>
      <w:pPr>
        <w:ind w:firstLine="420"/>
      </w:pPr>
      <w:r>
        <w:rPr>
          <w:rFonts w:ascii="微软雅黑" w:hAnsi="微软雅黑" w:eastAsia="微软雅黑" w:cs="微软雅黑"/>
        </w:rPr>
        <w:t>来源：</w:t>
      </w:r>
      <w:hyperlink w:anchor="source-8862">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8885">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17. 田湾核电站7号机组首次达到最小可控功率水平</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田湾核电站7号机组首次达到最小可控功率水平，实现自持受控核链式反应。该电站由江苏核电有限公司运营，由中核集团（50%）、中国电力投资集团公司（30%）和江苏省国信集团（20%）合资组成。</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机组首次达到最小可控功率水平被业内视为反应堆启动过程中的关键节点，意味着反应堆已具备依靠自身核裂变反应维持稳定链式反应的能力。田湾核电站位于江苏，由上述三方股东合资的江苏核电有限公司负责运营。</w:t>
      </w:r>
    </w:p>
    <w:p>
      <w:pPr>
        <w:ind w:firstLine="420"/>
      </w:pPr>
      <w:r>
        <w:rPr>
          <w:rFonts w:ascii="微软雅黑" w:hAnsi="微软雅黑" w:eastAsia="微软雅黑" w:cs="微软雅黑"/>
        </w:rPr>
        <w:t>来源：</w:t>
      </w:r>
      <w:hyperlink w:anchor="source-8947">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18. 陕西电力现货市场正式运行</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2026年9月25日零时，陕西电力现货市场正式运行，成为全国第10个实现“全年无休、全电量出清、全主体参与”正式运行的省级电力现货市场。</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陕西自2022年11月启动首次模拟试运行，2025年1月1日在全国非试点省份中率先启动连续结算试运行。用户侧申报实现对批发大用户、售电公司的全覆盖，主体数量较2025年年初增长197%。大负荷高峰期通过“省间+省内”两级现货市场外送华东、西南等地最大电力达534万千瓦，并推动虚拟电厂“报量报价”入市、引导独立储能深度参与市场出清优化。改革在陕西省发展和改革委员会、国家能源局西北监管局指导下推进。</w:t>
      </w:r>
    </w:p>
    <w:p>
      <w:pPr>
        <w:ind w:firstLine="420"/>
      </w:pPr>
      <w:r>
        <w:rPr>
          <w:rFonts w:ascii="微软雅黑" w:hAnsi="微软雅黑" w:eastAsia="微软雅黑" w:cs="微软雅黑"/>
        </w:rPr>
        <w:t>来源：</w:t>
      </w:r>
      <w:hyperlink w:anchor="source-8769">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19. 浙江发布海洋清洁能源产业指引：2030年海风装机超1000万千瓦</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浙江省印发海洋清洁能源及其装备产业培育发展指引，明确到2030年海上风电装机超1000万千瓦，潮流能实现百兆瓦级商业化应用，海洋清洁能源及装备产业规模突破3000亿元。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指引提出海上光伏“风光同场”连片开发、绿色氢氨醇产业初具规模。技术方向涵盖机组大型化、轻量化、抗台风以及漂浮式风电、超长距离超高压柔性直流输电和数字孪生等智能运维。沿海核电领域将前瞻开展小型模块化反应堆、高温气冷堆等先进堆型研究，并拓展医用同位素、核能供热、海水淡化等综合利用。目标培育领军企业、专精特新企业50家以上，建设全国海洋清洁能源创新高地、产业培育集聚地和融合发展先行地。</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指引有望拉动浙江海工装备、海缆及大兆瓦整机产业链投资，并带动氢氨醇、海上光伏和核电综合利用的多元化布局。</w:t>
      </w:r>
    </w:p>
    <w:p>
      <w:pPr>
        <w:ind w:firstLine="420"/>
      </w:pPr>
      <w:r>
        <w:rPr>
          <w:rFonts w:ascii="微软雅黑" w:hAnsi="微软雅黑" w:eastAsia="微软雅黑" w:cs="微软雅黑"/>
        </w:rPr>
        <w:t>来源：</w:t>
      </w:r>
      <w:hyperlink w:anchor="source-8869">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8652">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20. 我国能源企业已发布20余个专业大模型</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截至2026年6月，我国能源企业已发布20余个专业大模型，其中《人工智能与能源双向赋能趋势展望》系首次发布。</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指出，能源行业通过高价值场景梳理发布、场景开放和试点示范等方式，将行业真实需求转化为技术研发和产品迭代方向。人工智能应用正由“模型驱动”转向“场景牵引”，技术、数据和算力资源进一步集中于高频、高价值、可量化、可验证的业务环节。</w:t>
      </w:r>
    </w:p>
    <w:p>
      <w:pPr>
        <w:ind w:firstLine="420"/>
      </w:pPr>
      <w:r>
        <w:rPr>
          <w:rFonts w:ascii="微软雅黑" w:hAnsi="微软雅黑" w:eastAsia="微软雅黑" w:cs="微软雅黑"/>
        </w:rPr>
        <w:t>来源：</w:t>
      </w:r>
      <w:hyperlink w:anchor="source-8855">
        <w:r>
          <w:rPr>
            <w:rFonts w:ascii="微软雅黑" w:hAnsi="微软雅黑" w:eastAsia="微软雅黑" w:cs="微软雅黑"/>
            <w:color w:val="087E89"/>
          </w:rPr>
          <w:t>18</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三台AP1000机组的建设进度及后续波兰本土分包合同签订情况。 </w:t>
      </w:r>
      <w:hyperlink w:anchor="source-9069">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袭击者身份及动机尚未公布；环境影响或损失评估待披露。 </w:t>
      </w:r>
      <w:hyperlink w:anchor="source-8962">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伊朗对华原油交付最后批次的完成时点；美方海上封锁与贸易路线施压的实际举措。 </w:t>
      </w:r>
      <w:hyperlink w:anchor="source-8897">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GBG与现有电网运营商、监管机构之间的职责划分及“自建连接”改革实施细则有待落地。 </w:t>
      </w:r>
      <w:hyperlink w:anchor="source-9025">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9084">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上述数据为研究预测，具体政策落实节奏与项目落地情况有待后续观察。 </w:t>
      </w:r>
      <w:hyperlink w:anchor="source-8862">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8885">
        <w:r>
          <w:rPr>
            <w:rFonts w:ascii="微软雅黑" w:hAnsi="微软雅黑" w:eastAsia="微软雅黑" w:cs="微软雅黑"/>
            <w:color w:val="087E89"/>
          </w:rPr>
          <w:t>8</w:t>
        </w:r>
      </w:hyperlink>
      <w:r>
        <w:rPr>
          <w:rFonts w:ascii="微软雅黑" w:hAnsi="微软雅黑" w:eastAsia="微软雅黑" w:cs="微软雅黑"/>
        </w:rPr>
      </w:r>
    </w:p>
    <w:p>
      <w:pPr>
        <w:pStyle w:val="ListBullet"/>
      </w:pPr>
      <w:r>
        <w:rPr>
          <w:rFonts w:ascii="微软雅黑" w:hAnsi="微软雅黑" w:eastAsia="微软雅黑" w:cs="微软雅黑"/>
        </w:rPr>
        <w:t xml:space="preserve">虚拟电厂“报量报价”及独立储能参与市场出清的运行实效有待后续观察。 </w:t>
      </w:r>
      <w:hyperlink w:anchor="source-8769">
        <w:r>
          <w:rPr>
            <w:rFonts w:ascii="微软雅黑" w:hAnsi="微软雅黑" w:eastAsia="微软雅黑" w:cs="微软雅黑"/>
            <w:color w:val="087E89"/>
          </w:rPr>
          <w:t>9</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438 篇文章，形成 378 篇有效能源材料；正文引用 25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37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9069"/>
      <w:bookmarkEnd w:id="1" w:name="source-9069"/>
    </w:p>
    <w:p>
      <w:pPr>
        <w:pStyle w:val="ListBullet"/>
      </w:pPr>
      <w:r>
        <w:rPr>
          <w:rFonts w:ascii="微软雅黑" w:hAnsi="微软雅黑" w:eastAsia="微软雅黑" w:cs="微软雅黑"/>
        </w:rPr>
        <w:t>[1] 世界核新闻｜</w:t>
      </w:r>
      <w:hyperlink r:id="rId11">
        <w:r>
          <w:rPr>
            <w:rFonts w:ascii="微软雅黑" w:hAnsi="微软雅黑" w:eastAsia="微软雅黑" w:cs="微软雅黑"/>
            <w:color w:val="087E89"/>
          </w:rPr>
          <w:t>Polimex Mostostal将为波兰AP1000项目建造组装大厅</w:t>
        </w:r>
      </w:hyperlink>
      <w:r>
        <w:rPr>
          <w:rFonts w:ascii="微软雅黑" w:hAnsi="微软雅黑" w:eastAsia="微软雅黑" w:cs="微软雅黑"/>
        </w:rPr>
      </w:r>
    </w:p>
    <w:p>
      <w:pPr>
        <w:spacing w:after="0" w:line="20" w:lineRule="exact"/>
      </w:pPr>
      <w:bookmarkStart w:id="2" w:name="source-8962"/>
      <w:bookmarkEnd w:id="2" w:name="source-8962"/>
    </w:p>
    <w:p>
      <w:pPr>
        <w:pStyle w:val="ListBullet"/>
      </w:pPr>
      <w:r>
        <w:rPr>
          <w:rFonts w:ascii="微软雅黑" w:hAnsi="微软雅黑" w:eastAsia="微软雅黑" w:cs="微软雅黑"/>
        </w:rPr>
        <w:t>[2] 人民财讯等｜</w:t>
      </w:r>
      <w:hyperlink r:id="rId12">
        <w:r>
          <w:rPr>
            <w:rFonts w:ascii="微软雅黑" w:hAnsi="微软雅黑" w:eastAsia="微软雅黑" w:cs="微软雅黑"/>
            <w:color w:val="087E89"/>
          </w:rPr>
          <w:t>一艘船在霍尔木兹海峡水域遭袭</w:t>
        </w:r>
      </w:hyperlink>
      <w:r>
        <w:rPr>
          <w:rFonts w:ascii="微软雅黑" w:hAnsi="微软雅黑" w:eastAsia="微软雅黑" w:cs="微软雅黑"/>
        </w:rPr>
      </w:r>
    </w:p>
    <w:p>
      <w:pPr>
        <w:spacing w:after="0" w:line="20" w:lineRule="exact"/>
      </w:pPr>
      <w:bookmarkStart w:id="3" w:name="source-8897"/>
      <w:bookmarkEnd w:id="3" w:name="source-8897"/>
    </w:p>
    <w:p>
      <w:pPr>
        <w:pStyle w:val="ListBullet"/>
      </w:pPr>
      <w:r>
        <w:rPr>
          <w:rFonts w:ascii="微软雅黑" w:hAnsi="微软雅黑" w:eastAsia="微软雅黑" w:cs="微软雅黑"/>
        </w:rPr>
        <w:t>[3] Interfax｜</w:t>
      </w:r>
      <w:hyperlink r:id="rId13">
        <w:r>
          <w:rPr>
            <w:rFonts w:ascii="微软雅黑" w:hAnsi="微软雅黑" w:eastAsia="微软雅黑" w:cs="微软雅黑"/>
            <w:color w:val="087E89"/>
          </w:rPr>
          <w:t>德黑兰准备回应限制伊朗石油销售的企图</w:t>
        </w:r>
      </w:hyperlink>
      <w:r>
        <w:rPr>
          <w:rFonts w:ascii="微软雅黑" w:hAnsi="微软雅黑" w:eastAsia="微软雅黑" w:cs="微软雅黑"/>
        </w:rPr>
      </w:r>
    </w:p>
    <w:p>
      <w:pPr>
        <w:spacing w:after="0" w:line="20" w:lineRule="exact"/>
      </w:pPr>
      <w:bookmarkStart w:id="4" w:name="source-9025"/>
      <w:bookmarkEnd w:id="4" w:name="source-9025"/>
    </w:p>
    <w:p>
      <w:pPr>
        <w:pStyle w:val="ListBullet"/>
      </w:pPr>
      <w:r>
        <w:rPr>
          <w:rFonts w:ascii="微软雅黑" w:hAnsi="微软雅黑" w:eastAsia="微软雅黑" w:cs="微软雅黑"/>
        </w:rPr>
        <w:t>[4] 英国能源安全与净零排放部｜</w:t>
      </w:r>
      <w:hyperlink r:id="rId14">
        <w:r>
          <w:rPr>
            <w:rFonts w:ascii="微软雅黑" w:hAnsi="微软雅黑" w:eastAsia="微软雅黑" w:cs="微软雅黑"/>
            <w:color w:val="087E89"/>
          </w:rPr>
          <w:t>大不列颠电网将加速并网并降低电费</w:t>
        </w:r>
      </w:hyperlink>
      <w:r>
        <w:rPr>
          <w:rFonts w:ascii="微软雅黑" w:hAnsi="微软雅黑" w:eastAsia="微软雅黑" w:cs="微软雅黑"/>
        </w:rPr>
      </w:r>
    </w:p>
    <w:p>
      <w:pPr>
        <w:spacing w:after="0" w:line="20" w:lineRule="exact"/>
      </w:pPr>
      <w:bookmarkStart w:id="5" w:name="source-9084"/>
      <w:bookmarkEnd w:id="5" w:name="source-9084"/>
    </w:p>
    <w:p>
      <w:pPr>
        <w:pStyle w:val="ListBullet"/>
      </w:pPr>
      <w:r>
        <w:rPr>
          <w:rFonts w:ascii="微软雅黑" w:hAnsi="微软雅黑" w:eastAsia="微软雅黑" w:cs="微软雅黑"/>
        </w:rPr>
        <w:t>[5] Vanguard News｜</w:t>
      </w:r>
      <w:hyperlink r:id="rId15">
        <w:r>
          <w:rPr>
            <w:rFonts w:ascii="微软雅黑" w:hAnsi="微软雅黑" w:eastAsia="微软雅黑" w:cs="微软雅黑"/>
            <w:color w:val="087E89"/>
          </w:rPr>
          <w:t>首相伯纳姆誓言为英国走“全新道路”</w:t>
        </w:r>
      </w:hyperlink>
      <w:r>
        <w:rPr>
          <w:rFonts w:ascii="微软雅黑" w:hAnsi="微软雅黑" w:eastAsia="微软雅黑" w:cs="微软雅黑"/>
        </w:rPr>
      </w:r>
    </w:p>
    <w:p>
      <w:pPr>
        <w:spacing w:after="0" w:line="20" w:lineRule="exact"/>
      </w:pPr>
      <w:bookmarkStart w:id="6" w:name="source-8933"/>
      <w:bookmarkEnd w:id="6" w:name="source-8933"/>
    </w:p>
    <w:p>
      <w:pPr>
        <w:pStyle w:val="ListBullet"/>
      </w:pPr>
      <w:r>
        <w:rPr>
          <w:rFonts w:ascii="微软雅黑" w:hAnsi="微软雅黑" w:eastAsia="微软雅黑" w:cs="微软雅黑"/>
        </w:rPr>
        <w:t>[6] 中国能源新闻网｜</w:t>
      </w:r>
      <w:hyperlink r:id="rId16">
        <w:r>
          <w:rPr>
            <w:rFonts w:ascii="微软雅黑" w:hAnsi="微软雅黑" w:eastAsia="微软雅黑" w:cs="微软雅黑"/>
            <w:color w:val="087E89"/>
          </w:rPr>
          <w:t>能源价格飙涨 欧盟能源专员呼吁节能</w:t>
        </w:r>
      </w:hyperlink>
      <w:r>
        <w:rPr>
          <w:rFonts w:ascii="微软雅黑" w:hAnsi="微软雅黑" w:eastAsia="微软雅黑" w:cs="微软雅黑"/>
        </w:rPr>
      </w:r>
    </w:p>
    <w:p>
      <w:pPr>
        <w:spacing w:after="0" w:line="20" w:lineRule="exact"/>
      </w:pPr>
      <w:bookmarkStart w:id="7" w:name="source-8862"/>
      <w:bookmarkEnd w:id="7" w:name="source-8862"/>
    </w:p>
    <w:p>
      <w:pPr>
        <w:pStyle w:val="ListBullet"/>
      </w:pPr>
      <w:r>
        <w:rPr>
          <w:rFonts w:ascii="微软雅黑" w:hAnsi="微软雅黑" w:eastAsia="微软雅黑" w:cs="微软雅黑"/>
        </w:rPr>
        <w:t>[7] 中国新闻网｜</w:t>
      </w:r>
      <w:hyperlink r:id="rId17">
        <w:r>
          <w:rPr>
            <w:rFonts w:ascii="微软雅黑" w:hAnsi="微软雅黑" w:eastAsia="微软雅黑" w:cs="微软雅黑"/>
            <w:color w:val="087E89"/>
          </w:rPr>
          <w:t>研究预计2035年中国能源消费总量将达76亿吨标准煤</w:t>
        </w:r>
      </w:hyperlink>
      <w:r>
        <w:rPr>
          <w:rFonts w:ascii="微软雅黑" w:hAnsi="微软雅黑" w:eastAsia="微软雅黑" w:cs="微软雅黑"/>
        </w:rPr>
      </w:r>
    </w:p>
    <w:p>
      <w:pPr>
        <w:spacing w:after="0" w:line="20" w:lineRule="exact"/>
      </w:pPr>
      <w:bookmarkStart w:id="8" w:name="source-8885"/>
      <w:bookmarkEnd w:id="8" w:name="source-8885"/>
    </w:p>
    <w:p>
      <w:pPr>
        <w:pStyle w:val="ListBullet"/>
      </w:pPr>
      <w:r>
        <w:rPr>
          <w:rFonts w:ascii="微软雅黑" w:hAnsi="微软雅黑" w:eastAsia="微软雅黑" w:cs="微软雅黑"/>
        </w:rPr>
        <w:t>[8] Mysteel｜</w:t>
      </w:r>
      <w:hyperlink r:id="rId18">
        <w:r>
          <w:rPr>
            <w:rFonts w:ascii="微软雅黑" w:hAnsi="微软雅黑" w:eastAsia="微软雅黑" w:cs="微软雅黑"/>
            <w:color w:val="087E89"/>
          </w:rPr>
          <w:t>研究预计2035年中国能源消费总量将达76亿吨标准煤</w:t>
        </w:r>
      </w:hyperlink>
      <w:r>
        <w:rPr>
          <w:rFonts w:ascii="微软雅黑" w:hAnsi="微软雅黑" w:eastAsia="微软雅黑" w:cs="微软雅黑"/>
        </w:rPr>
      </w:r>
    </w:p>
    <w:p>
      <w:pPr>
        <w:spacing w:after="0" w:line="20" w:lineRule="exact"/>
      </w:pPr>
      <w:bookmarkStart w:id="9" w:name="source-8769"/>
      <w:bookmarkEnd w:id="9" w:name="source-8769"/>
    </w:p>
    <w:p>
      <w:pPr>
        <w:pStyle w:val="ListBullet"/>
      </w:pPr>
      <w:r>
        <w:rPr>
          <w:rFonts w:ascii="微软雅黑" w:hAnsi="微软雅黑" w:eastAsia="微软雅黑" w:cs="微软雅黑"/>
        </w:rPr>
        <w:t>[9] 中关村储能产业技术联盟｜</w:t>
      </w:r>
      <w:hyperlink r:id="rId19">
        <w:r>
          <w:rPr>
            <w:rFonts w:ascii="微软雅黑" w:hAnsi="微软雅黑" w:eastAsia="微软雅黑" w:cs="微软雅黑"/>
            <w:color w:val="087E89"/>
          </w:rPr>
          <w:t>全国第十个电力现货市场转入正式运行！引导独立储能深度参与市场出清优化</w:t>
        </w:r>
      </w:hyperlink>
      <w:r>
        <w:rPr>
          <w:rFonts w:ascii="微软雅黑" w:hAnsi="微软雅黑" w:eastAsia="微软雅黑" w:cs="微软雅黑"/>
        </w:rPr>
      </w:r>
    </w:p>
    <w:p>
      <w:pPr>
        <w:spacing w:after="0" w:line="20" w:lineRule="exact"/>
      </w:pPr>
      <w:bookmarkStart w:id="10" w:name="source-8573"/>
      <w:bookmarkEnd w:id="10" w:name="source-8573"/>
    </w:p>
    <w:p>
      <w:pPr>
        <w:pStyle w:val="ListBullet"/>
      </w:pPr>
      <w:r>
        <w:rPr>
          <w:rFonts w:ascii="微软雅黑" w:hAnsi="微软雅黑" w:eastAsia="微软雅黑" w:cs="微软雅黑"/>
        </w:rPr>
        <w:t>[10] 人民日报｜</w:t>
      </w:r>
      <w:hyperlink r:id="rId20">
        <w:r>
          <w:rPr>
            <w:rFonts w:ascii="微软雅黑" w:hAnsi="微软雅黑" w:eastAsia="微软雅黑" w:cs="微软雅黑"/>
            <w:color w:val="087E89"/>
          </w:rPr>
          <w:t>商务部美大司负责人解读第八轮中美经贸磋商成果</w:t>
        </w:r>
      </w:hyperlink>
      <w:r>
        <w:rPr>
          <w:rFonts w:ascii="微软雅黑" w:hAnsi="微软雅黑" w:eastAsia="微软雅黑" w:cs="微软雅黑"/>
        </w:rPr>
      </w:r>
    </w:p>
    <w:p>
      <w:pPr>
        <w:spacing w:after="0" w:line="20" w:lineRule="exact"/>
      </w:pPr>
      <w:bookmarkStart w:id="11" w:name="source-9029"/>
      <w:bookmarkEnd w:id="11" w:name="source-9029"/>
    </w:p>
    <w:p>
      <w:pPr>
        <w:pStyle w:val="ListBullet"/>
      </w:pPr>
      <w:r>
        <w:rPr>
          <w:rFonts w:ascii="微软雅黑" w:hAnsi="微软雅黑" w:eastAsia="微软雅黑" w:cs="微软雅黑"/>
        </w:rPr>
        <w:t>[11] 世界核新闻｜</w:t>
      </w:r>
      <w:hyperlink r:id="rId21">
        <w:r>
          <w:rPr>
            <w:rFonts w:ascii="微软雅黑" w:hAnsi="微软雅黑" w:eastAsia="微软雅黑" w:cs="微软雅黑"/>
            <w:color w:val="087E89"/>
          </w:rPr>
          <w:t>通用物质公司提交浓缩厂许可证申请</w:t>
        </w:r>
      </w:hyperlink>
      <w:r>
        <w:rPr>
          <w:rFonts w:ascii="微软雅黑" w:hAnsi="微软雅黑" w:eastAsia="微软雅黑" w:cs="微软雅黑"/>
        </w:rPr>
      </w:r>
    </w:p>
    <w:p>
      <w:pPr>
        <w:spacing w:after="0" w:line="20" w:lineRule="exact"/>
      </w:pPr>
      <w:bookmarkStart w:id="12" w:name="source-8869"/>
      <w:bookmarkEnd w:id="12" w:name="source-8869"/>
    </w:p>
    <w:p>
      <w:pPr>
        <w:pStyle w:val="ListBullet"/>
      </w:pPr>
      <w:r>
        <w:rPr>
          <w:rFonts w:ascii="微软雅黑" w:hAnsi="微软雅黑" w:eastAsia="微软雅黑" w:cs="微软雅黑"/>
        </w:rPr>
        <w:t>[12] 中国能源新闻网｜</w:t>
      </w:r>
      <w:hyperlink r:id="rId22">
        <w:r>
          <w:rPr>
            <w:rFonts w:ascii="微软雅黑" w:hAnsi="微软雅黑" w:eastAsia="微软雅黑" w:cs="微软雅黑"/>
            <w:color w:val="087E89"/>
          </w:rPr>
          <w:t>到2030年，浙江海上风电装机超1000万千瓦</w:t>
        </w:r>
      </w:hyperlink>
      <w:r>
        <w:rPr>
          <w:rFonts w:ascii="微软雅黑" w:hAnsi="微软雅黑" w:eastAsia="微软雅黑" w:cs="微软雅黑"/>
        </w:rPr>
      </w:r>
    </w:p>
    <w:p>
      <w:pPr>
        <w:spacing w:after="0" w:line="20" w:lineRule="exact"/>
      </w:pPr>
      <w:bookmarkStart w:id="13" w:name="source-8652"/>
      <w:bookmarkEnd w:id="13" w:name="source-8652"/>
    </w:p>
    <w:p>
      <w:pPr>
        <w:pStyle w:val="ListBullet"/>
      </w:pPr>
      <w:r>
        <w:rPr>
          <w:rFonts w:ascii="微软雅黑" w:hAnsi="微软雅黑" w:eastAsia="微软雅黑" w:cs="微软雅黑"/>
        </w:rPr>
        <w:t>[13] 中国能源网｜</w:t>
      </w:r>
      <w:hyperlink r:id="rId23">
        <w:r>
          <w:rPr>
            <w:rFonts w:ascii="微软雅黑" w:hAnsi="微软雅黑" w:eastAsia="微软雅黑" w:cs="微软雅黑"/>
            <w:color w:val="087E89"/>
          </w:rPr>
          <w:t>浙江省：2030年海风装机超10GW，建成千万千瓦级海上风电基地</w:t>
        </w:r>
      </w:hyperlink>
      <w:r>
        <w:rPr>
          <w:rFonts w:ascii="微软雅黑" w:hAnsi="微软雅黑" w:eastAsia="微软雅黑" w:cs="微软雅黑"/>
        </w:rPr>
      </w:r>
    </w:p>
    <w:p>
      <w:pPr>
        <w:spacing w:after="0" w:line="20" w:lineRule="exact"/>
      </w:pPr>
      <w:bookmarkStart w:id="14" w:name="source-8861"/>
      <w:bookmarkEnd w:id="14" w:name="source-8861"/>
    </w:p>
    <w:p>
      <w:pPr>
        <w:pStyle w:val="ListBullet"/>
      </w:pPr>
      <w:r>
        <w:rPr>
          <w:rFonts w:ascii="微软雅黑" w:hAnsi="微软雅黑" w:eastAsia="微软雅黑" w:cs="微软雅黑"/>
        </w:rPr>
        <w:t>[14] 中国新闻网｜</w:t>
      </w:r>
      <w:hyperlink r:id="rId24">
        <w:r>
          <w:rPr>
            <w:rFonts w:ascii="微软雅黑" w:hAnsi="微软雅黑" w:eastAsia="微软雅黑" w:cs="微软雅黑"/>
            <w:color w:val="087E89"/>
          </w:rPr>
          <w:t>报告预计“十五五”时期中国石油消费逐步进入峰值平台期</w:t>
        </w:r>
      </w:hyperlink>
      <w:r>
        <w:rPr>
          <w:rFonts w:ascii="微软雅黑" w:hAnsi="微软雅黑" w:eastAsia="微软雅黑" w:cs="微软雅黑"/>
        </w:rPr>
      </w:r>
    </w:p>
    <w:p>
      <w:pPr>
        <w:spacing w:after="0" w:line="20" w:lineRule="exact"/>
      </w:pPr>
      <w:bookmarkStart w:id="15" w:name="source-8817"/>
      <w:bookmarkEnd w:id="15" w:name="source-8817"/>
    </w:p>
    <w:p>
      <w:pPr>
        <w:pStyle w:val="ListBullet"/>
      </w:pPr>
      <w:r>
        <w:rPr>
          <w:rFonts w:ascii="微软雅黑" w:hAnsi="微软雅黑" w:eastAsia="微软雅黑" w:cs="微软雅黑"/>
        </w:rPr>
        <w:t>[15] 光伏杂志国际版｜</w:t>
      </w:r>
      <w:hyperlink r:id="rId25">
        <w:r>
          <w:rPr>
            <w:rFonts w:ascii="微软雅黑" w:hAnsi="微软雅黑" w:eastAsia="微软雅黑" w:cs="微软雅黑"/>
            <w:color w:val="087E89"/>
          </w:rPr>
          <w:t>意大利出台规则规范退出Conto Energia光伏激励计划，并要求重新供电项目使用欧盟产组件</w:t>
        </w:r>
      </w:hyperlink>
      <w:r>
        <w:rPr>
          <w:rFonts w:ascii="微软雅黑" w:hAnsi="微软雅黑" w:eastAsia="微软雅黑" w:cs="微软雅黑"/>
        </w:rPr>
      </w:r>
    </w:p>
    <w:p>
      <w:pPr>
        <w:spacing w:after="0" w:line="20" w:lineRule="exact"/>
      </w:pPr>
      <w:bookmarkStart w:id="16" w:name="source-8884"/>
      <w:bookmarkEnd w:id="16" w:name="source-8884"/>
    </w:p>
    <w:p>
      <w:pPr>
        <w:pStyle w:val="ListBullet"/>
      </w:pPr>
      <w:r>
        <w:rPr>
          <w:rFonts w:ascii="微软雅黑" w:hAnsi="微软雅黑" w:eastAsia="微软雅黑" w:cs="微软雅黑"/>
        </w:rPr>
        <w:t>[16] Mysteel｜</w:t>
      </w:r>
      <w:hyperlink r:id="rId26">
        <w:r>
          <w:rPr>
            <w:rFonts w:ascii="微软雅黑" w:hAnsi="微软雅黑" w:eastAsia="微软雅黑" w:cs="微软雅黑"/>
            <w:color w:val="087E89"/>
          </w:rPr>
          <w:t>十二部门：聚焦煤炭、铁矿石、粮食等国家重点物资，强化综合货运大通道功能</w:t>
        </w:r>
      </w:hyperlink>
      <w:r>
        <w:rPr>
          <w:rFonts w:ascii="微软雅黑" w:hAnsi="微软雅黑" w:eastAsia="微软雅黑" w:cs="微软雅黑"/>
        </w:rPr>
      </w:r>
    </w:p>
    <w:p>
      <w:pPr>
        <w:spacing w:after="0" w:line="20" w:lineRule="exact"/>
      </w:pPr>
      <w:bookmarkStart w:id="17" w:name="source-8881"/>
      <w:bookmarkEnd w:id="17" w:name="source-8881"/>
    </w:p>
    <w:p>
      <w:pPr>
        <w:pStyle w:val="ListBullet"/>
      </w:pPr>
      <w:r>
        <w:rPr>
          <w:rFonts w:ascii="微软雅黑" w:hAnsi="微软雅黑" w:eastAsia="微软雅黑" w:cs="微软雅黑"/>
        </w:rPr>
        <w:t>[17] Mysteel｜</w:t>
      </w:r>
      <w:hyperlink r:id="rId27">
        <w:r>
          <w:rPr>
            <w:rFonts w:ascii="微软雅黑" w:hAnsi="微软雅黑" w:eastAsia="微软雅黑" w:cs="微软雅黑"/>
            <w:color w:val="087E89"/>
          </w:rPr>
          <w:t>关键矿产日报：达拉布特一号煤矿开工，加达锂矿再增42万吨氧化锂</w:t>
        </w:r>
      </w:hyperlink>
      <w:r>
        <w:rPr>
          <w:rFonts w:ascii="微软雅黑" w:hAnsi="微软雅黑" w:eastAsia="微软雅黑" w:cs="微软雅黑"/>
        </w:rPr>
      </w:r>
    </w:p>
    <w:p>
      <w:pPr>
        <w:spacing w:after="0" w:line="20" w:lineRule="exact"/>
      </w:pPr>
      <w:bookmarkStart w:id="18" w:name="source-8855"/>
      <w:bookmarkEnd w:id="18" w:name="source-8855"/>
    </w:p>
    <w:p>
      <w:pPr>
        <w:pStyle w:val="ListBullet"/>
      </w:pPr>
      <w:r>
        <w:rPr>
          <w:rFonts w:ascii="微软雅黑" w:hAnsi="微软雅黑" w:eastAsia="微软雅黑" w:cs="微软雅黑"/>
        </w:rPr>
        <w:t>[18] 人民财讯等｜</w:t>
      </w:r>
      <w:hyperlink r:id="rId28">
        <w:r>
          <w:rPr>
            <w:rFonts w:ascii="微软雅黑" w:hAnsi="微软雅黑" w:eastAsia="微软雅黑" w:cs="微软雅黑"/>
            <w:color w:val="087E89"/>
          </w:rPr>
          <w:t>我国能源企业已发布20余个专业大模型</w:t>
        </w:r>
      </w:hyperlink>
      <w:r>
        <w:rPr>
          <w:rFonts w:ascii="微软雅黑" w:hAnsi="微软雅黑" w:eastAsia="微软雅黑" w:cs="微软雅黑"/>
        </w:rPr>
      </w:r>
    </w:p>
    <w:p>
      <w:pPr>
        <w:spacing w:after="0" w:line="20" w:lineRule="exact"/>
      </w:pPr>
      <w:bookmarkStart w:id="19" w:name="source-8958"/>
      <w:bookmarkEnd w:id="19" w:name="source-8958"/>
    </w:p>
    <w:p>
      <w:pPr>
        <w:pStyle w:val="ListBullet"/>
      </w:pPr>
      <w:r>
        <w:rPr>
          <w:rFonts w:ascii="微软雅黑" w:hAnsi="微软雅黑" w:eastAsia="微软雅黑" w:cs="微软雅黑"/>
        </w:rPr>
        <w:t>[19] Vanguard News｜</w:t>
      </w:r>
      <w:hyperlink r:id="rId29">
        <w:r>
          <w:rPr>
            <w:rFonts w:ascii="微软雅黑" w:hAnsi="微软雅黑" w:eastAsia="微软雅黑" w:cs="微软雅黑"/>
            <w:color w:val="087E89"/>
          </w:rPr>
          <w:t>伊朗威胁发动新打击，等待美国对霍尔木兹海峡计划的回应</w:t>
        </w:r>
      </w:hyperlink>
      <w:r>
        <w:rPr>
          <w:rFonts w:ascii="微软雅黑" w:hAnsi="微软雅黑" w:eastAsia="微软雅黑" w:cs="微软雅黑"/>
        </w:rPr>
      </w:r>
    </w:p>
    <w:p>
      <w:pPr>
        <w:spacing w:after="0" w:line="20" w:lineRule="exact"/>
      </w:pPr>
      <w:bookmarkStart w:id="20" w:name="source-8887"/>
      <w:bookmarkEnd w:id="20" w:name="source-8887"/>
    </w:p>
    <w:p>
      <w:pPr>
        <w:pStyle w:val="ListBullet"/>
      </w:pPr>
      <w:r>
        <w:rPr>
          <w:rFonts w:ascii="微软雅黑" w:hAnsi="微软雅黑" w:eastAsia="微软雅黑" w:cs="微软雅黑"/>
        </w:rPr>
        <w:t>[20] Vanguard News｜</w:t>
      </w:r>
      <w:hyperlink r:id="rId30">
        <w:r>
          <w:rPr>
            <w:rFonts w:ascii="微软雅黑" w:hAnsi="微软雅黑" w:eastAsia="微软雅黑" w:cs="微软雅黑"/>
            <w:color w:val="087E89"/>
          </w:rPr>
          <w:t>伊朗称预计美国周二就开放霍尔木兹海峡的计划作出答复</w:t>
        </w:r>
      </w:hyperlink>
      <w:r>
        <w:rPr>
          <w:rFonts w:ascii="微软雅黑" w:hAnsi="微软雅黑" w:eastAsia="微软雅黑" w:cs="微软雅黑"/>
        </w:rPr>
      </w:r>
    </w:p>
    <w:p>
      <w:pPr>
        <w:spacing w:after="0" w:line="20" w:lineRule="exact"/>
      </w:pPr>
      <w:bookmarkStart w:id="21" w:name="source-8776"/>
      <w:bookmarkEnd w:id="21" w:name="source-8776"/>
    </w:p>
    <w:p>
      <w:pPr>
        <w:pStyle w:val="ListBullet"/>
      </w:pPr>
      <w:r>
        <w:rPr>
          <w:rFonts w:ascii="微软雅黑" w:hAnsi="微软雅黑" w:eastAsia="微软雅黑" w:cs="微软雅黑"/>
        </w:rPr>
        <w:t>[21] 光伏杂志国际版｜</w:t>
      </w:r>
      <w:hyperlink r:id="rId31">
        <w:r>
          <w:rPr>
            <w:rFonts w:ascii="微软雅黑" w:hAnsi="微软雅黑" w:eastAsia="微软雅黑" w:cs="微软雅黑"/>
            <w:color w:val="087E89"/>
          </w:rPr>
          <w:t>太阳能发电量全球首次超越核电</w:t>
        </w:r>
      </w:hyperlink>
      <w:r>
        <w:rPr>
          <w:rFonts w:ascii="微软雅黑" w:hAnsi="微软雅黑" w:eastAsia="微软雅黑" w:cs="微软雅黑"/>
        </w:rPr>
      </w:r>
    </w:p>
    <w:p>
      <w:pPr>
        <w:spacing w:after="0" w:line="20" w:lineRule="exact"/>
      </w:pPr>
      <w:bookmarkStart w:id="22" w:name="source-8934"/>
      <w:bookmarkEnd w:id="22" w:name="source-8934"/>
    </w:p>
    <w:p>
      <w:pPr>
        <w:pStyle w:val="ListBullet"/>
      </w:pPr>
      <w:r>
        <w:rPr>
          <w:rFonts w:ascii="微软雅黑" w:hAnsi="微软雅黑" w:eastAsia="微软雅黑" w:cs="微软雅黑"/>
        </w:rPr>
        <w:t>[22] 中国能源新闻网｜</w:t>
      </w:r>
      <w:hyperlink r:id="rId32">
        <w:r>
          <w:rPr>
            <w:rFonts w:ascii="微软雅黑" w:hAnsi="微软雅黑" w:eastAsia="微软雅黑" w:cs="微软雅黑"/>
            <w:color w:val="087E89"/>
          </w:rPr>
          <w:t>欧洲能源安全的结构性矛盾能否有效化解</w:t>
        </w:r>
      </w:hyperlink>
      <w:r>
        <w:rPr>
          <w:rFonts w:ascii="微软雅黑" w:hAnsi="微软雅黑" w:eastAsia="微软雅黑" w:cs="微软雅黑"/>
        </w:rPr>
      </w:r>
    </w:p>
    <w:p>
      <w:pPr>
        <w:spacing w:after="0" w:line="20" w:lineRule="exact"/>
      </w:pPr>
      <w:bookmarkStart w:id="23" w:name="source-8726"/>
      <w:bookmarkEnd w:id="23" w:name="source-8726"/>
    </w:p>
    <w:p>
      <w:pPr>
        <w:pStyle w:val="ListBullet"/>
      </w:pPr>
      <w:r>
        <w:rPr>
          <w:rFonts w:ascii="微软雅黑" w:hAnsi="微软雅黑" w:eastAsia="微软雅黑" w:cs="微软雅黑"/>
        </w:rPr>
        <w:t>[23] 新华社国际要闻（战略与能源）｜</w:t>
      </w:r>
      <w:hyperlink r:id="rId33">
        <w:r>
          <w:rPr>
            <w:rFonts w:ascii="微软雅黑" w:hAnsi="微软雅黑" w:eastAsia="微软雅黑" w:cs="微软雅黑"/>
            <w:color w:val="087E89"/>
          </w:rPr>
          <w:t>国际观察丨欧洲能源安全的结构性矛盾能否有效化解</w:t>
        </w:r>
      </w:hyperlink>
      <w:r>
        <w:rPr>
          <w:rFonts w:ascii="微软雅黑" w:hAnsi="微软雅黑" w:eastAsia="微软雅黑" w:cs="微软雅黑"/>
        </w:rPr>
      </w:r>
    </w:p>
    <w:p>
      <w:pPr>
        <w:spacing w:after="0" w:line="20" w:lineRule="exact"/>
      </w:pPr>
      <w:bookmarkStart w:id="24" w:name="source-8977"/>
      <w:bookmarkEnd w:id="24" w:name="source-8977"/>
    </w:p>
    <w:p>
      <w:pPr>
        <w:pStyle w:val="ListBullet"/>
      </w:pPr>
      <w:r>
        <w:rPr>
          <w:rFonts w:ascii="微软雅黑" w:hAnsi="微软雅黑" w:eastAsia="微软雅黑" w:cs="微软雅黑"/>
        </w:rPr>
        <w:t>[24] 清洁能源通讯社｜</w:t>
      </w:r>
      <w:hyperlink r:id="rId34">
        <w:r>
          <w:rPr>
            <w:rFonts w:ascii="微软雅黑" w:hAnsi="微软雅黑" w:eastAsia="微软雅黑" w:cs="微软雅黑"/>
            <w:color w:val="087E89"/>
          </w:rPr>
          <w:t>德国可通过电池储能抑制电价波动、削减可再生能源补贴——报告</w:t>
        </w:r>
      </w:hyperlink>
      <w:r>
        <w:rPr>
          <w:rFonts w:ascii="微软雅黑" w:hAnsi="微软雅黑" w:eastAsia="微软雅黑" w:cs="微软雅黑"/>
        </w:rPr>
      </w:r>
    </w:p>
    <w:p>
      <w:pPr>
        <w:spacing w:after="0" w:line="20" w:lineRule="exact"/>
      </w:pPr>
      <w:bookmarkStart w:id="25" w:name="source-8947"/>
      <w:bookmarkEnd w:id="25" w:name="source-8947"/>
    </w:p>
    <w:p>
      <w:pPr>
        <w:pStyle w:val="ListBullet"/>
      </w:pPr>
      <w:r>
        <w:rPr>
          <w:rFonts w:ascii="微软雅黑" w:hAnsi="微软雅黑" w:eastAsia="微软雅黑" w:cs="微软雅黑"/>
        </w:rPr>
        <w:t>[25] 世界核新闻｜</w:t>
      </w:r>
      <w:hyperlink r:id="rId35">
        <w:r>
          <w:rPr>
            <w:rFonts w:ascii="微软雅黑" w:hAnsi="微软雅黑" w:eastAsia="微软雅黑" w:cs="微软雅黑"/>
            <w:color w:val="087E89"/>
          </w:rPr>
          <w:t>田湾7号机组降至最小可控功率水平</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world-nuclear-news.org/articles/polimex-mostostal-to-build-polish-ap1000-assembly-halls" TargetMode="External"/><Relationship Id="rId12" Type="http://schemas.openxmlformats.org/officeDocument/2006/relationships/hyperlink" Target="https://www.stcn.com/article/detail/4202978.html" TargetMode="External"/><Relationship Id="rId13" Type="http://schemas.openxmlformats.org/officeDocument/2006/relationships/hyperlink" Target="https://www.interfax.ru/world/1119131" TargetMode="External"/><Relationship Id="rId14" Type="http://schemas.openxmlformats.org/officeDocument/2006/relationships/hyperlink" Target="https://www.gov.uk/government/news/great-british-grid-to-speed-up-connections-and-cut-bills" TargetMode="External"/><Relationship Id="rId15" Type="http://schemas.openxmlformats.org/officeDocument/2006/relationships/hyperlink" Target="https://www.vanguardngr.com/2026/09/pm-burnham-vows-new-path-for-britain/" TargetMode="External"/><Relationship Id="rId16" Type="http://schemas.openxmlformats.org/officeDocument/2006/relationships/hyperlink" Target="https://www.cpnn.com.cn/news/gj/202609/t20260929_1918091.html" TargetMode="External"/><Relationship Id="rId17" Type="http://schemas.openxmlformats.org/officeDocument/2006/relationships/hyperlink" Target="https://www.chinanews.com.cn/cj/2026/09-29/10705615.shtml" TargetMode="External"/><Relationship Id="rId18" Type="http://schemas.openxmlformats.org/officeDocument/2006/relationships/hyperlink" Target="https://news.mysteel.com/a/26092916/458B7D48C260FCCA.html" TargetMode="External"/><Relationship Id="rId19" Type="http://schemas.openxmlformats.org/officeDocument/2006/relationships/hyperlink" Target="https://www.cnesa.org/information/detail/?column_id=2&amp;id=8644" TargetMode="External"/><Relationship Id="rId20" Type="http://schemas.openxmlformats.org/officeDocument/2006/relationships/hyperlink" Target="http://world.people.com.cn/n1/2026/0929/c1002-40807052.html" TargetMode="External"/><Relationship Id="rId21" Type="http://schemas.openxmlformats.org/officeDocument/2006/relationships/hyperlink" Target="https://www.world-nuclear-news.org/articles/general-matter-submits-enrichment-plant-licence-application" TargetMode="External"/><Relationship Id="rId22" Type="http://schemas.openxmlformats.org/officeDocument/2006/relationships/hyperlink" Target="https://www.cpnn.com.cn/news/dfny/202609/t20260929_1918073.html" TargetMode="External"/><Relationship Id="rId23" Type="http://schemas.openxmlformats.org/officeDocument/2006/relationships/hyperlink" Target="https://www.china5e.com/news/news-1209949-1.html" TargetMode="External"/><Relationship Id="rId24" Type="http://schemas.openxmlformats.org/officeDocument/2006/relationships/hyperlink" Target="https://www.chinanews.com.cn/cj/2026/09-29/10705647.shtml" TargetMode="External"/><Relationship Id="rId25" Type="http://schemas.openxmlformats.org/officeDocument/2006/relationships/hyperlink" Target="https://www.pv-magazine.com/2026/09/29/italy-sets-rules-for-exit-from-conto-energia-pv-incentive-scheme-requires-eu-made-modules-for-repowering/" TargetMode="External"/><Relationship Id="rId26" Type="http://schemas.openxmlformats.org/officeDocument/2006/relationships/hyperlink" Target="https://news.mysteel.com/a/26092916/10571532C84896A8.html" TargetMode="External"/><Relationship Id="rId27" Type="http://schemas.openxmlformats.org/officeDocument/2006/relationships/hyperlink" Target="https://news.mysteel.com/a/26092917/B789CBB5E86F6169.html" TargetMode="External"/><Relationship Id="rId28" Type="http://schemas.openxmlformats.org/officeDocument/2006/relationships/hyperlink" Target="https://www.stcn.com/article/detail/4202612.html" TargetMode="External"/><Relationship Id="rId29" Type="http://schemas.openxmlformats.org/officeDocument/2006/relationships/hyperlink" Target="https://www.vanguardngr.com/2026/09/iran-threatens-new-strikes-as-it-awaits-us-response-to-hormuz-plan/" TargetMode="External"/><Relationship Id="rId30" Type="http://schemas.openxmlformats.org/officeDocument/2006/relationships/hyperlink" Target="https://www.vanguardngr.com/2026/09/iran-says-expects-us-answer-tuesday-on-plan-to-open-hormuz/" TargetMode="External"/><Relationship Id="rId31" Type="http://schemas.openxmlformats.org/officeDocument/2006/relationships/hyperlink" Target="https://www.pv-magazine.com/2026/09/29/solar-surpasses-nuclear-power-globally-for-first-time/" TargetMode="External"/><Relationship Id="rId32" Type="http://schemas.openxmlformats.org/officeDocument/2006/relationships/hyperlink" Target="https://www.cpnn.com.cn/news/gj/202609/t20260929_1918088.html" TargetMode="External"/><Relationship Id="rId33" Type="http://schemas.openxmlformats.org/officeDocument/2006/relationships/hyperlink" Target="https://www.news.cn/world/20260929/5571edb91ca54c1abf1a85fd102aff95/c.html" TargetMode="External"/><Relationship Id="rId34" Type="http://schemas.openxmlformats.org/officeDocument/2006/relationships/hyperlink" Target="https://www.cleanenergywire.org/news/germany-could-curb-power-price-swings-reduce-renewable-subsidies-batteries-report" TargetMode="External"/><Relationship Id="rId35" Type="http://schemas.openxmlformats.org/officeDocument/2006/relationships/hyperlink" Target="https://www.world-nuclear-news.org/articles/tianwan-7-brought-to-minimum-controllable-power-lev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2026年9月29日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