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信息覆盖时段：2026-09-17 00:00 至 2026-09-18 00:00（不含），Asia/Shanghai。</w:t>
      </w:r>
    </w:p>
    <w:p>
      <w:pPr/>
      <w:r>
        <w:rPr>
          <w:rFonts w:ascii="微软雅黑" w:hAnsi="微软雅黑" w:eastAsia="微软雅黑" w:cs="微软雅黑"/>
        </w:rPr>
        <w:t>统计区间：2026-09-17 至 2026-09-18（结束日不含，北京时间）</w:t>
      </w:r>
    </w:p>
    <w:p>
      <w:pPr>
        <w:ind w:firstLine="420"/>
      </w:pPr>
      <w:r>
        <w:rPr>
          <w:rFonts w:ascii="微软雅黑" w:hAnsi="微软雅黑" w:eastAsia="微软雅黑" w:cs="微软雅黑"/>
        </w:rPr>
        <w:t>资料更新截止：2026-09-20 22:08（北京时间）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卡塔尔与伊朗气田设施遭袭，威胁全球液化天然气供应 </w:t>
      </w:r>
      <w:hyperlink w:anchor="source-316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01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9月7日-13日中国原油综合进口到岸价格指数周环比上涨5.05% </w:t>
      </w:r>
      <w:hyperlink w:anchor="source-2672">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“十五五”能源规划提出油气供应与碳排放目标 </w:t>
      </w:r>
      <w:hyperlink w:anchor="source-328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90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德国联邦政府提出《能源效率法》改革草案 </w:t>
      </w:r>
      <w:hyperlink w:anchor="source-3109">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沙特东西输油管道受损，霍尔木兹替代通道短期难恢复 </w:t>
      </w:r>
      <w:hyperlink w:anchor="source-297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88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82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2915">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美国LNG占欧盟天然气进口总量比重</w:t>
            </w:r>
          </w:p>
        </w:tc>
        <w:tc>
          <w:tcPr>
            <w:tcW w:type="dxa" w:w="2268"/>
          </w:tcPr>
          <w:p>
            <w:pPr>
              <w:spacing w:after="40"/>
            </w:pPr>
            <w:r>
              <w:rPr>
                <w:rFonts w:ascii="微软雅黑" w:hAnsi="微软雅黑" w:eastAsia="微软雅黑" w:cs="微软雅黑"/>
              </w:rPr>
              <w:t>约30%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01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美国LNG占欧盟LNG进口比重</w:t>
            </w:r>
          </w:p>
        </w:tc>
        <w:tc>
          <w:tcPr>
            <w:tcW w:type="dxa" w:w="2268"/>
          </w:tcPr>
          <w:p>
            <w:pPr>
              <w:spacing w:after="40"/>
            </w:pPr>
            <w:r>
              <w:rPr>
                <w:rFonts w:ascii="微软雅黑" w:hAnsi="微软雅黑" w:eastAsia="微软雅黑" w:cs="微软雅黑"/>
              </w:rPr>
              <w:t>约三分之二</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01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Assaluyeh处理枢纽占South Pars气田产量比重</w:t>
            </w:r>
          </w:p>
        </w:tc>
        <w:tc>
          <w:tcPr>
            <w:tcW w:type="dxa" w:w="2268"/>
          </w:tcPr>
          <w:p>
            <w:pPr>
              <w:spacing w:after="40"/>
            </w:pPr>
            <w:r>
              <w:rPr>
                <w:rFonts w:ascii="微软雅黑" w:hAnsi="微软雅黑" w:eastAsia="微软雅黑" w:cs="微软雅黑"/>
              </w:rPr>
              <w:t>约30%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01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中国原油综合进口到岸价格指数</w:t>
            </w:r>
          </w:p>
        </w:tc>
        <w:tc>
          <w:tcPr>
            <w:tcW w:type="dxa" w:w="2268"/>
          </w:tcPr>
          <w:p>
            <w:pPr>
              <w:spacing w:after="40"/>
            </w:pPr>
            <w:r>
              <w:rPr>
                <w:rFonts w:ascii="微软雅黑" w:hAnsi="微软雅黑" w:eastAsia="微软雅黑" w:cs="微软雅黑"/>
              </w:rPr>
              <w:t>141.99点（周环比+5.05%，同比+22.22%）</w:t>
            </w:r>
          </w:p>
        </w:tc>
        <w:tc>
          <w:tcPr>
            <w:tcW w:type="dxa" w:w="2268"/>
          </w:tcPr>
          <w:p>
            <w:pPr>
              <w:spacing w:after="40"/>
            </w:pPr>
            <w:r>
              <w:rPr>
                <w:rFonts w:ascii="微软雅黑" w:hAnsi="微软雅黑" w:eastAsia="微软雅黑" w:cs="微软雅黑"/>
              </w:rPr>
              <w:t>9月7日-13日</w:t>
            </w:r>
          </w:p>
        </w:tc>
        <w:tc>
          <w:tcPr>
            <w:tcW w:type="dxa" w:w="2268"/>
          </w:tcPr>
          <w:p>
            <w:pPr>
              <w:spacing w:after="40"/>
            </w:pPr>
            <w:r>
              <w:rPr>
                <w:rFonts w:ascii="微软雅黑" w:hAnsi="微软雅黑" w:eastAsia="微软雅黑" w:cs="微软雅黑"/>
              </w:rPr>
            </w:r>
            <w:hyperlink w:anchor="source-2672">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布伦特原油期货主力合约结算价</w:t>
            </w:r>
          </w:p>
        </w:tc>
        <w:tc>
          <w:tcPr>
            <w:tcW w:type="dxa" w:w="2268"/>
          </w:tcPr>
          <w:p>
            <w:pPr>
              <w:spacing w:after="40"/>
            </w:pPr>
            <w:r>
              <w:rPr>
                <w:rFonts w:ascii="微软雅黑" w:hAnsi="微软雅黑" w:eastAsia="微软雅黑" w:cs="微软雅黑"/>
              </w:rPr>
              <w:t>104.61美元/桶（周环比+8.65%）</w:t>
            </w:r>
          </w:p>
        </w:tc>
        <w:tc>
          <w:tcPr>
            <w:tcW w:type="dxa" w:w="2268"/>
          </w:tcPr>
          <w:p>
            <w:pPr>
              <w:spacing w:after="40"/>
            </w:pPr>
            <w:r>
              <w:rPr>
                <w:rFonts w:ascii="微软雅黑" w:hAnsi="微软雅黑" w:eastAsia="微软雅黑" w:cs="微软雅黑"/>
              </w:rPr>
              <w:t>截至9月11日</w:t>
            </w:r>
          </w:p>
        </w:tc>
        <w:tc>
          <w:tcPr>
            <w:tcW w:type="dxa" w:w="2268"/>
          </w:tcPr>
          <w:p>
            <w:pPr>
              <w:spacing w:after="40"/>
            </w:pPr>
            <w:r>
              <w:rPr>
                <w:rFonts w:ascii="微软雅黑" w:hAnsi="微软雅黑" w:eastAsia="微软雅黑" w:cs="微软雅黑"/>
              </w:rPr>
            </w:r>
            <w:hyperlink w:anchor="source-2672">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WTI原油期货主力合约结算价</w:t>
            </w:r>
          </w:p>
        </w:tc>
        <w:tc>
          <w:tcPr>
            <w:tcW w:type="dxa" w:w="2268"/>
          </w:tcPr>
          <w:p>
            <w:pPr>
              <w:spacing w:after="40"/>
            </w:pPr>
            <w:r>
              <w:rPr>
                <w:rFonts w:ascii="微软雅黑" w:hAnsi="微软雅黑" w:eastAsia="微软雅黑" w:cs="微软雅黑"/>
              </w:rPr>
              <w:t>100.05美元/桶（周环比+9.37%）</w:t>
            </w:r>
          </w:p>
        </w:tc>
        <w:tc>
          <w:tcPr>
            <w:tcW w:type="dxa" w:w="2268"/>
          </w:tcPr>
          <w:p>
            <w:pPr>
              <w:spacing w:after="40"/>
            </w:pPr>
            <w:r>
              <w:rPr>
                <w:rFonts w:ascii="微软雅黑" w:hAnsi="微软雅黑" w:eastAsia="微软雅黑" w:cs="微软雅黑"/>
              </w:rPr>
              <w:t>截至9月11日</w:t>
            </w:r>
          </w:p>
        </w:tc>
        <w:tc>
          <w:tcPr>
            <w:tcW w:type="dxa" w:w="2268"/>
          </w:tcPr>
          <w:p>
            <w:pPr>
              <w:spacing w:after="40"/>
            </w:pPr>
            <w:r>
              <w:rPr>
                <w:rFonts w:ascii="微软雅黑" w:hAnsi="微软雅黑" w:eastAsia="微软雅黑" w:cs="微软雅黑"/>
              </w:rPr>
            </w:r>
            <w:hyperlink w:anchor="source-2672">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国内油气供应量目标</w:t>
            </w:r>
          </w:p>
        </w:tc>
        <w:tc>
          <w:tcPr>
            <w:tcW w:type="dxa" w:w="2268"/>
          </w:tcPr>
          <w:p>
            <w:pPr>
              <w:spacing w:after="40"/>
            </w:pPr>
            <w:r>
              <w:rPr>
                <w:rFonts w:ascii="微软雅黑" w:hAnsi="微软雅黑" w:eastAsia="微软雅黑" w:cs="微软雅黑"/>
              </w:rPr>
              <w:t>4.4亿吨油当量</w:t>
            </w:r>
          </w:p>
        </w:tc>
        <w:tc>
          <w:tcPr>
            <w:tcW w:type="dxa" w:w="2268"/>
          </w:tcPr>
          <w:p>
            <w:pPr>
              <w:spacing w:after="40"/>
            </w:pPr>
            <w:r>
              <w:rPr>
                <w:rFonts w:ascii="微软雅黑" w:hAnsi="微软雅黑" w:eastAsia="微软雅黑" w:cs="微软雅黑"/>
              </w:rPr>
              <w:t>2030年</w:t>
            </w:r>
          </w:p>
        </w:tc>
        <w:tc>
          <w:tcPr>
            <w:tcW w:type="dxa" w:w="2268"/>
          </w:tcPr>
          <w:p>
            <w:pPr>
              <w:spacing w:after="40"/>
            </w:pPr>
            <w:r>
              <w:rPr>
                <w:rFonts w:ascii="微软雅黑" w:hAnsi="微软雅黑" w:eastAsia="微软雅黑" w:cs="微软雅黑"/>
              </w:rPr>
            </w:r>
            <w:hyperlink w:anchor="source-328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90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单位发电量碳排放下降</w:t>
            </w:r>
          </w:p>
        </w:tc>
        <w:tc>
          <w:tcPr>
            <w:tcW w:type="dxa" w:w="2268"/>
          </w:tcPr>
          <w:p>
            <w:pPr>
              <w:spacing w:after="40"/>
            </w:pPr>
            <w:r>
              <w:rPr>
                <w:rFonts w:ascii="微软雅黑" w:hAnsi="微软雅黑" w:eastAsia="微软雅黑" w:cs="微软雅黑"/>
              </w:rPr>
              <w:t>10%以上</w:t>
            </w:r>
          </w:p>
        </w:tc>
        <w:tc>
          <w:tcPr>
            <w:tcW w:type="dxa" w:w="2268"/>
          </w:tcPr>
          <w:p>
            <w:pPr>
              <w:spacing w:after="40"/>
            </w:pPr>
            <w:r>
              <w:rPr>
                <w:rFonts w:ascii="微软雅黑" w:hAnsi="微软雅黑" w:eastAsia="微软雅黑" w:cs="微软雅黑"/>
              </w:rPr>
              <w:t>“十五五”时期</w:t>
            </w:r>
          </w:p>
        </w:tc>
        <w:tc>
          <w:tcPr>
            <w:tcW w:type="dxa" w:w="2268"/>
          </w:tcPr>
          <w:p>
            <w:pPr>
              <w:spacing w:after="40"/>
            </w:pPr>
            <w:r>
              <w:rPr>
                <w:rFonts w:ascii="微软雅黑" w:hAnsi="微软雅黑" w:eastAsia="微软雅黑" w:cs="微软雅黑"/>
              </w:rPr>
            </w:r>
            <w:hyperlink w:anchor="source-328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90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能源重点项目及新业态投资</w:t>
            </w:r>
          </w:p>
        </w:tc>
        <w:tc>
          <w:tcPr>
            <w:tcW w:type="dxa" w:w="2268"/>
          </w:tcPr>
          <w:p>
            <w:pPr>
              <w:spacing w:after="40"/>
            </w:pPr>
            <w:r>
              <w:rPr>
                <w:rFonts w:ascii="微软雅黑" w:hAnsi="微软雅黑" w:eastAsia="微软雅黑" w:cs="微软雅黑"/>
              </w:rPr>
              <w:t>超过20万亿元</w:t>
            </w:r>
          </w:p>
        </w:tc>
        <w:tc>
          <w:tcPr>
            <w:tcW w:type="dxa" w:w="2268"/>
          </w:tcPr>
          <w:p>
            <w:pPr>
              <w:spacing w:after="40"/>
            </w:pPr>
            <w:r>
              <w:rPr>
                <w:rFonts w:ascii="微软雅黑" w:hAnsi="微软雅黑" w:eastAsia="微软雅黑" w:cs="微软雅黑"/>
              </w:rPr>
              <w:t>“十五五”时期</w:t>
            </w:r>
          </w:p>
        </w:tc>
        <w:tc>
          <w:tcPr>
            <w:tcW w:type="dxa" w:w="2268"/>
          </w:tcPr>
          <w:p>
            <w:pPr>
              <w:spacing w:after="40"/>
            </w:pPr>
            <w:r>
              <w:rPr>
                <w:rFonts w:ascii="微软雅黑" w:hAnsi="微软雅黑" w:eastAsia="微软雅黑" w:cs="微软雅黑"/>
              </w:rPr>
            </w:r>
            <w:hyperlink w:anchor="source-328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90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印度电力部门新增清洁能源发电量</w:t>
            </w:r>
          </w:p>
        </w:tc>
        <w:tc>
          <w:tcPr>
            <w:tcW w:type="dxa" w:w="2268"/>
          </w:tcPr>
          <w:p>
            <w:pPr>
              <w:spacing w:after="40"/>
            </w:pPr>
            <w:r>
              <w:rPr>
                <w:rFonts w:ascii="微软雅黑" w:hAnsi="微软雅黑" w:eastAsia="微软雅黑" w:cs="微软雅黑"/>
              </w:rPr>
              <w:t>70太瓦时</w:t>
            </w:r>
          </w:p>
        </w:tc>
        <w:tc>
          <w:tcPr>
            <w:tcW w:type="dxa" w:w="2268"/>
          </w:tcPr>
          <w:p>
            <w:pPr>
              <w:spacing w:after="40"/>
            </w:pPr>
            <w:r>
              <w:rPr>
                <w:rFonts w:ascii="微软雅黑" w:hAnsi="微软雅黑" w:eastAsia="微软雅黑" w:cs="微软雅黑"/>
              </w:rPr>
              <w:t>2024年上半年至2026年上半年</w:t>
            </w:r>
          </w:p>
        </w:tc>
        <w:tc>
          <w:tcPr>
            <w:tcW w:type="dxa" w:w="2268"/>
          </w:tcPr>
          <w:p>
            <w:pPr>
              <w:spacing w:after="40"/>
            </w:pPr>
            <w:r>
              <w:rPr>
                <w:rFonts w:ascii="微软雅黑" w:hAnsi="微软雅黑" w:eastAsia="微软雅黑" w:cs="微软雅黑"/>
              </w:rPr>
            </w:r>
            <w:hyperlink w:anchor="source-2610">
              <w:r>
                <w:rPr>
                  <w:rFonts w:ascii="微软雅黑" w:hAnsi="微软雅黑" w:eastAsia="微软雅黑" w:cs="微软雅黑"/>
                  <w:color w:val="087E89"/>
                </w:rPr>
                <w:t>11</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沙特东西输油管道受损，霍尔木兹替代通道短期难恢复</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沙特东西输油管道的两个泵站上周在袭击中受损，沙特被迫关停该绕开霍尔木兹海峡的原油出口通道。渣打银行测算港口仅余约一周原油储备，替代通道预计未来数周基本无法使用。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管道两个泵站受损后，沙特已暂停延布装载并取消部分对欧洲客户的交货，本周早些时候油价曾触及约四个月高位109.72美元/桶。沙特正通过阿曼苏哈尔港附近船对船转运向亚洲炼油商提供额外原油，并寻求在未来数日内恢复约一半运力。渣打指出沙特港口仅余约一周原油储备，管道长期停运后沙特将更依赖霍尔木兹海峡。胡塞武装在也门红海沿岸和曼德海峡周边持续推进，油轮通行风险上升。经霍尔木兹海峡的原油和LNG约90%输往亚洲。</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短期内沙特原油出口风险显著增加，绕行阿曼转运能力有限，油价中已嵌入风险溢价。</w:t>
      </w:r>
    </w:p>
    <w:p>
      <w:pPr>
        <w:ind w:firstLine="420"/>
      </w:pPr>
      <w:r>
        <w:rPr>
          <w:rFonts w:ascii="微软雅黑" w:hAnsi="微软雅黑" w:eastAsia="微软雅黑" w:cs="微软雅黑"/>
        </w:rPr>
        <w:t>来源：</w:t>
      </w:r>
      <w:hyperlink w:anchor="source-297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88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82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2915">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2. 意大利出台法令支持可再生能源，2030年底前最多新增37.15吉瓦</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意大利环境与能源安全部公布法令，为光伏、陆上风电、水电及污水处理残余气体发电项目提供长期支持，相关机制将运行至2030年底。</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令最多支持37.15吉瓦新增可再生能源装机。装机超过1兆瓦的项目须通过拍卖，共涉及装机27.15吉瓦，其中陆上风电16.5吉瓦、光伏10吉瓦、水电630兆瓦、污水处理残余气体发电20兆瓦；其余通过其他程序分配。获得支持的项目将签订为期20年的双向差价合约。法令设定参考价格：大型光伏80欧元/兆瓦时、陆上风电85欧元/兆瓦时、水电90欧元/兆瓦时，最终价格通过竞价形成，并随工业生产价格调整。每年风电和光伏拍卖容量中至少三成通过专项程序分配，要求项目满足供应链韧性、可持续性、网络安全和设备来源等条件，衔接欧盟《净零工业法案》。意大利《国家能源和气候综合计划》提出到2030年可再生能源总装机约131吉瓦，在电力消费中占比约65%。</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为意大利可再生能源扩张提供长期收益保障和供应链韧性门槛，衔接欧盟净零产业政策。</w:t>
      </w:r>
    </w:p>
    <w:p>
      <w:pPr>
        <w:ind w:firstLine="420"/>
      </w:pPr>
      <w:r>
        <w:rPr>
          <w:rFonts w:ascii="微软雅黑" w:hAnsi="微软雅黑" w:eastAsia="微软雅黑" w:cs="微软雅黑"/>
        </w:rPr>
        <w:t>来源：</w:t>
      </w:r>
      <w:hyperlink w:anchor="source-3288">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3. 9月7日-13日中国原油综合进口到岸价格指数周环比上涨5.05%</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海关总署全球贸易监测分析中心和上海石油天然气交易中心联合发布的数据显示，9月7日-13日中国原油综合进口到岸价格指数为141.99点，周环比上涨5.05%，同比上涨22.22%。</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9月11日收盘，布伦特原油期货结算价环比上涨8.65%至104.61美元/桶，WTI原油期货结算价环比上涨9.37%至100.05美元/桶；上海期货交易所原油期货价格环比上涨18.56%至809.9元/桶。EIA数据显示，截至9月4日当周，美国商业原油库存减少39.1万桶至4.2407亿桶，较五年同期平均水平低约3%；库欣地区原油库存减少68.4万桶至2182.4万桶。IEA数据显示，8月份沙特原油供应量减少230万桶/日至600万桶/日，为30多年最低水平。9月11日迪拜原油价格123.31美元/桶，周环比上涨20.97%；阿曼原油价格123.72美元/桶，周环比上涨21.69%。</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国际油价明显走高直接推升我国原油进口到岸价格指数及上期所原油期货价格。</w:t>
      </w:r>
    </w:p>
    <w:p>
      <w:pPr>
        <w:ind w:firstLine="420"/>
      </w:pPr>
      <w:r>
        <w:rPr>
          <w:rFonts w:ascii="微软雅黑" w:hAnsi="微软雅黑" w:eastAsia="微软雅黑" w:cs="微软雅黑"/>
        </w:rPr>
        <w:t>来源：</w:t>
      </w:r>
      <w:hyperlink w:anchor="source-2672">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海湾供应减少与炼油毛利高企共同收紧全球柴油市场</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美国能源信息署数据显示，2026年二季度美国馏分油和航空煤油炼油毛利同比翻倍以上，汽油炼油毛利同比增长约60%。国际能源署指出，霍尔木兹海峡通常每天约500万桶成品油通过。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《Everything Energy》播客节目围绕柴油市场日益加剧的供应紧张展开，探讨中东战争、乌克兰对俄罗斯炼油厂的袭击以及全球炼油产能有限等因素对柴油价格的推升，嘉宾为IEA高级石油市场分析师David Martin与俄罗斯、里海与黑海项目主管Talya Vatman。</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柴油作为中间馏分油受地缘冲突与炼油产能约束双重影响，炼油毛利明显走高。</w:t>
      </w:r>
    </w:p>
    <w:p>
      <w:pPr>
        <w:ind w:firstLine="420"/>
      </w:pPr>
      <w:r>
        <w:rPr>
          <w:rFonts w:ascii="微软雅黑" w:hAnsi="微软雅黑" w:eastAsia="微软雅黑" w:cs="微软雅黑"/>
        </w:rPr>
        <w:t>来源：</w:t>
      </w:r>
      <w:hyperlink w:anchor="source-3013">
        <w:r>
          <w:rPr>
            <w:rFonts w:ascii="微软雅黑" w:hAnsi="微软雅黑" w:eastAsia="微软雅黑" w:cs="微软雅黑"/>
            <w:color w:val="087E89"/>
          </w:rPr>
          <w:t>26</w:t>
        </w:r>
      </w:hyperlink>
      <w:r>
        <w:rPr>
          <w:rFonts w:ascii="微软雅黑" w:hAnsi="微软雅黑" w:eastAsia="微软雅黑" w:cs="微软雅黑"/>
        </w:rPr>
        <w:t xml:space="preserve"> </w:t>
      </w:r>
      <w:hyperlink w:anchor="source-3143">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5. 卡塔尔与伊朗气田设施遭袭，威胁全球液化天然气供应</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Wood Mackenzie报告指出，卡塔尔Pearl GTL设施停摆使壳牌约10%的上游现金流面临风险；伊朗South Pars气田Assaluyeh处理枢纽（处理量约占该气田产量30%）及Kangan第13期设施遭袭，影响多个开发期产量。机构警告基础设施修复进度可能影响长期LNG合同决策。</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业内分析指出，仅Pearl GTL一项停摆即对壳牌上游现金流形成显著冲击。伊朗方面，South Pars气田Assaluyeh处理枢纽与Kangan第13期设施受损，影响多个开发期产量。Wood Mackenzie提示买方正在重新评估供应安全，长期LNG合同决策可能因此调整。ACER估计美国LNG约占欧盟天然气进口总量的30%，约占其LNG进口的三分之二；卡塔尔目前仅能向海湾国家（主要是科威特）出口LNG，两套受损装置可能仍需两到三年才能恢复。欧盟委员会支持成员国在储气库目标上获得更大灵活性，以缓解气价压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Wood Mackenzie提示基础设施修复进度可能影响长期LNG合同决策，买方在重新评估供应安全；受损装置修复周期长，全球LNG供应紧张或持续。</w:t>
      </w:r>
    </w:p>
    <w:p>
      <w:pPr>
        <w:ind w:firstLine="420"/>
      </w:pPr>
      <w:r>
        <w:rPr>
          <w:rFonts w:ascii="微软雅黑" w:hAnsi="微软雅黑" w:eastAsia="微软雅黑" w:cs="微软雅黑"/>
        </w:rPr>
        <w:t>来源：</w:t>
      </w:r>
      <w:hyperlink w:anchor="source-316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01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印尼8月海运煤出口同比降23.34%创近五年同期新低</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彭博社数据显示，2026年8月印尼海运煤炭出口量为3610万吨，同比下降23.34%，环比下降6.54%，为连续三个月下降，并创近五年同期最低。</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受厄尔尼诺现象影响，加里曼丹地区巴里托河和马哈坎河水位下降甚至干涸，限制驳船运输。印尼部分煤炭供应商已宣布因不可抗力导致交货延迟，多家生产商受巴里托河水位下降影响。同期印尼对亚洲市场煤炭出口3583万吨，同比减少23.66%，环比下降6.59%，对亚洲出口占其总出口约99.3%。</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作为全球主要煤炭出口国，印尼出口大幅下滑将收紧国际市场煤炭供应，对依赖印尼煤的进口国形成供给压力。</w:t>
      </w:r>
    </w:p>
    <w:p>
      <w:pPr>
        <w:ind w:firstLine="420"/>
      </w:pPr>
      <w:r>
        <w:rPr>
          <w:rFonts w:ascii="微软雅黑" w:hAnsi="微软雅黑" w:eastAsia="微软雅黑" w:cs="微软雅黑"/>
        </w:rPr>
        <w:t>来源：</w:t>
      </w:r>
      <w:hyperlink w:anchor="source-2932">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7. 英国NDA拟以基于风险的监管推进核退役交付</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英国核退役署（NDA）正推动整个核能行业的文化转变，建议通过更相称的基于风险的决策、精简规划与环境评估流程，并改革商业和合同机制，以实现更快、更低成本的任务交付。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该审查由政府委托，由经济学家John Fingleton主持，旨在研究如何现代化并加强英国核监管体系，最终目标是通过更相称的风险管控方式，更快、更低成本地推进相关工作。建议首先聚焦通过更相称、基于风险的决策，以及简化复杂的监管结构，以实现更快、更清晰的决策并强化问责。其次是精简规划和环境评估流程，减少重复并提高相称性，同时维持最高的安全、安保和环境保护标准。NDA集团拟采取的近期和长期行动之一是提升及时且高性价比的交付，实施与实际危险相匹配的基于风险的监管、精简安全安排、推进数字化转型，并更有效地利用供应链。商业和合同改革方面，将激励机制与及时、高效的任务交付成果更好地对齐。</w:t>
      </w:r>
    </w:p>
    <w:p>
      <w:pPr>
        <w:ind w:firstLine="420"/>
      </w:pPr>
      <w:r>
        <w:rPr>
          <w:rFonts w:ascii="微软雅黑" w:hAnsi="微软雅黑" w:eastAsia="微软雅黑" w:cs="微软雅黑"/>
        </w:rPr>
        <w:t>来源：</w:t>
      </w:r>
      <w:hyperlink w:anchor="source-3022">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8. 印度电力部门排放连续两年持平 清洁能源满足全部新增需求</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2024年上半年至2026年上半年，印度电力部门二氧化碳排放与两年前持平，结束此前波动；同期总发电量增长7%约63太瓦时，新增电力需求全部由清洁能源满足，煤电出现50多年来首次连续两年零增长。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清洁能源共增加70太瓦时发电量，其中太阳能44太瓦时、风电13太瓦时、水电8太瓦时、核电7太瓦时；过去两年新增77吉瓦太阳能、11吉瓦风电、5吉瓦水电和0.6吉瓦核电装机。同期化石燃料发电陷入停滞，但新增煤电装机8.5吉瓦，导致运行小时数减少、电费成本上升。两年间进口煤炭用量下降38%、天然气用量下降35%。研究由挪威CICERO的Robbie Andrew发表。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电力行业清洁化取得进展，但工业电气化水平偏低使化石燃料直接使用增加，近两年印度总排放仍因工业排放大幅上升而走高。</w:t>
      </w:r>
    </w:p>
    <w:p>
      <w:pPr>
        <w:ind w:firstLine="420"/>
      </w:pPr>
      <w:r>
        <w:rPr>
          <w:rFonts w:ascii="微软雅黑" w:hAnsi="微软雅黑" w:eastAsia="微软雅黑" w:cs="微软雅黑"/>
        </w:rPr>
        <w:t>来源：</w:t>
      </w:r>
      <w:hyperlink w:anchor="source-2610">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9. 美国能源部授权PJM在能源紧急时可指令备用发电运行</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美国能源部长发布命令，指示PJM互联电网调度指定资源并按需指挥其运行以维持可靠性，并授权PJM在宣布能源紧急警报3级之前或期间，作为最后手段指令备用发电资源运行。</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美国能源部估计全美仍有超过35吉瓦的未使用备用发电资源可用。该命令旨在应对预期中的中大西洋地区系统运行紧张状况，保障电网稳定。</w:t>
      </w:r>
    </w:p>
    <w:p>
      <w:pPr>
        <w:ind w:firstLine="420"/>
      </w:pPr>
      <w:r>
        <w:rPr>
          <w:rFonts w:ascii="微软雅黑" w:hAnsi="微软雅黑" w:eastAsia="微软雅黑" w:cs="微软雅黑"/>
        </w:rPr>
        <w:t>来源：</w:t>
      </w:r>
      <w:hyperlink w:anchor="source-3142">
        <w:r>
          <w:rPr>
            <w:rFonts w:ascii="微软雅黑" w:hAnsi="微软雅黑" w:eastAsia="微软雅黑" w:cs="微软雅黑"/>
            <w:color w:val="087E89"/>
          </w:rPr>
          <w:t>29</w:t>
        </w:r>
      </w:hyperlink>
      <w:r>
        <w:rPr>
          <w:rFonts w:ascii="微软雅黑" w:hAnsi="微软雅黑" w:eastAsia="微软雅黑" w:cs="微软雅黑"/>
        </w:rPr>
      </w:r>
    </w:p>
    <w:p>
      <w:pPr>
        <w:pStyle w:val="Heading3"/>
      </w:pPr>
      <w:r>
        <w:rPr>
          <w:rFonts w:ascii="微软雅黑" w:hAnsi="微软雅黑" w:eastAsia="微软雅黑" w:cs="微软雅黑"/>
        </w:rPr>
        <w:t>10. 伊朗冲突推高化石燃料进口成本，加速清洁能源投资</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Rhodium Group与能源与清洁空气研究中心研究指出，伊朗战争背景下，化石燃料进口国支付的价格较战前市场预期高出3300亿美元，为1990年海湾战争以来最大持续性价格冲击。</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显示，在油气价格敞口较大的美国、欧洲和印度，太阳能投资出现增长，风电投资保持稳定或增长。能源与清洁空气研究中心数据表明，在历次能源危机后投资清洁能源的国家，在冲突前五个月内通过减少化石燃料进口节省约360亿美元。研究将当前冲击定性为1990年海湾战争以来最大持续性价格冲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来源指出，地缘冲突引发的高能源价格正在加速部分国家的清洁能源投资转向。</w:t>
      </w:r>
    </w:p>
    <w:p>
      <w:pPr>
        <w:ind w:firstLine="420"/>
      </w:pPr>
      <w:r>
        <w:rPr>
          <w:rFonts w:ascii="微软雅黑" w:hAnsi="微软雅黑" w:eastAsia="微软雅黑" w:cs="微软雅黑"/>
        </w:rPr>
        <w:t>来源：</w:t>
      </w:r>
      <w:hyperlink w:anchor="source-3131">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11. 德国联邦政府提出《能源效率法》改革草案</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德国联邦政府提出《能源效率法》改革草案，将修订后的欧盟能效指令（EU 2023/1791）转化为国内法，并大体恢复国家能效法（EnEfG）的相关规定至欧盟要求水平，旨在避免“过度实施”并减轻经济负担。</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草案目标包括避免超出欧盟要求的所谓“过度实施”，并为企业带来实质性减负。草案还将取消对多数企业现有的余热潜力报告义务。</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可能降低德国企业的合规与报告负担，使国内能效规则与欧盟最低要求保持一致。</w:t>
      </w:r>
    </w:p>
    <w:p>
      <w:pPr>
        <w:ind w:firstLine="420"/>
      </w:pPr>
      <w:r>
        <w:rPr>
          <w:rFonts w:ascii="微软雅黑" w:hAnsi="微软雅黑" w:eastAsia="微软雅黑" w:cs="微软雅黑"/>
        </w:rPr>
        <w:t>来源：</w:t>
      </w:r>
      <w:hyperlink w:anchor="source-3109">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12. 欧盟2024年能源补贴报告：补贴规模进一步下降</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欧盟2024年能源补贴报告显示，能源补贴总额较2023年下降，其中化石燃料补贴延续下降趋势，但成员国在退出时间表上仍缺乏明确承诺。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2024年欧盟能源补贴总额为3400亿欧元，较2023年下降5%，较2022年峰值4570亿欧元下降25%。其中化石燃料补贴为970亿欧元，较2023年下降20%，较2022年峰值1680亿欧元下降42%，但仍高于2015—2019年600亿欧元的均值。2024年成员国未作出新的化石燃料补贴退出承诺，已承诺国家仍缺乏明确的最终退出时间。</w:t>
      </w:r>
    </w:p>
    <w:p>
      <w:pPr>
        <w:ind w:firstLine="420"/>
      </w:pPr>
      <w:r>
        <w:rPr>
          <w:rFonts w:ascii="微软雅黑" w:hAnsi="微软雅黑" w:eastAsia="微软雅黑" w:cs="微软雅黑"/>
        </w:rPr>
        <w:t>来源：</w:t>
      </w:r>
      <w:hyperlink w:anchor="source-3045">
        <w:r>
          <w:rPr>
            <w:rFonts w:ascii="微软雅黑" w:hAnsi="微软雅黑" w:eastAsia="微软雅黑" w:cs="微软雅黑"/>
            <w:color w:val="087E89"/>
          </w:rPr>
          <w:t>30</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山西能源监管办查处29家市场主体串通报价违规行为</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山西能源监管办通过数字化监管平台锁定8起串通报价问题线索，发现并查处29家市场主体串通报价违规行为，持续释放“零容忍”监管信号。</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线索涉及1家批发用户、6家售电企业、22家发电企业。山西能源监管办对29家企业逐一下达整改通知书，并约谈企业主要负责人，压实内部合规管理责任。对再次实施串通报价违规行为的2家发电企业，依法立案并完成证据固化，后续将依规实施行政处罚。下一步将持续深化数字化监管平台功能建设与应用，建立异常行为监测处置机制，对各类违规行为发现一起、查处一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维护电力市场公平交易秩序，强化对市场主体串通报价行为的监管震慑。</w:t>
      </w:r>
    </w:p>
    <w:p>
      <w:pPr>
        <w:ind w:firstLine="420"/>
      </w:pPr>
      <w:r>
        <w:rPr>
          <w:rFonts w:ascii="微软雅黑" w:hAnsi="微软雅黑" w:eastAsia="微软雅黑" w:cs="微软雅黑"/>
        </w:rPr>
        <w:t>来源：</w:t>
      </w:r>
      <w:hyperlink w:anchor="source-2955">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14. “十五五”能源规划提出油气供应与碳排放目标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十五五”能源规划提出，到2030年国内能源综合生产能力达58亿吨标准煤，国内油气供应量4.4亿吨油当量；单位发电量碳排放下降10%以上，煤炭和石油消费达峰，电力需求响应能力达最大用电负荷5%以上，源储调节能力增长40%以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援引国家能源局等部门文件，“十五五”期间能源重点项目和新业态投资预计超过20万亿元；8月17日国家发展改革委、国家能源局印发《石油天然气发展“十五五”规划》，明确到2030年国内油气供应量4.4亿吨油当量，年产量增速约1%。文件同时提出单位发电量碳排放下降10%以上，煤炭和石油消费达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来源未提供对市场和价格的直接影响。</w:t>
      </w:r>
    </w:p>
    <w:p>
      <w:pPr>
        <w:ind w:firstLine="420"/>
      </w:pPr>
      <w:r>
        <w:rPr>
          <w:rFonts w:ascii="微软雅黑" w:hAnsi="微软雅黑" w:eastAsia="微软雅黑" w:cs="微软雅黑"/>
        </w:rPr>
        <w:t>来源：</w:t>
      </w:r>
      <w:hyperlink w:anchor="source-328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907">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15. 国家管网天津LNG接收站液态外输量突破2000万吨</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9月16日，国家管网集团天津LNG接收站自投产以来累计液态外输量突破2000万吨，并成为全国首个槽车外输量突破100万辆的LNG接收站。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站具备千万吨级接卸规模，储罐容积达154万立方米，配置31套装车撬，为全国最大液态外输基地。LNG经码头接卸入罐后，通过槽车充装输送至北京、天津、河北、东三省等市场，保障民生采暖、工业生产及发电用气需求。接收站已落地8项服务产品，为47家托运商提供设施服务，被定位为全国服务产品种类最丰富、公平开放程度最高的LNG接收站。</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进一步增强华北及东北地区天然气供应保障与基础设施公平开放能力。</w:t>
      </w:r>
    </w:p>
    <w:p>
      <w:pPr>
        <w:ind w:firstLine="420"/>
      </w:pPr>
      <w:r>
        <w:rPr>
          <w:rFonts w:ascii="微软雅黑" w:hAnsi="微软雅黑" w:eastAsia="微软雅黑" w:cs="微软雅黑"/>
        </w:rPr>
        <w:t>来源：</w:t>
      </w:r>
      <w:hyperlink w:anchor="source-2682">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2983">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16. 智能化煤矿建设目标提升至2030年产能占比75%</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今年8月国家发展改革委、国家能源局联合印发《煤炭工业发展“十五五”规划》，提出深入实施“人工智能+”行动，加快研发推广煤炭领域专用大模型，重点突破智能感知、自主决策、智能控制关键技术，并推动危险繁重岗位机器人作业替代。规划明确到2030年智能化煤矿产能比例提升至75%。</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煤炭工业发展“十五五”规划》由国家发展改革委、国家能源局于今年8月联合印发。截至2025年底，全国已建成智能化煤矿1066处，智能化产能占比超过65%。“十四五”时期榆林完成74处煤矿智能化改造，其中13处入选国家智能化示范煤矿建设名单，累计建成智能化采煤工作面104个、掘进工作面85个，智能化年产能达5.1亿吨。山东海纳展示应用骨传导技术的带式输送机光纤听诊系统，设备微弱振动信号采集率达99.9%，故障漏报率低于1%，故障误报率控制在5%以内。</w:t>
      </w:r>
    </w:p>
    <w:p>
      <w:pPr>
        <w:ind w:firstLine="420"/>
      </w:pPr>
      <w:r>
        <w:rPr>
          <w:rFonts w:ascii="微软雅黑" w:hAnsi="微软雅黑" w:eastAsia="微软雅黑" w:cs="微软雅黑"/>
        </w:rPr>
        <w:t>来源：</w:t>
      </w:r>
      <w:hyperlink w:anchor="source-2628">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17. 华能昌江核电二期3号机组正式投产商运</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17日，华能昌江核电二期项目3号机组正式商运，成为中国华能首个控股建设的大型压水堆核电机组，也是海南首台投入商运的“华龙一号”核电机组。该机组搭载我国自主知识产权三代压水堆核电技术，采用能动与非能动相结合的安全设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3号机组于2021年3月31日浇筑第一罐混凝土，2026年8月1日成功并网，建设历时逾5年。项目共建设两台120万千瓦核电机组，应用能动与非能动相结合安全设计。机组实施86项设计优化，设备国产化率达98.1%。中国华能自主研发的核电生产管理系统HAP同步全面投用，软硬件完全自主可控，并已在商业压水堆与第四代高温气冷堆两种堆型完成部署。华龙一号外挂水箱储存约2400吨水，可在72小时内依靠重力与蒸发持续为堆芯降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项目全部建成后年发电量可达180亿千瓦时，每年节约标准煤超632万吨、减排二氧化碳约1160万吨，将为海南自贸港建设提供清洁能源支撑。</w:t>
      </w:r>
    </w:p>
    <w:p>
      <w:pPr>
        <w:ind w:firstLine="420"/>
      </w:pPr>
      <w:r>
        <w:rPr>
          <w:rFonts w:ascii="微软雅黑" w:hAnsi="微软雅黑" w:eastAsia="微软雅黑" w:cs="微软雅黑"/>
        </w:rPr>
        <w:t>来源：</w:t>
      </w:r>
      <w:hyperlink w:anchor="source-3005">
        <w:r>
          <w:rPr>
            <w:rFonts w:ascii="微软雅黑" w:hAnsi="微软雅黑" w:eastAsia="微软雅黑" w:cs="微软雅黑"/>
            <w:color w:val="087E89"/>
          </w:rPr>
          <w:t>15</w:t>
        </w:r>
      </w:hyperlink>
      <w:r>
        <w:rPr>
          <w:rFonts w:ascii="微软雅黑" w:hAnsi="微软雅黑" w:eastAsia="微软雅黑" w:cs="微软雅黑"/>
        </w:rPr>
        <w:t xml:space="preserve"> </w:t>
      </w:r>
      <w:hyperlink w:anchor="source-3003">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3017">
        <w:r>
          <w:rPr>
            <w:rFonts w:ascii="微软雅黑" w:hAnsi="微软雅黑" w:eastAsia="微软雅黑" w:cs="微软雅黑"/>
            <w:color w:val="087E89"/>
          </w:rPr>
          <w:t>17</w:t>
        </w:r>
      </w:hyperlink>
      <w:r>
        <w:rPr>
          <w:rFonts w:ascii="微软雅黑" w:hAnsi="微软雅黑" w:eastAsia="微软雅黑" w:cs="微软雅黑"/>
        </w:rPr>
        <w:t xml:space="preserve"> </w:t>
      </w:r>
      <w:hyperlink w:anchor="source-2934">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18. 工信部：2026年上半年锂电池产业延续高增长</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工信部披露2026年上半年我国锂离子电池产业延续增长态势，全国锂电池总产量超过1240GWh，同比增长44%；消费型、储能型、动力型产量分别为40GWh、420GWh、785GWh。</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上半年全国锂电池出口总额3370亿元，同比增长37%。正极材料、负极材料、隔膜、电解液产量分别约为475万吨、300万吨、330亿平方米、220万吨，同比增长均超过50%。电池级碳酸锂产量62万吨，同比增长44%；电池级氢氧化锂产量18万吨，同比增长5.4%。电池级碳酸锂和氢氧化锂（微粉级）均价分别为16.3万元/吨和15.3万元/吨。数据来源为锂电池行业规范公告企业信息和行业协会测算。</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出口额同比增长37%，显示海外需求保持强劲；上游材料环节产量同比均超过50%，产业链各环节同步扩张。</w:t>
      </w:r>
    </w:p>
    <w:p>
      <w:pPr>
        <w:ind w:firstLine="420"/>
      </w:pPr>
      <w:r>
        <w:rPr>
          <w:rFonts w:ascii="微软雅黑" w:hAnsi="微软雅黑" w:eastAsia="微软雅黑" w:cs="微软雅黑"/>
        </w:rPr>
        <w:t>来源：</w:t>
      </w:r>
      <w:hyperlink w:anchor="source-3092">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19. 华电发布“十四五”碳排放白皮书披露节能减耗成效</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“十四五”期间，中国华电发布碳排放白皮书，披露累计完成节能改造2822万千瓦，火电供电煤耗（境内）降至292.11克/千瓦时，旗下7家煤矿全部通过5A级绿色矿山认证。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白皮书披露的关键指标包括：累计完成节能改造规模2822万千瓦；火电供电煤耗（境内）降至292.11克/千瓦时；7家煤矿全部通过5A级绿色矿山认证。报道披露时间为“十四五”总结期。</w:t>
      </w:r>
    </w:p>
    <w:p>
      <w:pPr>
        <w:ind w:firstLine="420"/>
      </w:pPr>
      <w:r>
        <w:rPr>
          <w:rFonts w:ascii="微软雅黑" w:hAnsi="微软雅黑" w:eastAsia="微软雅黑" w:cs="微软雅黑"/>
        </w:rPr>
        <w:t>来源：</w:t>
      </w:r>
      <w:hyperlink w:anchor="source-3047">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20. 宁德时代两个月减持湖南裕能超1700万股</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2026年6月26日至9月16日，宁德时代通过集中竞价及大宗交易方式减持湖南裕能1745.97万股，减持比例2.05957%；叠加股权激励导致的持股比例被动稀释，持股比例由7.09632%降至4.99999%。</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短短2个多月，宁德时代抛售湖南裕能股票超过1700万股，持股比例降至5%以下。宁德时代表示，本次减持主要系自身资金管理需求及正常投资安排，不会对双方业务合作产生影响。湖南裕能对宁德时代与比亚迪的合计销售收入占比多年稳定在90%以上。2026年上半年，湖南裕能实现营业收入348.77亿元，同比增长142.92%；归母净利润29.10亿元，同比增长853.51%。</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减持系宁德时代自身资金管理需求，宁德时代明确表示不会影响双方业务合作。</w:t>
      </w:r>
    </w:p>
    <w:p>
      <w:pPr>
        <w:ind w:firstLine="420"/>
      </w:pPr>
      <w:r>
        <w:rPr>
          <w:rFonts w:ascii="微软雅黑" w:hAnsi="微软雅黑" w:eastAsia="微软雅黑" w:cs="微软雅黑"/>
        </w:rPr>
        <w:t>来源：</w:t>
      </w:r>
      <w:hyperlink w:anchor="source-3062">
        <w:r>
          <w:rPr>
            <w:rFonts w:ascii="微软雅黑" w:hAnsi="微软雅黑" w:eastAsia="微软雅黑" w:cs="微软雅黑"/>
            <w:color w:val="087E89"/>
          </w:rPr>
          <w:t>22</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Pearl GTL重启时间、South Pars与Kangan第13期受损设施修复进度、买方对长期LNG合同的重估动向。 </w:t>
      </w:r>
      <w:hyperlink w:anchor="source-316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301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沙特原油供应量恢复节奏；国际油价波动对后续进口到岸价格的影响。 </w:t>
      </w:r>
      <w:hyperlink w:anchor="source-2672">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规划中重点项目投资额、年产量增速等仍为预计口径，后续配套政策与项目落地节奏有待观察。 </w:t>
      </w:r>
      <w:hyperlink w:anchor="source-328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90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草案的后续立法进程及对企业余热报告义务的具体取消范围。 </w:t>
      </w:r>
      <w:hyperlink w:anchor="source-3109">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沙特能否如期在未来数日内恢复管道约一半运力；中东冲突是否进一步升级及对霍尔木兹海峡运输的影响。 </w:t>
      </w:r>
      <w:hyperlink w:anchor="source-297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88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822">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2915">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新增煤电装机与运行小时数下降之间的平衡，以及非化石电源对新增发电量贡献的可持续性。 </w:t>
      </w:r>
      <w:hyperlink w:anchor="source-2610">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423 篇文章，形成 315 篇有效能源材料；正文引用 30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3162"/>
      <w:bookmarkEnd w:id="1" w:name="source-3162"/>
    </w:p>
    <w:p>
      <w:pPr>
        <w:pStyle w:val="ListBullet"/>
      </w:pPr>
      <w:r>
        <w:rPr>
          <w:rFonts w:ascii="微软雅黑" w:hAnsi="微软雅黑" w:eastAsia="微软雅黑" w:cs="微软雅黑"/>
        </w:rPr>
        <w:t>[1] World Oil｜</w:t>
      </w:r>
      <w:hyperlink r:id="rId11">
        <w:r>
          <w:rPr>
            <w:rFonts w:ascii="微软雅黑" w:hAnsi="微软雅黑" w:eastAsia="微软雅黑" w:cs="微软雅黑"/>
            <w:color w:val="087E89"/>
          </w:rPr>
          <w:t>卡塔尔、伊朗气田中断威胁液化天然气供应，伍德麦肯兹表示</w:t>
        </w:r>
      </w:hyperlink>
      <w:r>
        <w:rPr>
          <w:rFonts w:ascii="微软雅黑" w:hAnsi="微软雅黑" w:eastAsia="微软雅黑" w:cs="微软雅黑"/>
        </w:rPr>
      </w:r>
    </w:p>
    <w:p>
      <w:pPr>
        <w:spacing w:after="0" w:line="20" w:lineRule="exact"/>
      </w:pPr>
      <w:bookmarkStart w:id="2" w:name="source-3010"/>
      <w:bookmarkEnd w:id="2" w:name="source-3010"/>
    </w:p>
    <w:p>
      <w:pPr>
        <w:pStyle w:val="ListBullet"/>
      </w:pPr>
      <w:r>
        <w:rPr>
          <w:rFonts w:ascii="微软雅黑" w:hAnsi="微软雅黑" w:eastAsia="微软雅黑" w:cs="微软雅黑"/>
        </w:rPr>
        <w:t>[2] Anadolu Agency｜</w:t>
      </w:r>
      <w:hyperlink r:id="rId12">
        <w:r>
          <w:rPr>
            <w:rFonts w:ascii="微软雅黑" w:hAnsi="微软雅黑" w:eastAsia="微软雅黑" w:cs="微软雅黑"/>
            <w:color w:val="087E89"/>
          </w:rPr>
          <w:t>全球液化天然气供应紧张 促使欧盟寻求替代气源</w:t>
        </w:r>
      </w:hyperlink>
      <w:r>
        <w:rPr>
          <w:rFonts w:ascii="微软雅黑" w:hAnsi="微软雅黑" w:eastAsia="微软雅黑" w:cs="微软雅黑"/>
        </w:rPr>
      </w:r>
    </w:p>
    <w:p>
      <w:pPr>
        <w:spacing w:after="0" w:line="20" w:lineRule="exact"/>
      </w:pPr>
      <w:bookmarkStart w:id="3" w:name="source-2672"/>
      <w:bookmarkEnd w:id="3" w:name="source-2672"/>
    </w:p>
    <w:p>
      <w:pPr>
        <w:pStyle w:val="ListBullet"/>
      </w:pPr>
      <w:r>
        <w:rPr>
          <w:rFonts w:ascii="微软雅黑" w:hAnsi="微软雅黑" w:eastAsia="微软雅黑" w:cs="微软雅黑"/>
        </w:rPr>
        <w:t>[3] 上海石油天然气交易中心｜</w:t>
      </w:r>
      <w:hyperlink r:id="rId13">
        <w:r>
          <w:rPr>
            <w:rFonts w:ascii="微软雅黑" w:hAnsi="微软雅黑" w:eastAsia="微软雅黑" w:cs="微软雅黑"/>
            <w:color w:val="087E89"/>
          </w:rPr>
          <w:t>9月7日-13日中国原油综合进口到岸价格指数为141.99点</w:t>
        </w:r>
      </w:hyperlink>
      <w:r>
        <w:rPr>
          <w:rFonts w:ascii="微软雅黑" w:hAnsi="微软雅黑" w:eastAsia="微软雅黑" w:cs="微软雅黑"/>
        </w:rPr>
      </w:r>
    </w:p>
    <w:p>
      <w:pPr>
        <w:spacing w:after="0" w:line="20" w:lineRule="exact"/>
      </w:pPr>
      <w:bookmarkStart w:id="4" w:name="source-3287"/>
      <w:bookmarkEnd w:id="4" w:name="source-3287"/>
    </w:p>
    <w:p>
      <w:pPr>
        <w:pStyle w:val="ListBullet"/>
      </w:pPr>
      <w:r>
        <w:rPr>
          <w:rFonts w:ascii="微软雅黑" w:hAnsi="微软雅黑" w:eastAsia="微软雅黑" w:cs="微软雅黑"/>
        </w:rPr>
        <w:t>[4] 国家管网集团｜</w:t>
      </w:r>
      <w:hyperlink r:id="rId14">
        <w:r>
          <w:rPr>
            <w:rFonts w:ascii="微软雅黑" w:hAnsi="微软雅黑" w:eastAsia="微软雅黑" w:cs="微软雅黑"/>
            <w:color w:val="087E89"/>
          </w:rPr>
          <w:t>加快建设新型能源体系 支撑能源强国建设</w:t>
        </w:r>
      </w:hyperlink>
      <w:r>
        <w:rPr>
          <w:rFonts w:ascii="微软雅黑" w:hAnsi="微软雅黑" w:eastAsia="微软雅黑" w:cs="微软雅黑"/>
        </w:rPr>
      </w:r>
    </w:p>
    <w:p>
      <w:pPr>
        <w:spacing w:after="0" w:line="20" w:lineRule="exact"/>
      </w:pPr>
      <w:bookmarkStart w:id="5" w:name="source-2907"/>
      <w:bookmarkEnd w:id="5" w:name="source-2907"/>
    </w:p>
    <w:p>
      <w:pPr>
        <w:pStyle w:val="ListBullet"/>
      </w:pPr>
      <w:r>
        <w:rPr>
          <w:rFonts w:ascii="微软雅黑" w:hAnsi="微软雅黑" w:eastAsia="微软雅黑" w:cs="微软雅黑"/>
        </w:rPr>
        <w:t>[5] 中国能源新闻网 · 半年报观中国动能 | 三大油企日赚近12亿，分红990亿！｜</w:t>
      </w:r>
      <w:hyperlink r:id="rId15">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6" w:name="source-3109"/>
      <w:bookmarkEnd w:id="6" w:name="source-3109"/>
    </w:p>
    <w:p>
      <w:pPr>
        <w:pStyle w:val="ListBullet"/>
      </w:pPr>
      <w:r>
        <w:rPr>
          <w:rFonts w:ascii="微软雅黑" w:hAnsi="微软雅黑" w:eastAsia="微软雅黑" w:cs="微软雅黑"/>
        </w:rPr>
        <w:t>[6] 德国联邦议院｜</w:t>
      </w:r>
      <w:hyperlink r:id="rId16">
        <w:r>
          <w:rPr>
            <w:rFonts w:ascii="微软雅黑" w:hAnsi="微软雅黑" w:eastAsia="微软雅黑" w:cs="微软雅黑"/>
            <w:color w:val="087E89"/>
          </w:rPr>
          <w:t>联邦政府提出《能源效率法》改革方案</w:t>
        </w:r>
      </w:hyperlink>
      <w:r>
        <w:rPr>
          <w:rFonts w:ascii="微软雅黑" w:hAnsi="微软雅黑" w:eastAsia="微软雅黑" w:cs="微软雅黑"/>
        </w:rPr>
      </w:r>
    </w:p>
    <w:p>
      <w:pPr>
        <w:spacing w:after="0" w:line="20" w:lineRule="exact"/>
      </w:pPr>
      <w:bookmarkStart w:id="7" w:name="source-2978"/>
      <w:bookmarkEnd w:id="7" w:name="source-2978"/>
    </w:p>
    <w:p>
      <w:pPr>
        <w:pStyle w:val="ListBullet"/>
      </w:pPr>
      <w:r>
        <w:rPr>
          <w:rFonts w:ascii="微软雅黑" w:hAnsi="微软雅黑" w:eastAsia="微软雅黑" w:cs="微软雅黑"/>
        </w:rPr>
        <w:t>[7] 叙利亚通讯社｜</w:t>
      </w:r>
      <w:hyperlink r:id="rId17">
        <w:r>
          <w:rPr>
            <w:rFonts w:ascii="微软雅黑" w:hAnsi="微软雅黑" w:eastAsia="微软雅黑" w:cs="微软雅黑"/>
            <w:color w:val="087E89"/>
          </w:rPr>
          <w:t>霍尔木兹海峡通航量降至三艘船，石油出口风险加剧</w:t>
        </w:r>
      </w:hyperlink>
      <w:r>
        <w:rPr>
          <w:rFonts w:ascii="微软雅黑" w:hAnsi="微软雅黑" w:eastAsia="微软雅黑" w:cs="微软雅黑"/>
        </w:rPr>
      </w:r>
    </w:p>
    <w:p>
      <w:pPr>
        <w:spacing w:after="0" w:line="20" w:lineRule="exact"/>
      </w:pPr>
      <w:bookmarkStart w:id="8" w:name="source-2882"/>
      <w:bookmarkEnd w:id="8" w:name="source-2882"/>
    </w:p>
    <w:p>
      <w:pPr>
        <w:pStyle w:val="ListBullet"/>
      </w:pPr>
      <w:r>
        <w:rPr>
          <w:rFonts w:ascii="微软雅黑" w:hAnsi="微软雅黑" w:eastAsia="微软雅黑" w:cs="微软雅黑"/>
        </w:rPr>
        <w:t>[8] 汇通财经｜</w:t>
      </w:r>
      <w:hyperlink r:id="rId18">
        <w:r>
          <w:rPr>
            <w:rFonts w:ascii="微软雅黑" w:hAnsi="微软雅黑" w:eastAsia="微软雅黑" w:cs="微软雅黑"/>
            <w:color w:val="087E89"/>
          </w:rPr>
          <w:t>沙特改道霍尔木兹海峡以外，亚洲炼油商获额外原油，油市“风向”要变？</w:t>
        </w:r>
      </w:hyperlink>
      <w:r>
        <w:rPr>
          <w:rFonts w:ascii="微软雅黑" w:hAnsi="微软雅黑" w:eastAsia="微软雅黑" w:cs="微软雅黑"/>
        </w:rPr>
      </w:r>
    </w:p>
    <w:p>
      <w:pPr>
        <w:spacing w:after="0" w:line="20" w:lineRule="exact"/>
      </w:pPr>
      <w:bookmarkStart w:id="9" w:name="source-2822"/>
      <w:bookmarkEnd w:id="9" w:name="source-2822"/>
    </w:p>
    <w:p>
      <w:pPr>
        <w:pStyle w:val="ListBullet"/>
      </w:pPr>
      <w:r>
        <w:rPr>
          <w:rFonts w:ascii="微软雅黑" w:hAnsi="微软雅黑" w:eastAsia="微软雅黑" w:cs="微软雅黑"/>
        </w:rPr>
        <w:t>[9] 汇通财经｜</w:t>
      </w:r>
      <w:hyperlink r:id="rId19">
        <w:r>
          <w:rPr>
            <w:rFonts w:ascii="微软雅黑" w:hAnsi="微软雅黑" w:eastAsia="微软雅黑" w:cs="微软雅黑"/>
            <w:color w:val="087E89"/>
          </w:rPr>
          <w:t>机构称沙特输油管道受损，地缘风险溢价抬高油价底部</w:t>
        </w:r>
      </w:hyperlink>
      <w:r>
        <w:rPr>
          <w:rFonts w:ascii="微软雅黑" w:hAnsi="微软雅黑" w:eastAsia="微软雅黑" w:cs="微软雅黑"/>
        </w:rPr>
      </w:r>
    </w:p>
    <w:p>
      <w:pPr>
        <w:spacing w:after="0" w:line="20" w:lineRule="exact"/>
      </w:pPr>
      <w:bookmarkStart w:id="10" w:name="source-2915"/>
      <w:bookmarkEnd w:id="10" w:name="source-2915"/>
    </w:p>
    <w:p>
      <w:pPr>
        <w:pStyle w:val="ListBullet"/>
      </w:pPr>
      <w:r>
        <w:rPr>
          <w:rFonts w:ascii="微软雅黑" w:hAnsi="微软雅黑" w:eastAsia="微软雅黑" w:cs="微软雅黑"/>
        </w:rPr>
        <w:t>[10] 韩国联合通讯社｜</w:t>
      </w:r>
      <w:hyperlink r:id="rId20">
        <w:r>
          <w:rPr>
            <w:rFonts w:ascii="微软雅黑" w:hAnsi="微软雅黑" w:eastAsia="微软雅黑" w:cs="微软雅黑"/>
            <w:color w:val="087E89"/>
          </w:rPr>
          <w:t>气候灾害与中东局势紧张……韩国与国际能源署共同应对亚洲能源供应链（综合）</w:t>
        </w:r>
      </w:hyperlink>
      <w:r>
        <w:rPr>
          <w:rFonts w:ascii="微软雅黑" w:hAnsi="微软雅黑" w:eastAsia="微软雅黑" w:cs="微软雅黑"/>
        </w:rPr>
      </w:r>
    </w:p>
    <w:p>
      <w:pPr>
        <w:spacing w:after="0" w:line="20" w:lineRule="exact"/>
      </w:pPr>
      <w:bookmarkStart w:id="11" w:name="source-2610"/>
      <w:bookmarkEnd w:id="11" w:name="source-2610"/>
    </w:p>
    <w:p>
      <w:pPr>
        <w:pStyle w:val="ListBullet"/>
      </w:pPr>
      <w:r>
        <w:rPr>
          <w:rFonts w:ascii="微软雅黑" w:hAnsi="微软雅黑" w:eastAsia="微软雅黑" w:cs="微软雅黑"/>
        </w:rPr>
        <w:t>[11] Carbon Brief｜</w:t>
      </w:r>
      <w:hyperlink r:id="rId21">
        <w:r>
          <w:rPr>
            <w:rFonts w:ascii="微软雅黑" w:hAnsi="微软雅黑" w:eastAsia="微软雅黑" w:cs="微软雅黑"/>
            <w:color w:val="087E89"/>
          </w:rPr>
          <w:t>分析：因清洁能源激增，印度电力部门排放连续两年持平</w:t>
        </w:r>
      </w:hyperlink>
      <w:r>
        <w:rPr>
          <w:rFonts w:ascii="微软雅黑" w:hAnsi="微软雅黑" w:eastAsia="微软雅黑" w:cs="微软雅黑"/>
        </w:rPr>
      </w:r>
    </w:p>
    <w:p>
      <w:pPr>
        <w:spacing w:after="0" w:line="20" w:lineRule="exact"/>
      </w:pPr>
      <w:bookmarkStart w:id="12" w:name="source-3131"/>
      <w:bookmarkEnd w:id="12" w:name="source-3131"/>
    </w:p>
    <w:p>
      <w:pPr>
        <w:pStyle w:val="ListBullet"/>
      </w:pPr>
      <w:r>
        <w:rPr>
          <w:rFonts w:ascii="微软雅黑" w:hAnsi="微软雅黑" w:eastAsia="微软雅黑" w:cs="微软雅黑"/>
        </w:rPr>
        <w:t>[12] Courthouse News｜</w:t>
      </w:r>
      <w:hyperlink r:id="rId22">
        <w:r>
          <w:rPr>
            <w:rFonts w:ascii="微软雅黑" w:hAnsi="微软雅黑" w:eastAsia="微软雅黑" w:cs="微软雅黑"/>
            <w:color w:val="087E89"/>
          </w:rPr>
          <w:t>伊朗战争正在推动清洁能源发展。但这还不足以拯救地球。</w:t>
        </w:r>
      </w:hyperlink>
      <w:r>
        <w:rPr>
          <w:rFonts w:ascii="微软雅黑" w:hAnsi="微软雅黑" w:eastAsia="微软雅黑" w:cs="微软雅黑"/>
        </w:rPr>
      </w:r>
    </w:p>
    <w:p>
      <w:pPr>
        <w:spacing w:after="0" w:line="20" w:lineRule="exact"/>
      </w:pPr>
      <w:bookmarkStart w:id="13" w:name="source-3022"/>
      <w:bookmarkEnd w:id="13" w:name="source-3022"/>
    </w:p>
    <w:p>
      <w:pPr>
        <w:pStyle w:val="ListBullet"/>
      </w:pPr>
      <w:r>
        <w:rPr>
          <w:rFonts w:ascii="微软雅黑" w:hAnsi="微软雅黑" w:eastAsia="微软雅黑" w:cs="微软雅黑"/>
        </w:rPr>
        <w:t>[13] 英国能源安全与净零排放部｜</w:t>
      </w:r>
      <w:hyperlink r:id="rId23">
        <w:r>
          <w:rPr>
            <w:rFonts w:ascii="微软雅黑" w:hAnsi="微软雅黑" w:eastAsia="微软雅黑" w:cs="微软雅黑"/>
            <w:color w:val="087E89"/>
          </w:rPr>
          <w:t>英国核退役署（NDA）推动整个核能行业的文化转变</w:t>
        </w:r>
      </w:hyperlink>
      <w:r>
        <w:rPr>
          <w:rFonts w:ascii="微软雅黑" w:hAnsi="微软雅黑" w:eastAsia="微软雅黑" w:cs="微软雅黑"/>
        </w:rPr>
      </w:r>
    </w:p>
    <w:p>
      <w:pPr>
        <w:spacing w:after="0" w:line="20" w:lineRule="exact"/>
      </w:pPr>
      <w:bookmarkStart w:id="14" w:name="source-3092"/>
      <w:bookmarkEnd w:id="14" w:name="source-3092"/>
    </w:p>
    <w:p>
      <w:pPr>
        <w:pStyle w:val="ListBullet"/>
      </w:pPr>
      <w:r>
        <w:rPr>
          <w:rFonts w:ascii="微软雅黑" w:hAnsi="微软雅黑" w:eastAsia="微软雅黑" w:cs="微软雅黑"/>
        </w:rPr>
        <w:t>[14] Mysteel｜</w:t>
      </w:r>
      <w:hyperlink r:id="rId24">
        <w:r>
          <w:rPr>
            <w:rFonts w:ascii="微软雅黑" w:hAnsi="微软雅黑" w:eastAsia="微软雅黑" w:cs="微软雅黑"/>
            <w:color w:val="087E89"/>
          </w:rPr>
          <w:t>工信部：2026年上半年全国锂离子电池产业延续增长态势</w:t>
        </w:r>
      </w:hyperlink>
      <w:r>
        <w:rPr>
          <w:rFonts w:ascii="微软雅黑" w:hAnsi="微软雅黑" w:eastAsia="微软雅黑" w:cs="微软雅黑"/>
        </w:rPr>
      </w:r>
    </w:p>
    <w:p>
      <w:pPr>
        <w:spacing w:after="0" w:line="20" w:lineRule="exact"/>
      </w:pPr>
      <w:bookmarkStart w:id="15" w:name="source-3005"/>
      <w:bookmarkEnd w:id="15" w:name="source-3005"/>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华能首个压水堆核电机组投产商运</w:t>
        </w:r>
      </w:hyperlink>
      <w:r>
        <w:rPr>
          <w:rFonts w:ascii="微软雅黑" w:hAnsi="微软雅黑" w:eastAsia="微软雅黑" w:cs="微软雅黑"/>
        </w:rPr>
      </w:r>
    </w:p>
    <w:p>
      <w:pPr>
        <w:spacing w:after="0" w:line="20" w:lineRule="exact"/>
      </w:pPr>
      <w:bookmarkStart w:id="16" w:name="source-3003"/>
      <w:bookmarkEnd w:id="16" w:name="source-3003"/>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“首堆”商运！华能核电，“新兵”如何“弯道超车”?</w:t>
        </w:r>
      </w:hyperlink>
      <w:r>
        <w:rPr>
          <w:rFonts w:ascii="微软雅黑" w:hAnsi="微软雅黑" w:eastAsia="微软雅黑" w:cs="微软雅黑"/>
        </w:rPr>
      </w:r>
    </w:p>
    <w:p>
      <w:pPr>
        <w:spacing w:after="0" w:line="20" w:lineRule="exact"/>
      </w:pPr>
      <w:bookmarkStart w:id="17" w:name="source-3017"/>
      <w:bookmarkEnd w:id="17" w:name="source-3017"/>
    </w:p>
    <w:p>
      <w:pPr>
        <w:pStyle w:val="ListBullet"/>
      </w:pPr>
      <w:r>
        <w:rPr>
          <w:rFonts w:ascii="微软雅黑" w:hAnsi="微软雅黑" w:eastAsia="微软雅黑" w:cs="微软雅黑"/>
        </w:rPr>
        <w:t>[17] 世界核新闻｜</w:t>
      </w:r>
      <w:hyperlink r:id="rId27">
        <w:r>
          <w:rPr>
            <w:rFonts w:ascii="微软雅黑" w:hAnsi="微软雅黑" w:eastAsia="微软雅黑" w:cs="微软雅黑"/>
            <w:color w:val="087E89"/>
          </w:rPr>
          <w:t>昌江核电站3号机组建成投产</w:t>
        </w:r>
      </w:hyperlink>
      <w:r>
        <w:rPr>
          <w:rFonts w:ascii="微软雅黑" w:hAnsi="微软雅黑" w:eastAsia="微软雅黑" w:cs="微软雅黑"/>
        </w:rPr>
      </w:r>
    </w:p>
    <w:p>
      <w:pPr>
        <w:spacing w:after="0" w:line="20" w:lineRule="exact"/>
      </w:pPr>
      <w:bookmarkStart w:id="18" w:name="source-2934"/>
      <w:bookmarkEnd w:id="18" w:name="source-2934"/>
    </w:p>
    <w:p>
      <w:pPr>
        <w:pStyle w:val="ListBullet"/>
      </w:pPr>
      <w:r>
        <w:rPr>
          <w:rFonts w:ascii="微软雅黑" w:hAnsi="微软雅黑" w:eastAsia="微软雅黑" w:cs="微软雅黑"/>
        </w:rPr>
        <w:t>[18] 中国能源网｜</w:t>
      </w:r>
      <w:hyperlink r:id="rId28">
        <w:r>
          <w:rPr>
            <w:rFonts w:ascii="微软雅黑" w:hAnsi="微软雅黑" w:eastAsia="微软雅黑" w:cs="微软雅黑"/>
            <w:color w:val="087E89"/>
          </w:rPr>
          <w:t>华能昌江核电二期项目3号机组投产发电</w:t>
        </w:r>
      </w:hyperlink>
      <w:r>
        <w:rPr>
          <w:rFonts w:ascii="微软雅黑" w:hAnsi="微软雅黑" w:eastAsia="微软雅黑" w:cs="微软雅黑"/>
        </w:rPr>
      </w:r>
    </w:p>
    <w:p>
      <w:pPr>
        <w:spacing w:after="0" w:line="20" w:lineRule="exact"/>
      </w:pPr>
      <w:bookmarkStart w:id="19" w:name="source-2682"/>
      <w:bookmarkEnd w:id="19" w:name="source-2682"/>
    </w:p>
    <w:p>
      <w:pPr>
        <w:pStyle w:val="ListBullet"/>
      </w:pPr>
      <w:r>
        <w:rPr>
          <w:rFonts w:ascii="微软雅黑" w:hAnsi="微软雅黑" w:eastAsia="微软雅黑" w:cs="微软雅黑"/>
        </w:rPr>
        <w:t>[19] 中国能源新闻网｜</w:t>
      </w:r>
      <w:hyperlink r:id="rId29">
        <w:r>
          <w:rPr>
            <w:rFonts w:ascii="微软雅黑" w:hAnsi="微软雅黑" w:eastAsia="微软雅黑" w:cs="微软雅黑"/>
            <w:color w:val="087E89"/>
          </w:rPr>
          <w:t>国家管网天津LNG接收站液态外输量超2000万吨</w:t>
        </w:r>
      </w:hyperlink>
      <w:r>
        <w:rPr>
          <w:rFonts w:ascii="微软雅黑" w:hAnsi="微软雅黑" w:eastAsia="微软雅黑" w:cs="微软雅黑"/>
        </w:rPr>
      </w:r>
    </w:p>
    <w:p>
      <w:pPr>
        <w:spacing w:after="0" w:line="20" w:lineRule="exact"/>
      </w:pPr>
      <w:bookmarkStart w:id="20" w:name="source-2983"/>
      <w:bookmarkEnd w:id="20" w:name="source-2983"/>
    </w:p>
    <w:p>
      <w:pPr>
        <w:pStyle w:val="ListBullet"/>
      </w:pPr>
      <w:r>
        <w:rPr>
          <w:rFonts w:ascii="微软雅黑" w:hAnsi="微软雅黑" w:eastAsia="微软雅黑" w:cs="微软雅黑"/>
        </w:rPr>
        <w:t>[20] 中国能源网｜</w:t>
      </w:r>
      <w:hyperlink r:id="rId30">
        <w:r>
          <w:rPr>
            <w:rFonts w:ascii="微软雅黑" w:hAnsi="微软雅黑" w:eastAsia="微软雅黑" w:cs="微软雅黑"/>
            <w:color w:val="087E89"/>
          </w:rPr>
          <w:t>国家管网天津LNG接收站液态外输量超2000万吨</w:t>
        </w:r>
      </w:hyperlink>
      <w:r>
        <w:rPr>
          <w:rFonts w:ascii="微软雅黑" w:hAnsi="微软雅黑" w:eastAsia="微软雅黑" w:cs="微软雅黑"/>
        </w:rPr>
      </w:r>
    </w:p>
    <w:p>
      <w:pPr>
        <w:spacing w:after="0" w:line="20" w:lineRule="exact"/>
      </w:pPr>
      <w:bookmarkStart w:id="21" w:name="source-2628"/>
      <w:bookmarkEnd w:id="21" w:name="source-2628"/>
    </w:p>
    <w:p>
      <w:pPr>
        <w:pStyle w:val="ListBullet"/>
      </w:pPr>
      <w:r>
        <w:rPr>
          <w:rFonts w:ascii="微软雅黑" w:hAnsi="微软雅黑" w:eastAsia="微软雅黑" w:cs="微软雅黑"/>
        </w:rPr>
        <w:t>[21] 经济日报｜</w:t>
      </w:r>
      <w:hyperlink r:id="rId31">
        <w:r>
          <w:rPr>
            <w:rFonts w:ascii="微软雅黑" w:hAnsi="微软雅黑" w:eastAsia="微软雅黑" w:cs="微软雅黑"/>
            <w:color w:val="087E89"/>
          </w:rPr>
          <w:t>解码中国煤炭产业智能化转型新逻辑</w:t>
        </w:r>
      </w:hyperlink>
      <w:r>
        <w:rPr>
          <w:rFonts w:ascii="微软雅黑" w:hAnsi="微软雅黑" w:eastAsia="微软雅黑" w:cs="微软雅黑"/>
        </w:rPr>
      </w:r>
    </w:p>
    <w:p>
      <w:pPr>
        <w:spacing w:after="0" w:line="20" w:lineRule="exact"/>
      </w:pPr>
      <w:bookmarkStart w:id="22" w:name="source-3062"/>
      <w:bookmarkEnd w:id="22" w:name="source-3062"/>
    </w:p>
    <w:p>
      <w:pPr>
        <w:pStyle w:val="ListBullet"/>
      </w:pPr>
      <w:r>
        <w:rPr>
          <w:rFonts w:ascii="微软雅黑" w:hAnsi="微软雅黑" w:eastAsia="微软雅黑" w:cs="微软雅黑"/>
        </w:rPr>
        <w:t>[22] 证券时报｜</w:t>
      </w:r>
      <w:hyperlink r:id="rId32">
        <w:r>
          <w:rPr>
            <w:rFonts w:ascii="微软雅黑" w:hAnsi="微软雅黑" w:eastAsia="微软雅黑" w:cs="微软雅黑"/>
            <w:color w:val="087E89"/>
          </w:rPr>
          <w:t>湖南裕能遭宁德时代减持！持股比例降至5%以下</w:t>
        </w:r>
      </w:hyperlink>
      <w:r>
        <w:rPr>
          <w:rFonts w:ascii="微软雅黑" w:hAnsi="微软雅黑" w:eastAsia="微软雅黑" w:cs="微软雅黑"/>
        </w:rPr>
      </w:r>
    </w:p>
    <w:p>
      <w:pPr>
        <w:spacing w:after="0" w:line="20" w:lineRule="exact"/>
      </w:pPr>
      <w:bookmarkStart w:id="23" w:name="source-3047"/>
      <w:bookmarkEnd w:id="23" w:name="source-3047"/>
    </w:p>
    <w:p>
      <w:pPr>
        <w:pStyle w:val="ListBullet"/>
      </w:pPr>
      <w:r>
        <w:rPr>
          <w:rFonts w:ascii="微软雅黑" w:hAnsi="微软雅黑" w:eastAsia="微软雅黑" w:cs="微软雅黑"/>
        </w:rPr>
        <w:t>[23] 中国能源新闻网｜</w:t>
      </w:r>
      <w:hyperlink r:id="rId33">
        <w:r>
          <w:rPr>
            <w:rFonts w:ascii="微软雅黑" w:hAnsi="微软雅黑" w:eastAsia="微软雅黑" w:cs="微软雅黑"/>
            <w:color w:val="087E89"/>
          </w:rPr>
          <w:t>中国华电发布“十四五”碳排放白皮书</w:t>
        </w:r>
      </w:hyperlink>
      <w:r>
        <w:rPr>
          <w:rFonts w:ascii="微软雅黑" w:hAnsi="微软雅黑" w:eastAsia="微软雅黑" w:cs="微软雅黑"/>
        </w:rPr>
      </w:r>
    </w:p>
    <w:p>
      <w:pPr>
        <w:spacing w:after="0" w:line="20" w:lineRule="exact"/>
      </w:pPr>
      <w:bookmarkStart w:id="24" w:name="source-2955"/>
      <w:bookmarkEnd w:id="24" w:name="source-2955"/>
    </w:p>
    <w:p>
      <w:pPr>
        <w:pStyle w:val="ListBullet"/>
      </w:pPr>
      <w:r>
        <w:rPr>
          <w:rFonts w:ascii="微软雅黑" w:hAnsi="微软雅黑" w:eastAsia="微软雅黑" w:cs="微软雅黑"/>
        </w:rPr>
        <w:t>[24] 中国能源新闻网｜</w:t>
      </w:r>
      <w:hyperlink r:id="rId34">
        <w:r>
          <w:rPr>
            <w:rFonts w:ascii="微软雅黑" w:hAnsi="微软雅黑" w:eastAsia="微软雅黑" w:cs="微软雅黑"/>
            <w:color w:val="087E89"/>
          </w:rPr>
          <w:t>山西能源监管办数字化监管维护电力市场公平交易秩序</w:t>
        </w:r>
      </w:hyperlink>
      <w:r>
        <w:rPr>
          <w:rFonts w:ascii="微软雅黑" w:hAnsi="微软雅黑" w:eastAsia="微软雅黑" w:cs="微软雅黑"/>
        </w:rPr>
      </w:r>
    </w:p>
    <w:p>
      <w:pPr>
        <w:spacing w:after="0" w:line="20" w:lineRule="exact"/>
      </w:pPr>
      <w:bookmarkStart w:id="25" w:name="source-2932"/>
      <w:bookmarkEnd w:id="25" w:name="source-2932"/>
    </w:p>
    <w:p>
      <w:pPr>
        <w:pStyle w:val="ListBullet"/>
      </w:pPr>
      <w:r>
        <w:rPr>
          <w:rFonts w:ascii="微软雅黑" w:hAnsi="微软雅黑" w:eastAsia="微软雅黑" w:cs="微软雅黑"/>
        </w:rPr>
        <w:t>[25] 中国能源网｜</w:t>
      </w:r>
      <w:hyperlink r:id="rId35">
        <w:r>
          <w:rPr>
            <w:rFonts w:ascii="微软雅黑" w:hAnsi="微软雅黑" w:eastAsia="微软雅黑" w:cs="微软雅黑"/>
            <w:color w:val="087E89"/>
          </w:rPr>
          <w:t>彭博社： 8月印尼煤炭出口量同比下降23.3%，对华出口下降30.8%</w:t>
        </w:r>
      </w:hyperlink>
      <w:r>
        <w:rPr>
          <w:rFonts w:ascii="微软雅黑" w:hAnsi="微软雅黑" w:eastAsia="微软雅黑" w:cs="微软雅黑"/>
        </w:rPr>
      </w:r>
    </w:p>
    <w:p>
      <w:pPr>
        <w:spacing w:after="0" w:line="20" w:lineRule="exact"/>
      </w:pPr>
      <w:bookmarkStart w:id="26" w:name="source-3013"/>
      <w:bookmarkEnd w:id="26" w:name="source-3013"/>
    </w:p>
    <w:p>
      <w:pPr>
        <w:pStyle w:val="ListBullet"/>
      </w:pPr>
      <w:r>
        <w:rPr>
          <w:rFonts w:ascii="微软雅黑" w:hAnsi="微软雅黑" w:eastAsia="微软雅黑" w:cs="微软雅黑"/>
        </w:rPr>
        <w:t>[26] Anadolu Agency｜</w:t>
      </w:r>
      <w:hyperlink r:id="rId36">
        <w:r>
          <w:rPr>
            <w:rFonts w:ascii="微软雅黑" w:hAnsi="微软雅黑" w:eastAsia="微软雅黑" w:cs="微软雅黑"/>
            <w:color w:val="087E89"/>
          </w:rPr>
          <w:t>海湾地区与俄罗斯供应减少收紧全球柴油市场</w:t>
        </w:r>
      </w:hyperlink>
      <w:r>
        <w:rPr>
          <w:rFonts w:ascii="微软雅黑" w:hAnsi="微软雅黑" w:eastAsia="微软雅黑" w:cs="微软雅黑"/>
        </w:rPr>
      </w:r>
    </w:p>
    <w:p>
      <w:pPr>
        <w:spacing w:after="0" w:line="20" w:lineRule="exact"/>
      </w:pPr>
      <w:bookmarkStart w:id="27" w:name="source-3143"/>
      <w:bookmarkEnd w:id="27" w:name="source-3143"/>
    </w:p>
    <w:p>
      <w:pPr>
        <w:pStyle w:val="ListBullet"/>
      </w:pPr>
      <w:r>
        <w:rPr>
          <w:rFonts w:ascii="微软雅黑" w:hAnsi="微软雅黑" w:eastAsia="微软雅黑" w:cs="微软雅黑"/>
        </w:rPr>
        <w:t>[27] 国际能源署｜</w:t>
      </w:r>
      <w:hyperlink r:id="rId37">
        <w:r>
          <w:rPr>
            <w:rFonts w:ascii="微软雅黑" w:hAnsi="微软雅黑" w:eastAsia="微软雅黑" w:cs="微软雅黑"/>
            <w:color w:val="087E89"/>
          </w:rPr>
          <w:t>新一期播客节目探讨柴油价格为何飙升及其影响</w:t>
        </w:r>
      </w:hyperlink>
      <w:r>
        <w:rPr>
          <w:rFonts w:ascii="微软雅黑" w:hAnsi="微软雅黑" w:eastAsia="微软雅黑" w:cs="微软雅黑"/>
        </w:rPr>
      </w:r>
    </w:p>
    <w:p>
      <w:pPr>
        <w:spacing w:after="0" w:line="20" w:lineRule="exact"/>
      </w:pPr>
      <w:bookmarkStart w:id="28" w:name="source-3288"/>
      <w:bookmarkEnd w:id="28" w:name="source-3288"/>
    </w:p>
    <w:p>
      <w:pPr>
        <w:pStyle w:val="ListBullet"/>
      </w:pPr>
      <w:r>
        <w:rPr>
          <w:rFonts w:ascii="微软雅黑" w:hAnsi="微软雅黑" w:eastAsia="微软雅黑" w:cs="微软雅黑"/>
        </w:rPr>
        <w:t>[28] 国家管网集团｜</w:t>
      </w:r>
      <w:hyperlink r:id="rId38">
        <w:r>
          <w:rPr>
            <w:rFonts w:ascii="微软雅黑" w:hAnsi="微软雅黑" w:eastAsia="微软雅黑" w:cs="微软雅黑"/>
            <w:color w:val="087E89"/>
          </w:rPr>
          <w:t>意大利斥资支持可再生能源发展</w:t>
        </w:r>
      </w:hyperlink>
      <w:r>
        <w:rPr>
          <w:rFonts w:ascii="微软雅黑" w:hAnsi="微软雅黑" w:eastAsia="微软雅黑" w:cs="微软雅黑"/>
        </w:rPr>
      </w:r>
    </w:p>
    <w:p>
      <w:pPr>
        <w:spacing w:after="0" w:line="20" w:lineRule="exact"/>
      </w:pPr>
      <w:bookmarkStart w:id="29" w:name="source-3142"/>
      <w:bookmarkEnd w:id="29" w:name="source-3142"/>
    </w:p>
    <w:p>
      <w:pPr>
        <w:pStyle w:val="ListBullet"/>
      </w:pPr>
      <w:r>
        <w:rPr>
          <w:rFonts w:ascii="微软雅黑" w:hAnsi="微软雅黑" w:eastAsia="微软雅黑" w:cs="微软雅黑"/>
        </w:rPr>
        <w:t>[29] 美国能源部｜</w:t>
      </w:r>
      <w:hyperlink r:id="rId39">
        <w:r>
          <w:rPr>
            <w:rFonts w:ascii="微软雅黑" w:hAnsi="微软雅黑" w:eastAsia="微软雅黑" w:cs="微软雅黑"/>
            <w:color w:val="087E89"/>
          </w:rPr>
          <w:t>能源部长为应对预期中的系统运行紧张状况 保障中大西洋地区电网稳定</w:t>
        </w:r>
      </w:hyperlink>
      <w:r>
        <w:rPr>
          <w:rFonts w:ascii="微软雅黑" w:hAnsi="微软雅黑" w:eastAsia="微软雅黑" w:cs="微软雅黑"/>
        </w:rPr>
      </w:r>
    </w:p>
    <w:p>
      <w:pPr>
        <w:spacing w:after="0" w:line="20" w:lineRule="exact"/>
      </w:pPr>
      <w:bookmarkStart w:id="30" w:name="source-3045"/>
      <w:bookmarkEnd w:id="30" w:name="source-3045"/>
    </w:p>
    <w:p>
      <w:pPr>
        <w:pStyle w:val="ListBullet"/>
      </w:pPr>
      <w:r>
        <w:rPr>
          <w:rFonts w:ascii="微软雅黑" w:hAnsi="微软雅黑" w:eastAsia="微软雅黑" w:cs="微软雅黑"/>
        </w:rPr>
        <w:t>[30] 欧盟委员会能源总司｜</w:t>
      </w:r>
      <w:hyperlink r:id="rId40">
        <w:r>
          <w:rPr>
            <w:rFonts w:ascii="微软雅黑" w:hAnsi="微软雅黑" w:eastAsia="微软雅黑" w:cs="微软雅黑"/>
            <w:color w:val="087E89"/>
          </w:rPr>
          <w:t>2024年能源补贴报告凸显补贴规模进一步削减</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worldoil.com/news/2026/9/17/qatar-iran-gas-field-disruptions-threaten-lng-supply-wood-mackenzie-says/" TargetMode="External"/><Relationship Id="rId12" Type="http://schemas.openxmlformats.org/officeDocument/2006/relationships/hyperlink" Target="https://www.aa.com.tr/en/energy/natural-gas/global-lng-squeeze-pushes-eu-to-seek-alternative-supplies/59676" TargetMode="External"/><Relationship Id="rId13" Type="http://schemas.openxmlformats.org/officeDocument/2006/relationships/hyperlink" Target="https://www.shpgx.com/html/xyzx/20260917/9913.html" TargetMode="External"/><Relationship Id="rId14" Type="http://schemas.openxmlformats.org/officeDocument/2006/relationships/hyperlink" Target="https://www.pipechina.com.cn/front/news/3006044.html" TargetMode="External"/><Relationship Id="rId15" Type="http://schemas.openxmlformats.org/officeDocument/2006/relationships/hyperlink" Target="https://www.cpnn.com.cn/news/hy/202609/t20260917_1915894.html" TargetMode="External"/><Relationship Id="rId16" Type="http://schemas.openxmlformats.org/officeDocument/2006/relationships/hyperlink" Target="https://www.bundestag.de/presse/hib/kurzmeldungen-1216236" TargetMode="External"/><Relationship Id="rId17" Type="http://schemas.openxmlformats.org/officeDocument/2006/relationships/hyperlink" Target="https://sana.sy/en/economic/2343452/" TargetMode="External"/><Relationship Id="rId18" Type="http://schemas.openxmlformats.org/officeDocument/2006/relationships/hyperlink" Target="https://www.fx678.com/C/20260917/202609171345209117.html" TargetMode="External"/><Relationship Id="rId19" Type="http://schemas.openxmlformats.org/officeDocument/2006/relationships/hyperlink" Target="https://www.fx678.com/C/20260917/202609171251381716.html" TargetMode="External"/><Relationship Id="rId20" Type="http://schemas.openxmlformats.org/officeDocument/2006/relationships/hyperlink" Target="https://www.yna.co.kr/view/AKR20260917168500530?section=industry/energy-resource" TargetMode="External"/><Relationship Id="rId21" Type="http://schemas.openxmlformats.org/officeDocument/2006/relationships/hyperlink" Target="https://www.carbonbrief.org/analysis-indias-power-sector-emissions-flat-for-two-years-due-to-clean-energy-surge" TargetMode="External"/><Relationship Id="rId22" Type="http://schemas.openxmlformats.org/officeDocument/2006/relationships/hyperlink" Target="https://www.courthousenews.com/articles/the-iran-war-is-driving-clean-energy-development-its-not-enough-to-help-the-planet-yet" TargetMode="External"/><Relationship Id="rId23" Type="http://schemas.openxmlformats.org/officeDocument/2006/relationships/hyperlink" Target="https://www.gov.uk/government/news/nda-galvanises-cultural-shift-across-nuclear-sector" TargetMode="External"/><Relationship Id="rId24" Type="http://schemas.openxmlformats.org/officeDocument/2006/relationships/hyperlink" Target="https://news.mysteel.com/a/26091716/8CBD58B6953157EA.html" TargetMode="External"/><Relationship Id="rId25" Type="http://schemas.openxmlformats.org/officeDocument/2006/relationships/hyperlink" Target="https://www.cpnn.com.cn/news/nyqy/202609/t20260917_1915969.html" TargetMode="External"/><Relationship Id="rId26" Type="http://schemas.openxmlformats.org/officeDocument/2006/relationships/hyperlink" Target="https://www.cpnn.com.cn/news/hy/202609/t20260917_1915971.html" TargetMode="External"/><Relationship Id="rId27" Type="http://schemas.openxmlformats.org/officeDocument/2006/relationships/hyperlink" Target="https://www.world-nuclear-news.org/articles/third-unit-at-changjiang-site-commissioned" TargetMode="External"/><Relationship Id="rId28" Type="http://schemas.openxmlformats.org/officeDocument/2006/relationships/hyperlink" Target="https://www.china5e.com/news/news-1209376-1.html" TargetMode="External"/><Relationship Id="rId29" Type="http://schemas.openxmlformats.org/officeDocument/2006/relationships/hyperlink" Target="https://www.cpnn.com.cn/news/yq/202609/t20260917_1915819.html" TargetMode="External"/><Relationship Id="rId30" Type="http://schemas.openxmlformats.org/officeDocument/2006/relationships/hyperlink" Target="https://www.china5e.com/news/news-1209389-1.html" TargetMode="External"/><Relationship Id="rId31" Type="http://schemas.openxmlformats.org/officeDocument/2006/relationships/hyperlink" Target="http://www.ce.cn/cysc/newmain/yc/jsxw/202609/t20260917_3217931.shtml" TargetMode="External"/><Relationship Id="rId32" Type="http://schemas.openxmlformats.org/officeDocument/2006/relationships/hyperlink" Target="https://www.stcn.com/article/detail/4189645.html" TargetMode="External"/><Relationship Id="rId33" Type="http://schemas.openxmlformats.org/officeDocument/2006/relationships/hyperlink" Target="https://www.cpnn.com.cn/news/nyqy/202609/t20260917_1915982.html" TargetMode="External"/><Relationship Id="rId34" Type="http://schemas.openxmlformats.org/officeDocument/2006/relationships/hyperlink" Target="https://www.cpnn.com.cn/news/nyjg/202609/t20260917_1915900.html" TargetMode="External"/><Relationship Id="rId35" Type="http://schemas.openxmlformats.org/officeDocument/2006/relationships/hyperlink" Target="https://www.china5e.com/news/news-1209364-1.html" TargetMode="External"/><Relationship Id="rId36" Type="http://schemas.openxmlformats.org/officeDocument/2006/relationships/hyperlink" Target="https://www.aa.com.tr/en/energy/oil/gulf-russia-supply-losses-tighten-global-diesel-market/59677" TargetMode="External"/><Relationship Id="rId37" Type="http://schemas.openxmlformats.org/officeDocument/2006/relationships/hyperlink" Target="https://www.iea.org/news/new-podcast-episode-examines-why-diesel-prices-are-surging-and-what-it-means" TargetMode="External"/><Relationship Id="rId38" Type="http://schemas.openxmlformats.org/officeDocument/2006/relationships/hyperlink" Target="https://www.pipechina.com.cn/front/news/3006043.html" TargetMode="External"/><Relationship Id="rId39" Type="http://schemas.openxmlformats.org/officeDocument/2006/relationships/hyperlink" Target="https://www.energy.gov/articles/energy-secretary-secures-mid-atlantic-grid-due-anticipated-stressed-system-conditions" TargetMode="External"/><Relationship Id="rId40" Type="http://schemas.openxmlformats.org/officeDocument/2006/relationships/hyperlink" Target="https://energy.ec.europa.eu/news/energy-subsidies-report-highlights-further-reduction-2024-2026-09-1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2026年9月17日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