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发布日：2026-10-31（北京时间）。</w:t>
      </w:r>
    </w:p>
    <w:p>
      <w:pPr>
        <w:ind w:firstLine="420"/>
      </w:pPr>
      <w:r>
        <w:rPr>
          <w:rFonts w:ascii="微软雅黑" w:hAnsi="微软雅黑" w:eastAsia="微软雅黑" w:cs="微软雅黑"/>
        </w:rPr>
        <w:t>信息覆盖时段：2026-10-30 04:00 至 2026-10-31 04:00（不含），Asia/Shanghai。</w:t>
      </w:r>
    </w:p>
    <w:p>
      <w:pPr/>
      <w:r>
        <w:rPr>
          <w:rFonts w:ascii="微软雅黑" w:hAnsi="微软雅黑" w:eastAsia="微软雅黑" w:cs="微软雅黑"/>
        </w:rPr>
        <w:t>统计区间：2026-10-30 04:00 至 2026-10-31 04:00（结束时刻不含，北京时间）</w:t>
      </w:r>
    </w:p>
    <w:p>
      <w:pPr>
        <w:ind w:firstLine="420"/>
      </w:pPr>
      <w:r>
        <w:rPr>
          <w:rFonts w:ascii="微软雅黑" w:hAnsi="微软雅黑" w:eastAsia="微软雅黑" w:cs="微软雅黑"/>
        </w:rPr>
        <w:t>资料更新截止：2026-10-31 07:26（北京时间）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乌克兰第聂伯罗地区仍有19万电力用户断电 </w:t>
      </w:r>
      <w:hyperlink w:anchor="source-3171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桑迪亚获能源部338万美元资助开展下一代核燃料分析 </w:t>
      </w:r>
      <w:hyperlink w:anchor="source-31707">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美国能源部推出2.37亿美元电网供应链替代资金机会 </w:t>
      </w:r>
      <w:hyperlink w:anchor="source-31676">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四川在泸定举行首次高原县域电网全停应急演练 </w:t>
      </w:r>
      <w:hyperlink w:anchor="source-31653">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该国政府延长电力与天然气补贴，电价本月上调 </w:t>
      </w:r>
      <w:hyperlink w:anchor="source-31636">
        <w:r>
          <w:rPr>
            <w:rFonts w:ascii="微软雅黑" w:hAnsi="微软雅黑" w:eastAsia="微软雅黑" w:cs="微软雅黑"/>
            <w:color w:val="087E89"/>
          </w:rPr>
          <w:t>5</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乌克兰第聂伯罗地区无电供应的电力消费者人数</w:t>
            </w:r>
          </w:p>
        </w:tc>
        <w:tc>
          <w:tcPr>
            <w:tcW w:type="dxa" w:w="2268"/>
          </w:tcPr>
          <w:p>
            <w:pPr>
              <w:spacing w:after="40"/>
            </w:pPr>
            <w:r>
              <w:rPr>
                <w:rFonts w:ascii="微软雅黑" w:hAnsi="微软雅黑" w:eastAsia="微软雅黑" w:cs="微软雅黑"/>
              </w:rPr>
              <w:t>190,000名</w:t>
            </w:r>
          </w:p>
        </w:tc>
        <w:tc>
          <w:tcPr>
            <w:tcW w:type="dxa" w:w="2268"/>
          </w:tcPr>
          <w:p>
            <w:pPr>
              <w:spacing w:after="40"/>
            </w:pPr>
            <w:r>
              <w:rPr>
                <w:rFonts w:ascii="微软雅黑" w:hAnsi="微软雅黑" w:eastAsia="微软雅黑" w:cs="微软雅黑"/>
              </w:rPr>
              <w:t>报道所述周五上午</w:t>
            </w:r>
          </w:p>
        </w:tc>
        <w:tc>
          <w:tcPr>
            <w:tcW w:type="dxa" w:w="2268"/>
          </w:tcPr>
          <w:p>
            <w:pPr>
              <w:spacing w:after="40"/>
            </w:pPr>
            <w:r>
              <w:rPr>
                <w:rFonts w:ascii="微软雅黑" w:hAnsi="微软雅黑" w:eastAsia="微软雅黑" w:cs="微软雅黑"/>
              </w:rPr>
            </w:r>
            <w:hyperlink w:anchor="source-31716">
              <w:r>
                <w:rPr>
                  <w:rFonts w:ascii="微软雅黑" w:hAnsi="微软雅黑" w:eastAsia="微软雅黑" w:cs="微软雅黑"/>
                  <w:color w:val="087E89"/>
                </w:rPr>
                <w:t>1</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美国能源部Grid SCALED电网供应链替代资金机会规模</w:t>
            </w:r>
          </w:p>
        </w:tc>
        <w:tc>
          <w:tcPr>
            <w:tcW w:type="dxa" w:w="2268"/>
          </w:tcPr>
          <w:p>
            <w:pPr>
              <w:spacing w:after="40"/>
            </w:pPr>
            <w:r>
              <w:rPr>
                <w:rFonts w:ascii="微软雅黑" w:hAnsi="微软雅黑" w:eastAsia="微软雅黑" w:cs="微软雅黑"/>
              </w:rPr>
              <w:t>2.37亿美元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76">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美国能源部电网供应链计划获授权提供的最高资金额度</w:t>
            </w:r>
          </w:p>
        </w:tc>
        <w:tc>
          <w:tcPr>
            <w:tcW w:type="dxa" w:w="2268"/>
          </w:tcPr>
          <w:p>
            <w:pPr>
              <w:spacing w:after="40"/>
            </w:pPr>
            <w:r>
              <w:rPr>
                <w:rFonts w:ascii="微软雅黑" w:hAnsi="微软雅黑" w:eastAsia="微软雅黑" w:cs="微软雅黑"/>
              </w:rPr>
              <w:t>最多3.75亿美元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76">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美国能源部预计该投资每年为公用事业节省的金额</w:t>
            </w:r>
          </w:p>
        </w:tc>
        <w:tc>
          <w:tcPr>
            <w:tcW w:type="dxa" w:w="2268"/>
          </w:tcPr>
          <w:p>
            <w:pPr>
              <w:spacing w:after="40"/>
            </w:pPr>
            <w:r>
              <w:rPr>
                <w:rFonts w:ascii="微软雅黑" w:hAnsi="微软雅黑" w:eastAsia="微软雅黑" w:cs="微软雅黑"/>
              </w:rPr>
              <w:t>约1.25亿美元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76">
              <w:r>
                <w:rPr>
                  <w:rFonts w:ascii="微软雅黑" w:hAnsi="微软雅黑" w:eastAsia="微软雅黑" w:cs="微软雅黑"/>
                  <w:color w:val="087E89"/>
                </w:rPr>
                <w:t>3</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南非Eskom财年年初至今柴油支出</w:t>
            </w:r>
          </w:p>
        </w:tc>
        <w:tc>
          <w:tcPr>
            <w:tcW w:type="dxa" w:w="2268"/>
          </w:tcPr>
          <w:p>
            <w:pPr>
              <w:spacing w:after="40"/>
            </w:pPr>
            <w:r>
              <w:rPr>
                <w:rFonts w:ascii="微软雅黑" w:hAnsi="微软雅黑" w:eastAsia="微软雅黑" w:cs="微软雅黑"/>
              </w:rPr>
              <w:t>12.6亿 rand</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541">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南非Eskom财年年初至今柴油支出较上年同期减少额</w:t>
            </w:r>
          </w:p>
        </w:tc>
        <w:tc>
          <w:tcPr>
            <w:tcW w:type="dxa" w:w="2268"/>
          </w:tcPr>
          <w:p>
            <w:pPr>
              <w:spacing w:after="40"/>
            </w:pPr>
            <w:r>
              <w:rPr>
                <w:rFonts w:ascii="微软雅黑" w:hAnsi="微软雅黑" w:eastAsia="微软雅黑" w:cs="微软雅黑"/>
              </w:rPr>
              <w:t>48.1亿 rand</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541">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美国佐治亚电力（南方公司最大子公司）服务客户数量</w:t>
            </w:r>
          </w:p>
        </w:tc>
        <w:tc>
          <w:tcPr>
            <w:tcW w:type="dxa" w:w="2268"/>
          </w:tcPr>
          <w:p>
            <w:pPr>
              <w:spacing w:after="40"/>
            </w:pPr>
            <w:r>
              <w:rPr>
                <w:rFonts w:ascii="微软雅黑" w:hAnsi="微软雅黑" w:eastAsia="微软雅黑" w:cs="微软雅黑"/>
              </w:rPr>
              <w:t>超过280万</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43">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美国佐治亚电力服务覆盖的佐治亚州县数量（该州共159个县）</w:t>
            </w:r>
          </w:p>
        </w:tc>
        <w:tc>
          <w:tcPr>
            <w:tcW w:type="dxa" w:w="2268"/>
          </w:tcPr>
          <w:p>
            <w:pPr>
              <w:spacing w:after="40"/>
            </w:pPr>
            <w:r>
              <w:rPr>
                <w:rFonts w:ascii="微软雅黑" w:hAnsi="微软雅黑" w:eastAsia="微软雅黑" w:cs="微软雅黑"/>
              </w:rPr>
              <w:t>155个县</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43">
              <w:r>
                <w:rPr>
                  <w:rFonts w:ascii="微软雅黑" w:hAnsi="微软雅黑" w:eastAsia="微软雅黑" w:cs="微软雅黑"/>
                  <w:color w:val="087E89"/>
                </w:rPr>
                <w:t>10</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欧盟新设“能源转型投资委员会”（ETIC）专家组最大成员数</w:t>
            </w:r>
          </w:p>
        </w:tc>
        <w:tc>
          <w:tcPr>
            <w:tcW w:type="dxa" w:w="2268"/>
          </w:tcPr>
          <w:p>
            <w:pPr>
              <w:spacing w:after="40"/>
            </w:pPr>
            <w:r>
              <w:rPr>
                <w:rFonts w:ascii="微软雅黑" w:hAnsi="微软雅黑" w:eastAsia="微软雅黑" w:cs="微软雅黑"/>
              </w:rPr>
              <w:t>最多30名成员</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28">
              <w:r>
                <w:rPr>
                  <w:rFonts w:ascii="微软雅黑" w:hAnsi="微软雅黑" w:eastAsia="微软雅黑" w:cs="微软雅黑"/>
                  <w:color w:val="087E89"/>
                </w:rPr>
                <w:t>14</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欧盟委员会ETIC专家组成员公开申请征集期限</w:t>
            </w:r>
          </w:p>
        </w:tc>
        <w:tc>
          <w:tcPr>
            <w:tcW w:type="dxa" w:w="2268"/>
          </w:tcPr>
          <w:p>
            <w:pPr>
              <w:spacing w:after="40"/>
            </w:pPr>
            <w:r>
              <w:rPr>
                <w:rFonts w:ascii="微软雅黑" w:hAnsi="微软雅黑" w:eastAsia="微软雅黑" w:cs="微软雅黑"/>
              </w:rPr>
              <w:t>5周</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31628">
              <w:r>
                <w:rPr>
                  <w:rFonts w:ascii="微软雅黑" w:hAnsi="微软雅黑" w:eastAsia="微软雅黑" w:cs="微软雅黑"/>
                  <w:color w:val="087E89"/>
                </w:rPr>
                <w:t>14</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乌克兰第聂伯罗地区仍有19万电力用户断电</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联合国人道主义事务协调厅（OCHA）表示，对能源基础设施的攻击造成进一步停电，截至周五上午第聂伯罗地区仍有190,000名电力消费者无电供应；OCHA呼吁在天气转冷之际保护平民和关键基础设施。同日，两辆人道主义救援车辆遭无人机袭击，扎波罗热州一辆有明显标识的民用巴士遭袭，造成一名妇女死亡，多名乘客和司机受伤。</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联合国人道主义事务协调厅（OCHA），截至周五上午，第聂伯罗地区仍有190,000名电力消费者无电供应，OCHA呼吁在天气转冷之际保护平民和关键基础设施。周四两辆人道主义救援车辆遭无人机袭击；扎波罗热州一辆有明显标识的民用巴士遭袭，造成一名妇女死亡，多名乘客和司机受伤。援助组织正应对切尔尼戈夫、哈尔科夫和波利塔瓦地区最新一轮致命袭击，提供热餐、现金援助法律援助、紧急避难材料和受损房屋临时修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援助组织正应对切尔尼戈夫、哈尔科夫和波利塔瓦地区最新一轮致命袭击，提供热餐、现金援助法律援助、紧急避难材料和受损房屋临时修缮。</w:t>
      </w:r>
    </w:p>
    <w:p>
      <w:pPr>
        <w:ind w:firstLine="420"/>
      </w:pPr>
      <w:r>
        <w:rPr>
          <w:rFonts w:ascii="微软雅黑" w:hAnsi="微软雅黑" w:eastAsia="微软雅黑" w:cs="微软雅黑"/>
        </w:rPr>
        <w:t>来源：</w:t>
      </w:r>
      <w:hyperlink w:anchor="source-31716">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2. 南方公司调整领导层，Greene统管含核电的全系统运营</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美国南方公司宣布高管领导层与运营架构调整，自2027年1月1日起生效：佐治亚电力董事长、总裁兼CEO Kim Greene转任“南方公司运营”总裁，负责系统运营并牵头企业战略，同时负责包括核电在内的全部发电资产组合；南方公司执行副总裁兼首席运营官Stan Connally出任佐治亚电力董事长、总裁兼CEO。</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南方公司董事长、总裁兼首席执行官Chris Womack宣布多项高管领导层调整，旨在使公司能够继续满足不断增长的能源需求、执行重大基础设施投资，并应对快速演变的技术和客户需求，调整自2027年1月1日起生效。现任佐治亚电力董事长、总裁兼CEO的Kim Greene将出任“南方公司运营”总裁，负责系统运营，包括发电、系统规划、安全、输电运营与政策、商业运营、研发、环境事务与可持续性、技术与业务共享服务以及全系统供电战略，并牵头企业战略；还将负责包括核电在内的全部发电资产组合，公司称此举可形成更一体化的发电组合规划、运营和投资方式。现任执行副总裁兼首席运营官Stan Connally将出任佐治亚电力董事长、总裁兼CEO，此前曾任Gulf Power董事长、总裁兼CEO。佐治亚电力为南方公司最大子公司，服务佐治亚州159个县中的155个县，客户超过280万。此外，执行副总裁兼首席法务官Sterling Spainhour职责扩大至涵盖技术组织，执行副总裁兼首席人力资源官Sloane Drake负责全系统培训。</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Connally表示其工作重点是确保佐治亚电力拥有服务本州增长所需的资源和基础设施，同时保护客户、维持可靠性、保持费率稳定且可预测，并为未来负责任地投资。</w:t>
      </w:r>
    </w:p>
    <w:p>
      <w:pPr>
        <w:ind w:firstLine="420"/>
      </w:pPr>
      <w:r>
        <w:rPr>
          <w:rFonts w:ascii="微软雅黑" w:hAnsi="微软雅黑" w:eastAsia="微软雅黑" w:cs="微软雅黑"/>
        </w:rPr>
        <w:t>来源：</w:t>
      </w:r>
      <w:hyperlink w:anchor="source-31643">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3. 欧盟启动新设能源转型投资委员会成员招募</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欧盟委员会启动为期5周的申请征集，公开招募新设“能源转型投资委员会”（ETIC）专家组，以及其国家推广银行与机构（NPBI）和国际金融机构（IFI）协调小组组成员。ETIC最多由30名成员组成，涵盖私人资本、商业债务与融资、公共风险分担伙伴和能源行业协会。</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欧盟委员会启动为期5周的申请征集，公开招募新设“能源转型投资委员会”（ETIC）专家组，以及其国家推广银行与机构（NPBI）和国际金融机构（IFI）协调小组组成员。ETIC借鉴2022—2026年能源投资者对话经验，最多30名成员，成员来自在欧盟能源投资与融资方面拥有专长的机构，涵盖私人资本（机构投资者、基础设施管理公司、私募股权、风险投资和资产管理公司）、商业债务与融资（商业银行、投资银行和金融业协会）、公共风险分担伙伴（国家推广银行与机构、国际金融机构）及能源行业协会（公用事业、电网、独立发电商和清洁技术制造商代表）。受直接邀请的成员包括欧洲投资银行集团（EIB和欧洲投资基金EIF）、欧洲复兴开发银行（EBRD）以及欧盟能源监管机构合作署（ACER）。委员会同时设立NPBI与IFI协调小组，该小组直接向ETIC报告，负责公共金融机构间协调并推广最佳实践。</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欧盟能源与住房事务委员丹·约根森表示，欧洲面临实现清洁能源转型的历史性投资挑战，公共资金可以起催化作用，但调动私人资本至关重要；该新机构旨在把不同类型参与者汇聚，释放投资、加快转型。</w:t>
      </w:r>
    </w:p>
    <w:p>
      <w:pPr>
        <w:ind w:firstLine="420"/>
      </w:pPr>
      <w:r>
        <w:rPr>
          <w:rFonts w:ascii="微软雅黑" w:hAnsi="微软雅黑" w:eastAsia="微软雅黑" w:cs="微软雅黑"/>
        </w:rPr>
        <w:t>来源：</w:t>
      </w:r>
      <w:hyperlink w:anchor="source-31628">
        <w:r>
          <w:rPr>
            <w:rFonts w:ascii="微软雅黑" w:hAnsi="微软雅黑" w:eastAsia="微软雅黑" w:cs="微软雅黑"/>
            <w:color w:val="087E89"/>
          </w:rPr>
          <w:t>14</w:t>
        </w:r>
      </w:hyperlink>
      <w:r>
        <w:rPr>
          <w:rFonts w:ascii="微软雅黑" w:hAnsi="微软雅黑" w:eastAsia="微软雅黑" w:cs="微软雅黑"/>
        </w:rPr>
      </w:r>
    </w:p>
    <w:p>
      <w:pPr>
        <w:pStyle w:val="Heading3"/>
      </w:pPr>
      <w:r>
        <w:rPr>
          <w:rFonts w:ascii="微软雅黑" w:hAnsi="微软雅黑" w:eastAsia="微软雅黑" w:cs="微软雅黑"/>
        </w:rPr>
        <w:t>4. Eskom财年柴油支出降至12.6亿兰特，同比减少48.1亿</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Eskom财年年初至今柴油支出为12.6亿 rand，较上年同期的60.7亿 rand 低79.19%，减少48.1亿 rand，反映其柴油发电依赖程度大幅下降。</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财年年初至今Eskom柴油支出为12.6亿 rand（1.26 billion），上年同期为60.7亿 rand（6.07 billion），低79.19%，即减少48.1亿 rand（4.81 billion）。报道未说明柴油用量与价格各自对降幅的贡献。</w:t>
      </w:r>
    </w:p>
    <w:p>
      <w:pPr>
        <w:ind w:firstLine="420"/>
      </w:pPr>
      <w:r>
        <w:rPr>
          <w:rFonts w:ascii="微软雅黑" w:hAnsi="微软雅黑" w:eastAsia="微软雅黑" w:cs="微软雅黑"/>
        </w:rPr>
        <w:t>来源：</w:t>
      </w:r>
      <w:hyperlink w:anchor="source-31541">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5. 该国政府延长电力与天然气补贴，电价本月上调</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鉴于国际形势，该国政府延长了电力和天然气补贴：电力维持50%一般补贴加25%临时补贴，符合条件用户可获75%折扣；天然气另加24,25%临时补贴，可获74,25%折扣。</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电力维持50%一般补贴加25%临时补贴，符合条件用户在能源上可获得75%折扣；天然气另加24,25%临时补贴，符合条件用户可获得74,25%折扣。电价每月按结合批发价格（IPIM）和消费者价格（IPC）的公式调整，本月涨幅源于中东战争影响下IPIM上升。</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电价按批发价格（IPIM）与消费者价格（IPC）公式每月调整，本月涨幅源于中东战争影响下IPIM上升；合格用户能源支出折扣达到75%（电力）和74,25%（天然气）。</w:t>
      </w:r>
    </w:p>
    <w:p>
      <w:pPr>
        <w:ind w:firstLine="420"/>
      </w:pPr>
      <w:r>
        <w:rPr>
          <w:rFonts w:ascii="微软雅黑" w:hAnsi="微软雅黑" w:eastAsia="微软雅黑" w:cs="微软雅黑"/>
        </w:rPr>
        <w:t>来源：</w:t>
      </w:r>
      <w:hyperlink w:anchor="source-31636">
        <w:r>
          <w:rPr>
            <w:rFonts w:ascii="微软雅黑" w:hAnsi="微软雅黑" w:eastAsia="微软雅黑" w:cs="微软雅黑"/>
            <w:color w:val="087E89"/>
          </w:rPr>
          <w:t>5</w:t>
        </w:r>
      </w:hyperlink>
      <w:r>
        <w:rPr>
          <w:rFonts w:ascii="微软雅黑" w:hAnsi="微软雅黑" w:eastAsia="微软雅黑" w:cs="微软雅黑"/>
        </w:rPr>
      </w:r>
    </w:p>
    <w:p>
      <w:pPr>
        <w:pStyle w:val="Heading3"/>
      </w:pPr>
      <w:r>
        <w:rPr>
          <w:rFonts w:ascii="微软雅黑" w:hAnsi="微软雅黑" w:eastAsia="微软雅黑" w:cs="微软雅黑"/>
        </w:rPr>
        <w:t>6. 桑迪亚获能源部338万美元资助开展下一代核燃料分析</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美国能源部核安全副部长兼国家核安全管理局局长Brandon Williams于周五在阿尔伯克基国家核科学与历史博物馆的新闻发布会上宣布，桑迪亚国家实验室入选能源部ARPA-E管理的HORNIG项目，获得338万美元资助，用于开发分析工具，推进下一代反应堆核燃料的生产和部署。桑迪亚综合安全任务副实验室主任Deborah Frincke一同出席。</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桑迪亚承担的项目为TRU-PATH（超铀反应堆燃料路径的社会技术分析、技术经济性与协调），将开发一个分析平台，评估扩大先进反应堆燃料生产相关的安全、核保障监督等因素，识别可能影响这些燃料商业化规模制造和部署的技术要求、经济考量及其他约束。HORNIG项目支持利用乏燃料及其他来源回收材料制造核燃料的研究，部分项目聚焦燃料设计、制造、测试与鉴定，而桑迪亚的工作考察把这些新兴燃料技术推向实际应用的更广泛因素。</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Williams表示该投资将建立在桑迪亚能力基础上，帮助燃料开发商克服商业规模制造的障碍，并落实特朗普总统关于美国能源主导地位的愿景，强化美国能源安全、加快先进核能部署。</w:t>
      </w:r>
    </w:p>
    <w:p>
      <w:pPr>
        <w:ind w:firstLine="420"/>
      </w:pPr>
      <w:r>
        <w:rPr>
          <w:rFonts w:ascii="微软雅黑" w:hAnsi="微软雅黑" w:eastAsia="微软雅黑" w:cs="微软雅黑"/>
        </w:rPr>
        <w:t>来源：</w:t>
      </w:r>
      <w:hyperlink w:anchor="source-31707">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7. 美国能源部推出2.37亿美元电网供应链替代资金机会</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美国能源部（DOE）宣布名为“电网供应链替代方案以引领能源主导地位”（Grid SCALED）的资金机会，规模2.37亿美元，用于促进美国制造业并加强关键电网部件供应链，是DOE电网供应链计划的首个机会。</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计划获授权提供最多3.75亿美元，用于加强配电变压器、电力变压器、电网部件和材料制造的国内供应链。此次资金机会中，最多5000万美元用于促进现有电网设备与材料更多翻新和再利用，最多1.87亿美元用于增加使用美国采购和制造的替代材料与子部件，以减少对进口依赖。DOE预计每年可为公用事业节省约1.25亿美元，并使每年约5000万美元留在美国经济体内，否则将流向外国供应商。预计2027年将公布更多资金公告，以加强包括固态变压器在内的下一代技术国内供应链，并推动通用配置以精简制造。</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能源部称该投资可降低对外国供应商的依赖，使每年约5000万美元留在美国经济体内，并预计每年为公用事业节省约1.25亿美元。</w:t>
      </w:r>
    </w:p>
    <w:p>
      <w:pPr>
        <w:ind w:firstLine="420"/>
      </w:pPr>
      <w:r>
        <w:rPr>
          <w:rFonts w:ascii="微软雅黑" w:hAnsi="微软雅黑" w:eastAsia="微软雅黑" w:cs="微软雅黑"/>
        </w:rPr>
        <w:t>来源：</w:t>
      </w:r>
      <w:hyperlink w:anchor="source-31676">
        <w:r>
          <w:rPr>
            <w:rFonts w:ascii="微软雅黑" w:hAnsi="微软雅黑" w:eastAsia="微软雅黑" w:cs="微软雅黑"/>
            <w:color w:val="087E89"/>
          </w:rPr>
          <w:t>3</w:t>
        </w:r>
      </w:hyperlink>
      <w:r>
        <w:rPr>
          <w:rFonts w:ascii="微软雅黑" w:hAnsi="微软雅黑" w:eastAsia="微软雅黑" w:cs="微软雅黑"/>
        </w:rPr>
      </w:r>
    </w:p>
    <w:p>
      <w:pPr>
        <w:pStyle w:val="Heading3"/>
      </w:pPr>
      <w:r>
        <w:rPr>
          <w:rFonts w:ascii="微软雅黑" w:hAnsi="微软雅黑" w:eastAsia="微软雅黑" w:cs="微软雅黑"/>
        </w:rPr>
        <w:t>8. 第四电力区启动高成本保护并拟引入电力补贴</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第四电力区的高成本保护现已启动。政府表示将就该问题再次作出决定，并拟向主管机构发出准备性委托（preparatory uppdrag），以确保向家庭支付电力补贴（elstöd）高效且合法。</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第四电力区高成本保护现已启动。与此前一样，政府需就颁布支持性条例（stödförordning）作出决定，才能引入电力补贴（elstöd）。政府表示将在该问题上再次作出决定，并拟决定向主管机构发出准备性委托，以确保向家庭支付该项补贴高效且合法。</w:t>
      </w:r>
    </w:p>
    <w:p>
      <w:pPr>
        <w:ind w:firstLine="420"/>
      </w:pPr>
      <w:r>
        <w:rPr>
          <w:rFonts w:ascii="微软雅黑" w:hAnsi="微软雅黑" w:eastAsia="微软雅黑" w:cs="微软雅黑"/>
        </w:rPr>
        <w:t>来源：</w:t>
      </w:r>
      <w:hyperlink w:anchor="source-31635">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9. 英国批准国家电网2吉瓦海底输电互联线路</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英国批准由国家电网（National Grid）开发的2吉瓦（GW）海底互联输电线路项目，输电能力足以为相当于200万户家庭供电，可将电力从发电地输送到需要的地方。</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项目由国家电网开发，输电能力足以为相当于200万户家庭供电。政府社区收益计划将由国家电网实施，在肯特和萨福克各投入超过100万英镑用于社区基金，用于改善社区设施、拓展绿地和发展本地技能等优先事项。项目通过缓解电网压力，有助于减少在电网无法输送发电机电力时向其支付停机补偿的需要。此次批准是在首相宣布成立Great British Grid（隶属Great British Energy的国有机构，将汇集公共和私人投资以加快电网升级）之后进行的；政府还将提前推行改革，允许开发商和企业在适当情况下自建电网接入设施。</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报道称该项目可缓解电网压力，减少电网无法输送发电机电力时支付停机补偿的需要；社区收益计划在肯特和萨福克各投入超过100万英镑。</w:t>
      </w:r>
    </w:p>
    <w:p>
      <w:pPr>
        <w:ind w:firstLine="420"/>
      </w:pPr>
      <w:r>
        <w:rPr>
          <w:rFonts w:ascii="微软雅黑" w:hAnsi="微软雅黑" w:eastAsia="微软雅黑" w:cs="微软雅黑"/>
        </w:rPr>
        <w:t>来源：</w:t>
      </w:r>
      <w:hyperlink w:anchor="source-31564">
        <w:r>
          <w:rPr>
            <w:rFonts w:ascii="微软雅黑" w:hAnsi="微软雅黑" w:eastAsia="微软雅黑" w:cs="微软雅黑"/>
            <w:color w:val="087E89"/>
          </w:rPr>
          <w:t>15</w:t>
        </w:r>
      </w:hyperlink>
      <w:r>
        <w:rPr>
          <w:rFonts w:ascii="微软雅黑" w:hAnsi="微软雅黑" w:eastAsia="微软雅黑" w:cs="微软雅黑"/>
        </w:rPr>
      </w:r>
    </w:p>
    <w:p>
      <w:pPr>
        <w:pStyle w:val="Heading3"/>
      </w:pPr>
      <w:r>
        <w:rPr>
          <w:rFonts w:ascii="微软雅黑" w:hAnsi="微软雅黑" w:eastAsia="微软雅黑" w:cs="微软雅黑"/>
        </w:rPr>
        <w:t>10. PNNL研究员Alicia Mahon当选海洋技术学会理事</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太平洋西北国家实验室（PNNL）运行系统工程组组长Alicia Mahon当选海洋技术学会（MTS）理事会成员，将出任出版与传播副主席，任期三年，自2027年1月1日开始，负责学会出版物（含会刊）并担任会刊编辑委员会理事会联络人。</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据PNNL运行系统工程组组长Alicia Mahon当选海洋技术学会（MTS）理事会成员，她将担任出版与传播副主席，负责学会出版物（含会刊），并担任会刊编辑委员会的理事会联络人，任期三年，自2027年1月1日开始。Mahon此前在《海洋技术学会会刊》编委会任职，编辑过该刊专刊，并于2021年成为主编；2024年在PNNL的Sequim园区组织并协调了MTS浮标研讨会。目前她在PNNL地球系统科学部任组长和项目经理，领导一个支持美国能源部水电测试网络（Hydropower Testing Network）的项目，研究聚焦部署海洋技术开展海洋观测与监测，以支持海上能源开发。</w:t>
      </w:r>
    </w:p>
    <w:p>
      <w:pPr>
        <w:ind w:firstLine="420"/>
      </w:pPr>
      <w:r>
        <w:rPr>
          <w:rFonts w:ascii="微软雅黑" w:hAnsi="微软雅黑" w:eastAsia="微软雅黑" w:cs="微软雅黑"/>
        </w:rPr>
        <w:t>来源：</w:t>
      </w:r>
      <w:hyperlink w:anchor="source-31548">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11. 讣告：风能资源估算先驱Erik Lundtang Petersen</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材料以讣告形式纪念气象学与风能领域先驱Erik Lundtang Petersen，称其为将气象研究与风能结合的主要推动者之一，其“风图集方法”构成风能资源估算的基础，软件WAsP至今仍在世界各地每日被使用。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材料介绍其开创性工作“风图集方法”（Wind Atlas Method）构成风能资源估算的基础，其成果至今仍以软件WAsP（Wind Atlas Analysis and Application Program）的形式在世界各地每日被使用，被视为风能资源估算的行业标准。他与同事共同制作了开创性的欧洲风图集（European Wind Atlas），通过众多欧盟项目成为欧洲研究合作的核心推动力，并共同创立欧洲风能学会（EAWE），曾任该学会主席。2021年他获欧洲气象学会（EMS）颁发的银质奖章。他从Risø国家实验室气象部门负责人做起，建立了DTU风能系；作为荣休教授，他仍持续关注并参与该系正在进行的各项研究工作。</w:t>
      </w:r>
    </w:p>
    <w:p>
      <w:pPr>
        <w:ind w:firstLine="420"/>
      </w:pPr>
      <w:r>
        <w:rPr>
          <w:rFonts w:ascii="微软雅黑" w:hAnsi="微软雅黑" w:eastAsia="微软雅黑" w:cs="微软雅黑"/>
        </w:rPr>
        <w:t>来源：</w:t>
      </w:r>
      <w:hyperlink w:anchor="source-31483">
        <w:r>
          <w:rPr>
            <w:rFonts w:ascii="微软雅黑" w:hAnsi="微软雅黑" w:eastAsia="微软雅黑" w:cs="微软雅黑"/>
            <w:color w:val="087E89"/>
          </w:rPr>
          <w:t>13</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12. 湖南能源监管办召开电力市场风险分析会梳理5类风险</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为落实国家能源局关于加强电力市场风险防控有关要求，湖南能源监管办近日会同地方政府部门组织召开湖南电力市场风险分析会，围绕售电公司经营行为梳理出价格波动、合同违约等5类风险，并解读剖析国内外18个典型风险案例。</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为落实国家能源局关于加强电力市场风险防控的有关要求，湖南能源监管办近日会同地方政府部门组织召开湖南电力市场风险分析会。会议围绕售电公司经营行为，梳理出价格波动、合同违约等5类风险，选取国内外18个典型风险案例逐一解读剖析，分析风险原因、提示风险苗头、总结经验教训并提出防范建议，要求企业开展以案说理、以案说法、以案说责活动，并进一步强化风险管理、规范经营行为。</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湖南能源监管办表示，下一步将持续强化售电交易监管，联合有关部门健全电力市场协同监管机制，共同维护湖南电力市场平稳有序运行。</w:t>
      </w:r>
    </w:p>
    <w:p>
      <w:pPr>
        <w:ind w:firstLine="420"/>
      </w:pPr>
      <w:r>
        <w:rPr>
          <w:rFonts w:ascii="微软雅黑" w:hAnsi="微软雅黑" w:eastAsia="微软雅黑" w:cs="微软雅黑"/>
        </w:rPr>
        <w:t>来源：</w:t>
      </w:r>
      <w:hyperlink w:anchor="source-31557">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13. 新疆部署2026年迎峰度冬电力保供运行方式</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新疆能源监管办组织召开2026年迎峰度冬电力保供运行方式汇报会议，听取新疆电力调度控制中心2026年电力供需形势研判情况，分析保供困难问题并讨论保供措施。</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疆能源监管办近日组织召开2026年迎峰度冬电力保供运行方式汇报会议，主要负责同志出席并讲话。会议听取新疆电力调度控制中心2026年电力供需形势研判情况，分析当前电力保供面临的困难问题，讨论有关保供措施，聚焦抓实电力安全生产、促进新能源消纳、规范电网调度管理及保障电力市场运行提出监管要求。</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会议要求将兵团电网纳入整体保供体系，健全常态化沟通协同机制，并严肃调度纪律，严格发电机组运行考核管理。</w:t>
      </w:r>
    </w:p>
    <w:p>
      <w:pPr>
        <w:ind w:firstLine="420"/>
      </w:pPr>
      <w:r>
        <w:rPr>
          <w:rFonts w:ascii="微软雅黑" w:hAnsi="微软雅黑" w:eastAsia="微软雅黑" w:cs="微软雅黑"/>
        </w:rPr>
        <w:t>来源：</w:t>
      </w:r>
      <w:hyperlink w:anchor="source-31556">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14. 甘肃能源监管办赴湖南开展电力市场专题调研</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22日，甘肃能源监管办调研组赴湖南开展电力市场专题调研，与湖南能源监管办、电力市场运营机构等交流电力市场建设运行、规则落地、交易组织、信息披露与主体信用管理等情况，并研讨打击串通报价、市场操纵等行为。</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为贯彻国家关于电力市场化改革部署、规范电力市场秩序，10月22日甘肃能源监管办调研组赴湖南开展电力市场专题调研，与湖南能源监管办、电力市场运营机构等交流座谈，了解湖南省电力市场建设运行、市场规则制定落地、交易组织、信息披露、市场主体信用管理等情况，双方就打击串通报价、市场操纵等行为深入研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下一步甘肃能源监管办将系统梳理调研成果，结合甘肃新能源资源禀赋和电力市场运行实际强化监管，推动甘肃电力市场高质量建设、平稳有序运行。</w:t>
      </w:r>
    </w:p>
    <w:p>
      <w:pPr>
        <w:ind w:firstLine="420"/>
      </w:pPr>
      <w:r>
        <w:rPr>
          <w:rFonts w:ascii="微软雅黑" w:hAnsi="微软雅黑" w:eastAsia="微软雅黑" w:cs="微软雅黑"/>
        </w:rPr>
        <w:t>来源：</w:t>
      </w:r>
      <w:hyperlink w:anchor="source-31555">
        <w:r>
          <w:rPr>
            <w:rFonts w:ascii="微软雅黑" w:hAnsi="微软雅黑" w:eastAsia="微软雅黑" w:cs="微软雅黑"/>
            <w:color w:val="087E89"/>
          </w:rPr>
          <w:t>16</w:t>
        </w:r>
      </w:hyperlink>
      <w:r>
        <w:rPr>
          <w:rFonts w:ascii="微软雅黑" w:hAnsi="微软雅黑" w:eastAsia="微软雅黑" w:cs="微软雅黑"/>
        </w:rPr>
      </w:r>
    </w:p>
    <w:p>
      <w:pPr>
        <w:pStyle w:val="Heading3"/>
      </w:pPr>
      <w:r>
        <w:rPr>
          <w:rFonts w:ascii="微软雅黑" w:hAnsi="微软雅黑" w:eastAsia="微软雅黑" w:cs="微软雅黑"/>
        </w:rPr>
        <w:t>15. 华中能源监管局研讨谋划2027年重点工作计划</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华中能源监管局近日召开2027年重点工作计划研讨会，贯彻落实国家能源局关于谋划明年工作的部署，分析研判形势任务，深入研究谋划2027年华中能源监管重点工作，围绕“新、实、优、强”谋篇布局。</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华中能源监管局近日召开2027年重点工作计划研讨会，贯彻落实国家能源局关于谋划明年工作的部署，全面分析研判形势任务。会议指出新型能源体系、新型电力系统建设对能源监管工作提出更高要求，要求系统谋划明年工作思路举措，围绕“新、实、优、强”谋篇布局，强化政治统领和政策研判，理思路聚合力，抓重点定举措，突出监管特点和区域特色，打造含金量高、可复制推广的标志性监管成果。</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会议要求将务虚谋划转化为务实行动，抓实组织保障和责任落实，以过硬监管实效推动各项工作取得新突破。</w:t>
      </w:r>
    </w:p>
    <w:p>
      <w:pPr>
        <w:ind w:firstLine="420"/>
      </w:pPr>
      <w:r>
        <w:rPr>
          <w:rFonts w:ascii="微软雅黑" w:hAnsi="微软雅黑" w:eastAsia="微软雅黑" w:cs="微软雅黑"/>
        </w:rPr>
        <w:t>来源：</w:t>
      </w:r>
      <w:hyperlink w:anchor="source-31429">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16. 中煤山西黄岩汇煤矿职工创新工作室获省级认定并加入智能化联盟</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中国中煤所属山西公司黄岩汇煤矿“李廷职工创新工作室”获评“山西省能源行业职工（劳模）创新工作室”，并加入山西省煤矿智能化创新工作室联盟。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近日，中国中煤所属山西公司黄岩汇煤矿“李廷职工创新工作室”荣获“山西省能源行业职工（劳模）创新工作室”称号，并成为山西省煤矿智能化创新工作室联盟成员。山西公司将利用联盟平台资源深化跨单位交流协作与联合攻关，持续产出创新成果，赋能矿井智能化建设提档升级。消息由山西公司提供。</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获得省级行业技术协同、成果共享、人才共育的“创新通行证”，公司称将借此深化跨单位交流协作与联合攻关，赋能矿井智能化建设提档升级。</w:t>
      </w:r>
    </w:p>
    <w:p>
      <w:pPr>
        <w:ind w:firstLine="420"/>
      </w:pPr>
      <w:r>
        <w:rPr>
          <w:rFonts w:ascii="微软雅黑" w:hAnsi="微软雅黑" w:eastAsia="微软雅黑" w:cs="微软雅黑"/>
        </w:rPr>
        <w:t>来源：</w:t>
      </w:r>
      <w:hyperlink w:anchor="source-31455">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17. 四川在泸定举行首次高原县域电网全停应急演练</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28日，四川首次高原县域电网全停应急演练在泸定举行，模拟暴雨叠加地震引发县域电网全停的极端场景，检验“三断”险情处置能力。演练设置5个阶段15个科目，共300余人参演，甘孜州各县（市）设分会场线上同步观摩。</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演练模拟暴雨叠加地震引发县域电网全停的极端场景，直面“断电、断路、断网”考验。演练由四川能源监管办主办，甘孜州人民政府与国网四川省电力公司共同承办，国家能源局电力安全监管司到会指导。共设置5个阶段15个科目，300余人参演，省能源局、甘孜州有关部门、电力企业负责同志现场观摩，甘孜州各县（市）设分会场线上同步观摩。四川能源监管办表示，下一步将按电力安全生产“十五五”行动计划部署要求，提升电网安全韧性，推动企业建强应急力量、做实物资前置、常态化开展极端场景实训，抓实大电网风险管控和迎峰度冬安全保供。演练被定位为对高原区域“小电网、大风险”难题的集中攻坚。</w:t>
      </w:r>
    </w:p>
    <w:p>
      <w:pPr>
        <w:ind w:firstLine="420"/>
      </w:pPr>
      <w:r>
        <w:rPr>
          <w:rFonts w:ascii="微软雅黑" w:hAnsi="微软雅黑" w:eastAsia="微软雅黑" w:cs="微软雅黑"/>
        </w:rPr>
        <w:t>来源：</w:t>
      </w:r>
      <w:hyperlink w:anchor="source-31653">
        <w:r>
          <w:rPr>
            <w:rFonts w:ascii="微软雅黑" w:hAnsi="微软雅黑" w:eastAsia="微软雅黑" w:cs="微软雅黑"/>
            <w:color w:val="087E89"/>
          </w:rPr>
          <w:t>4</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奥列什基停火仍需持续以保障人道主义物资进入和前线人道主义通道；最新袭击造成的伤亡与救援车辆损失情况待进一步说明。 </w:t>
      </w:r>
      <w:hyperlink w:anchor="source-3171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2027年预计公布的更多资金公告及下一代技术供应链强化安排尚未落实。 </w:t>
      </w:r>
      <w:hyperlink w:anchor="source-31676">
        <w:r>
          <w:rPr>
            <w:rFonts w:ascii="微软雅黑" w:hAnsi="微软雅黑" w:eastAsia="微软雅黑" w:cs="微软雅黑"/>
            <w:color w:val="087E89"/>
          </w:rPr>
          <w:t>3</w:t>
        </w:r>
      </w:hyperlink>
      <w:r>
        <w:rPr>
          <w:rFonts w:ascii="微软雅黑" w:hAnsi="微软雅黑" w:eastAsia="微软雅黑" w:cs="微软雅黑"/>
        </w:rPr>
      </w:r>
    </w:p>
    <w:p>
      <w:pPr>
        <w:pStyle w:val="ListBullet"/>
      </w:pPr>
      <w:r>
        <w:rPr>
          <w:rFonts w:ascii="微软雅黑" w:hAnsi="微软雅黑" w:eastAsia="微软雅黑" w:cs="微软雅黑"/>
        </w:rPr>
        <w:t xml:space="preserve">演练中指出川西高原县域电网运行条件复杂、分布式光伏与小水电高比例接入带来复合链式风险，县域大面积停电风险客观存在；四川能源监管办提出推动物资前置、常态化极端场景实训及迎峰度冬安全保供。 </w:t>
      </w:r>
      <w:hyperlink w:anchor="source-31653">
        <w:r>
          <w:rPr>
            <w:rFonts w:ascii="微软雅黑" w:hAnsi="微软雅黑" w:eastAsia="微软雅黑" w:cs="微软雅黑"/>
            <w:color w:val="087E89"/>
          </w:rPr>
          <w:t>4</w:t>
        </w:r>
      </w:hyperlink>
      <w:r>
        <w:rPr>
          <w:rFonts w:ascii="微软雅黑" w:hAnsi="微软雅黑" w:eastAsia="微软雅黑" w:cs="微软雅黑"/>
        </w:rPr>
      </w:r>
    </w:p>
    <w:p>
      <w:pPr>
        <w:pStyle w:val="ListBullet"/>
      </w:pPr>
      <w:r>
        <w:rPr>
          <w:rFonts w:ascii="微软雅黑" w:hAnsi="微软雅黑" w:eastAsia="微软雅黑" w:cs="微软雅黑"/>
        </w:rPr>
        <w:t xml:space="preserve">补贴为政府延长的临时安排；电力电价将每月随IPIM与IPC公式继续调整，后续涨幅取决于批发价格变化。 </w:t>
      </w:r>
      <w:hyperlink w:anchor="source-31636">
        <w:r>
          <w:rPr>
            <w:rFonts w:ascii="微软雅黑" w:hAnsi="微软雅黑" w:eastAsia="微软雅黑" w:cs="微软雅黑"/>
            <w:color w:val="087E89"/>
          </w:rPr>
          <w:t>5</w:t>
        </w:r>
      </w:hyperlink>
      <w:r>
        <w:rPr>
          <w:rFonts w:ascii="微软雅黑" w:hAnsi="微软雅黑" w:eastAsia="微软雅黑" w:cs="微软雅黑"/>
        </w:rPr>
      </w:r>
    </w:p>
    <w:p>
      <w:pPr>
        <w:pStyle w:val="ListBullet"/>
      </w:pPr>
      <w:r>
        <w:rPr>
          <w:rFonts w:ascii="微软雅黑" w:hAnsi="微软雅黑" w:eastAsia="微软雅黑" w:cs="微软雅黑"/>
        </w:rPr>
        <w:t xml:space="preserve">防范建议需企业落实并开展以案说理、以案说法、以案说责活动，实际执行情况材料未明确。 </w:t>
      </w:r>
      <w:hyperlink w:anchor="source-31557">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山西公司表示将依托联盟优质平台持续开展联合攻关与成果产出，具体举措及成效材料未明确。 </w:t>
      </w:r>
      <w:hyperlink w:anchor="source-31455">
        <w:r>
          <w:rPr>
            <w:rFonts w:ascii="微软雅黑" w:hAnsi="微软雅黑" w:eastAsia="微软雅黑" w:cs="微软雅黑"/>
            <w:color w:val="087E89"/>
          </w:rPr>
          <w:t>9</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346 篇文章，形成 18 篇有效能源材料；正文引用 17 篇来源，整理 17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另有 1 篇材料尚待复核，未纳入本期判断。</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31716"/>
      <w:bookmarkEnd w:id="1" w:name="source-31716"/>
    </w:p>
    <w:p>
      <w:pPr>
        <w:pStyle w:val="ListBullet"/>
      </w:pPr>
      <w:r>
        <w:rPr>
          <w:rFonts w:ascii="微软雅黑" w:hAnsi="微软雅黑" w:eastAsia="微软雅黑" w:cs="微软雅黑"/>
        </w:rPr>
        <w:t>[1] 联合国｜</w:t>
      </w:r>
      <w:hyperlink r:id="rId11">
        <w:r>
          <w:rPr>
            <w:rFonts w:ascii="微软雅黑" w:hAnsi="微软雅黑" w:eastAsia="微软雅黑" w:cs="微软雅黑"/>
            <w:color w:val="087E89"/>
          </w:rPr>
          <w:t>乌克兰：奥列什基停火为平民带来“希望”，对援助车辆的袭击持续</w:t>
        </w:r>
      </w:hyperlink>
      <w:r>
        <w:rPr>
          <w:rFonts w:ascii="微软雅黑" w:hAnsi="微软雅黑" w:eastAsia="微软雅黑" w:cs="微软雅黑"/>
        </w:rPr>
      </w:r>
    </w:p>
    <w:p>
      <w:pPr>
        <w:spacing w:after="0" w:line="20" w:lineRule="exact"/>
      </w:pPr>
      <w:bookmarkStart w:id="2" w:name="source-31707"/>
      <w:bookmarkEnd w:id="2" w:name="source-31707"/>
    </w:p>
    <w:p>
      <w:pPr>
        <w:pStyle w:val="ListBullet"/>
      </w:pPr>
      <w:r>
        <w:rPr>
          <w:rFonts w:ascii="微软雅黑" w:hAnsi="微软雅黑" w:eastAsia="微软雅黑" w:cs="微软雅黑"/>
        </w:rPr>
        <w:t>[2] 桑迪亚国家实验室｜</w:t>
      </w:r>
      <w:hyperlink r:id="rId12">
        <w:r>
          <w:rPr>
            <w:rFonts w:ascii="微软雅黑" w:hAnsi="微软雅黑" w:eastAsia="微软雅黑" w:cs="微软雅黑"/>
            <w:color w:val="087E89"/>
          </w:rPr>
          <w:t>桑迪亚入选获338万美元资助，推进核燃料研究</w:t>
        </w:r>
      </w:hyperlink>
      <w:r>
        <w:rPr>
          <w:rFonts w:ascii="微软雅黑" w:hAnsi="微软雅黑" w:eastAsia="微软雅黑" w:cs="微软雅黑"/>
        </w:rPr>
      </w:r>
    </w:p>
    <w:p>
      <w:pPr>
        <w:spacing w:after="0" w:line="20" w:lineRule="exact"/>
      </w:pPr>
      <w:bookmarkStart w:id="3" w:name="source-31676"/>
      <w:bookmarkEnd w:id="3" w:name="source-31676"/>
    </w:p>
    <w:p>
      <w:pPr>
        <w:pStyle w:val="ListBullet"/>
      </w:pPr>
      <w:r>
        <w:rPr>
          <w:rFonts w:ascii="微软雅黑" w:hAnsi="微软雅黑" w:eastAsia="微软雅黑" w:cs="微软雅黑"/>
        </w:rPr>
        <w:t>[3] 美国能源部｜</w:t>
      </w:r>
      <w:hyperlink r:id="rId13">
        <w:r>
          <w:rPr>
            <w:rFonts w:ascii="微软雅黑" w:hAnsi="微软雅黑" w:eastAsia="微软雅黑" w:cs="微软雅黑"/>
            <w:color w:val="087E89"/>
          </w:rPr>
          <w:t>美国能源部宣布超过2.3亿美元资金机会，以强化美国电网供应链并降低电力成本</w:t>
        </w:r>
      </w:hyperlink>
      <w:r>
        <w:rPr>
          <w:rFonts w:ascii="微软雅黑" w:hAnsi="微软雅黑" w:eastAsia="微软雅黑" w:cs="微软雅黑"/>
        </w:rPr>
      </w:r>
    </w:p>
    <w:p>
      <w:pPr>
        <w:spacing w:after="0" w:line="20" w:lineRule="exact"/>
      </w:pPr>
      <w:bookmarkStart w:id="4" w:name="source-31653"/>
      <w:bookmarkEnd w:id="4" w:name="source-31653"/>
    </w:p>
    <w:p>
      <w:pPr>
        <w:pStyle w:val="ListBullet"/>
      </w:pPr>
      <w:r>
        <w:rPr>
          <w:rFonts w:ascii="微软雅黑" w:hAnsi="微软雅黑" w:eastAsia="微软雅黑" w:cs="微软雅黑"/>
        </w:rPr>
        <w:t>[4] 国家能源局｜</w:t>
      </w:r>
      <w:hyperlink r:id="rId14">
        <w:r>
          <w:rPr>
            <w:rFonts w:ascii="微软雅黑" w:hAnsi="微软雅黑" w:eastAsia="微软雅黑" w:cs="微软雅黑"/>
            <w:color w:val="087E89"/>
          </w:rPr>
          <w:t>四川成功举办首次高原县域电网全停应急演练</w:t>
        </w:r>
      </w:hyperlink>
      <w:r>
        <w:rPr>
          <w:rFonts w:ascii="微软雅黑" w:hAnsi="微软雅黑" w:eastAsia="微软雅黑" w:cs="微软雅黑"/>
        </w:rPr>
      </w:r>
    </w:p>
    <w:p>
      <w:pPr>
        <w:spacing w:after="0" w:line="20" w:lineRule="exact"/>
      </w:pPr>
      <w:bookmarkStart w:id="5" w:name="source-31636"/>
      <w:bookmarkEnd w:id="5" w:name="source-31636"/>
    </w:p>
    <w:p>
      <w:pPr>
        <w:pStyle w:val="ListBullet"/>
      </w:pPr>
      <w:r>
        <w:rPr>
          <w:rFonts w:ascii="微软雅黑" w:hAnsi="微软雅黑" w:eastAsia="微软雅黑" w:cs="微软雅黑"/>
        </w:rPr>
        <w:t>[5] 阿根廷国家能源秘书处｜</w:t>
      </w:r>
      <w:hyperlink r:id="rId15">
        <w:r>
          <w:rPr>
            <w:rFonts w:ascii="微软雅黑" w:hAnsi="微软雅黑" w:eastAsia="微软雅黑" w:cs="微软雅黑"/>
            <w:color w:val="087E89"/>
          </w:rPr>
          <w:t>国家政府鉴于国际形势延长电力和天然气补贴</w:t>
        </w:r>
      </w:hyperlink>
      <w:r>
        <w:rPr>
          <w:rFonts w:ascii="微软雅黑" w:hAnsi="微软雅黑" w:eastAsia="微软雅黑" w:cs="微软雅黑"/>
        </w:rPr>
      </w:r>
    </w:p>
    <w:p>
      <w:pPr>
        <w:spacing w:after="0" w:line="20" w:lineRule="exact"/>
      </w:pPr>
      <w:bookmarkStart w:id="6" w:name="source-31557"/>
      <w:bookmarkEnd w:id="6" w:name="source-31557"/>
    </w:p>
    <w:p>
      <w:pPr>
        <w:pStyle w:val="ListBullet"/>
      </w:pPr>
      <w:r>
        <w:rPr>
          <w:rFonts w:ascii="微软雅黑" w:hAnsi="微软雅黑" w:eastAsia="微软雅黑" w:cs="微软雅黑"/>
        </w:rPr>
        <w:t>[6] 国家能源局｜</w:t>
      </w:r>
      <w:hyperlink r:id="rId16">
        <w:r>
          <w:rPr>
            <w:rFonts w:ascii="微软雅黑" w:hAnsi="微软雅黑" w:eastAsia="微软雅黑" w:cs="微软雅黑"/>
            <w:color w:val="087E89"/>
          </w:rPr>
          <w:t>湖南能源监管办组织召开电力市场风险分析会</w:t>
        </w:r>
      </w:hyperlink>
      <w:r>
        <w:rPr>
          <w:rFonts w:ascii="微软雅黑" w:hAnsi="微软雅黑" w:eastAsia="微软雅黑" w:cs="微软雅黑"/>
        </w:rPr>
      </w:r>
    </w:p>
    <w:p>
      <w:pPr>
        <w:spacing w:after="0" w:line="20" w:lineRule="exact"/>
      </w:pPr>
      <w:bookmarkStart w:id="7" w:name="source-31548"/>
      <w:bookmarkEnd w:id="7" w:name="source-31548"/>
    </w:p>
    <w:p>
      <w:pPr>
        <w:pStyle w:val="ListBullet"/>
      </w:pPr>
      <w:r>
        <w:rPr>
          <w:rFonts w:ascii="微软雅黑" w:hAnsi="微软雅黑" w:eastAsia="微软雅黑" w:cs="微软雅黑"/>
        </w:rPr>
        <w:t>[7] 太平洋西北国家实验室｜</w:t>
      </w:r>
      <w:hyperlink r:id="rId17">
        <w:r>
          <w:rPr>
            <w:rFonts w:ascii="微软雅黑" w:hAnsi="微软雅黑" w:eastAsia="微软雅黑" w:cs="微软雅黑"/>
            <w:color w:val="087E89"/>
          </w:rPr>
          <w:t>Alicia Mahon当选海洋技术学会理事</w:t>
        </w:r>
      </w:hyperlink>
      <w:r>
        <w:rPr>
          <w:rFonts w:ascii="微软雅黑" w:hAnsi="微软雅黑" w:eastAsia="微软雅黑" w:cs="微软雅黑"/>
        </w:rPr>
      </w:r>
    </w:p>
    <w:p>
      <w:pPr>
        <w:spacing w:after="0" w:line="20" w:lineRule="exact"/>
      </w:pPr>
      <w:bookmarkStart w:id="8" w:name="source-31541"/>
      <w:bookmarkEnd w:id="8" w:name="source-31541"/>
    </w:p>
    <w:p>
      <w:pPr>
        <w:pStyle w:val="ListBullet"/>
      </w:pPr>
      <w:r>
        <w:rPr>
          <w:rFonts w:ascii="微软雅黑" w:hAnsi="微软雅黑" w:eastAsia="微软雅黑" w:cs="微软雅黑"/>
        </w:rPr>
        <w:t>[8] 南非国家电力公司｜</w:t>
      </w:r>
      <w:hyperlink r:id="rId18">
        <w:r>
          <w:rPr>
            <w:rFonts w:ascii="微软雅黑" w:hAnsi="微软雅黑" w:eastAsia="微软雅黑" w:cs="微软雅黑"/>
            <w:color w:val="087E89"/>
          </w:rPr>
          <w:t>发电恢复计划推动Eskom达到68.15%的EAF，柴油成本同比减少48.1亿兰特</w:t>
        </w:r>
      </w:hyperlink>
      <w:r>
        <w:rPr>
          <w:rFonts w:ascii="微软雅黑" w:hAnsi="微软雅黑" w:eastAsia="微软雅黑" w:cs="微软雅黑"/>
        </w:rPr>
      </w:r>
    </w:p>
    <w:p>
      <w:pPr>
        <w:spacing w:after="0" w:line="20" w:lineRule="exact"/>
      </w:pPr>
      <w:bookmarkStart w:id="9" w:name="source-31455"/>
      <w:bookmarkEnd w:id="9" w:name="source-31455"/>
    </w:p>
    <w:p>
      <w:pPr>
        <w:pStyle w:val="ListBullet"/>
      </w:pPr>
      <w:r>
        <w:rPr>
          <w:rFonts w:ascii="微软雅黑" w:hAnsi="微软雅黑" w:eastAsia="微软雅黑" w:cs="微软雅黑"/>
        </w:rPr>
        <w:t>[9] 中国中煤能源集团｜</w:t>
      </w:r>
      <w:hyperlink r:id="rId19">
        <w:r>
          <w:rPr>
            <w:rFonts w:ascii="微软雅黑" w:hAnsi="微软雅黑" w:eastAsia="微软雅黑" w:cs="微软雅黑"/>
            <w:color w:val="087E89"/>
          </w:rPr>
          <w:t>中国中煤所属山西公司“李廷职工创新工作室”入选山西省煤矿智能化创新工作室联盟</w:t>
        </w:r>
      </w:hyperlink>
      <w:r>
        <w:rPr>
          <w:rFonts w:ascii="微软雅黑" w:hAnsi="微软雅黑" w:eastAsia="微软雅黑" w:cs="微软雅黑"/>
        </w:rPr>
      </w:r>
    </w:p>
    <w:p>
      <w:pPr>
        <w:spacing w:after="0" w:line="20" w:lineRule="exact"/>
      </w:pPr>
      <w:bookmarkStart w:id="10" w:name="source-31643"/>
      <w:bookmarkEnd w:id="10" w:name="source-31643"/>
    </w:p>
    <w:p>
      <w:pPr>
        <w:pStyle w:val="ListBullet"/>
      </w:pPr>
      <w:r>
        <w:rPr>
          <w:rFonts w:ascii="微软雅黑" w:hAnsi="微软雅黑" w:eastAsia="微软雅黑" w:cs="微软雅黑"/>
        </w:rPr>
        <w:t>[10] 美国南方公司｜</w:t>
      </w:r>
      <w:hyperlink r:id="rId20">
        <w:r>
          <w:rPr>
            <w:rFonts w:ascii="微软雅黑" w:hAnsi="微软雅黑" w:eastAsia="微软雅黑" w:cs="微软雅黑"/>
            <w:color w:val="087E89"/>
          </w:rPr>
          <w:t>南方公司调整领导层与运营架构，以服务增长、培养人才并面向未来</w:t>
        </w:r>
      </w:hyperlink>
      <w:r>
        <w:rPr>
          <w:rFonts w:ascii="微软雅黑" w:hAnsi="微软雅黑" w:eastAsia="微软雅黑" w:cs="微软雅黑"/>
        </w:rPr>
      </w:r>
    </w:p>
    <w:p>
      <w:pPr>
        <w:spacing w:after="0" w:line="20" w:lineRule="exact"/>
      </w:pPr>
      <w:bookmarkStart w:id="11" w:name="source-31635"/>
      <w:bookmarkEnd w:id="11" w:name="source-31635"/>
    </w:p>
    <w:p>
      <w:pPr>
        <w:pStyle w:val="ListBullet"/>
      </w:pPr>
      <w:r>
        <w:rPr>
          <w:rFonts w:ascii="微软雅黑" w:hAnsi="微软雅黑" w:eastAsia="微软雅黑" w:cs="微软雅黑"/>
        </w:rPr>
        <w:t>[11] 瑞典政府｜</w:t>
      </w:r>
      <w:hyperlink r:id="rId21">
        <w:r>
          <w:rPr>
            <w:rFonts w:ascii="微软雅黑" w:hAnsi="微软雅黑" w:eastAsia="微软雅黑" w:cs="微软雅黑"/>
            <w:color w:val="087E89"/>
          </w:rPr>
          <w:t>第四电力区启动高成本保护</w:t>
        </w:r>
      </w:hyperlink>
      <w:r>
        <w:rPr>
          <w:rFonts w:ascii="微软雅黑" w:hAnsi="微软雅黑" w:eastAsia="微软雅黑" w:cs="微软雅黑"/>
        </w:rPr>
      </w:r>
    </w:p>
    <w:p>
      <w:pPr>
        <w:spacing w:after="0" w:line="20" w:lineRule="exact"/>
      </w:pPr>
      <w:bookmarkStart w:id="12" w:name="source-31556"/>
      <w:bookmarkEnd w:id="12" w:name="source-31556"/>
    </w:p>
    <w:p>
      <w:pPr>
        <w:pStyle w:val="ListBullet"/>
      </w:pPr>
      <w:r>
        <w:rPr>
          <w:rFonts w:ascii="微软雅黑" w:hAnsi="微软雅黑" w:eastAsia="微软雅黑" w:cs="微软雅黑"/>
        </w:rPr>
        <w:t>[12] 国家能源局｜</w:t>
      </w:r>
      <w:hyperlink r:id="rId22">
        <w:r>
          <w:rPr>
            <w:rFonts w:ascii="微软雅黑" w:hAnsi="微软雅黑" w:eastAsia="微软雅黑" w:cs="微软雅黑"/>
            <w:color w:val="087E89"/>
          </w:rPr>
          <w:t>新疆能源监管办组织召开迎峰度冬电力保供运行方式汇报会议</w:t>
        </w:r>
      </w:hyperlink>
      <w:r>
        <w:rPr>
          <w:rFonts w:ascii="微软雅黑" w:hAnsi="微软雅黑" w:eastAsia="微软雅黑" w:cs="微软雅黑"/>
        </w:rPr>
      </w:r>
    </w:p>
    <w:p>
      <w:pPr>
        <w:spacing w:after="0" w:line="20" w:lineRule="exact"/>
      </w:pPr>
      <w:bookmarkStart w:id="13" w:name="source-31483"/>
      <w:bookmarkEnd w:id="13" w:name="source-31483"/>
    </w:p>
    <w:p>
      <w:pPr>
        <w:pStyle w:val="ListBullet"/>
      </w:pPr>
      <w:r>
        <w:rPr>
          <w:rFonts w:ascii="微软雅黑" w:hAnsi="微软雅黑" w:eastAsia="微软雅黑" w:cs="微软雅黑"/>
        </w:rPr>
        <w:t>[13] 丹麦技术大学风能与能源系统系｜</w:t>
      </w:r>
      <w:hyperlink r:id="rId23">
        <w:r>
          <w:rPr>
            <w:rFonts w:ascii="微软雅黑" w:hAnsi="微软雅黑" w:eastAsia="微软雅黑" w:cs="微软雅黑"/>
            <w:color w:val="087E89"/>
          </w:rPr>
          <w:t>讣告：Erik Lundtang Petersen——气象学与风能领域的先驱</w:t>
        </w:r>
      </w:hyperlink>
      <w:r>
        <w:rPr>
          <w:rFonts w:ascii="微软雅黑" w:hAnsi="微软雅黑" w:eastAsia="微软雅黑" w:cs="微软雅黑"/>
        </w:rPr>
      </w:r>
    </w:p>
    <w:p>
      <w:pPr>
        <w:spacing w:after="0" w:line="20" w:lineRule="exact"/>
      </w:pPr>
      <w:bookmarkStart w:id="14" w:name="source-31628"/>
      <w:bookmarkEnd w:id="14" w:name="source-31628"/>
    </w:p>
    <w:p>
      <w:pPr>
        <w:pStyle w:val="ListBullet"/>
      </w:pPr>
      <w:r>
        <w:rPr>
          <w:rFonts w:ascii="微软雅黑" w:hAnsi="微软雅黑" w:eastAsia="微软雅黑" w:cs="微软雅黑"/>
        </w:rPr>
        <w:t>[14] 欧盟委员会能源总司｜</w:t>
      </w:r>
      <w:hyperlink r:id="rId24">
        <w:r>
          <w:rPr>
            <w:rFonts w:ascii="微软雅黑" w:hAnsi="微软雅黑" w:eastAsia="微软雅黑" w:cs="微软雅黑"/>
            <w:color w:val="087E89"/>
          </w:rPr>
          <w:t>能源转型投资委员会——成员申请征集</w:t>
        </w:r>
      </w:hyperlink>
      <w:r>
        <w:rPr>
          <w:rFonts w:ascii="微软雅黑" w:hAnsi="微软雅黑" w:eastAsia="微软雅黑" w:cs="微软雅黑"/>
        </w:rPr>
      </w:r>
    </w:p>
    <w:p>
      <w:pPr>
        <w:spacing w:after="0" w:line="20" w:lineRule="exact"/>
      </w:pPr>
      <w:bookmarkStart w:id="15" w:name="source-31564"/>
      <w:bookmarkEnd w:id="15" w:name="source-31564"/>
    </w:p>
    <w:p>
      <w:pPr>
        <w:pStyle w:val="ListBullet"/>
      </w:pPr>
      <w:r>
        <w:rPr>
          <w:rFonts w:ascii="微软雅黑" w:hAnsi="微软雅黑" w:eastAsia="微软雅黑" w:cs="微软雅黑"/>
        </w:rPr>
        <w:t>[15] 英国能源安全与净零排放部｜</w:t>
      </w:r>
      <w:hyperlink r:id="rId25">
        <w:r>
          <w:rPr>
            <w:rFonts w:ascii="微软雅黑" w:hAnsi="微软雅黑" w:eastAsia="微软雅黑" w:cs="微软雅黑"/>
            <w:color w:val="087E89"/>
          </w:rPr>
          <w:t>重大海底输电电缆获批准</w:t>
        </w:r>
      </w:hyperlink>
      <w:r>
        <w:rPr>
          <w:rFonts w:ascii="微软雅黑" w:hAnsi="微软雅黑" w:eastAsia="微软雅黑" w:cs="微软雅黑"/>
        </w:rPr>
      </w:r>
    </w:p>
    <w:p>
      <w:pPr>
        <w:spacing w:after="0" w:line="20" w:lineRule="exact"/>
      </w:pPr>
      <w:bookmarkStart w:id="16" w:name="source-31555"/>
      <w:bookmarkEnd w:id="16" w:name="source-31555"/>
    </w:p>
    <w:p>
      <w:pPr>
        <w:pStyle w:val="ListBullet"/>
      </w:pPr>
      <w:r>
        <w:rPr>
          <w:rFonts w:ascii="微软雅黑" w:hAnsi="微软雅黑" w:eastAsia="微软雅黑" w:cs="微软雅黑"/>
        </w:rPr>
        <w:t>[16] 国家能源局｜</w:t>
      </w:r>
      <w:hyperlink r:id="rId26">
        <w:r>
          <w:rPr>
            <w:rFonts w:ascii="微软雅黑" w:hAnsi="微软雅黑" w:eastAsia="微软雅黑" w:cs="微软雅黑"/>
            <w:color w:val="087E89"/>
          </w:rPr>
          <w:t>甘肃能源监管办赴湖南开展电力市场监管情况调研</w:t>
        </w:r>
      </w:hyperlink>
      <w:r>
        <w:rPr>
          <w:rFonts w:ascii="微软雅黑" w:hAnsi="微软雅黑" w:eastAsia="微软雅黑" w:cs="微软雅黑"/>
        </w:rPr>
      </w:r>
    </w:p>
    <w:p>
      <w:pPr>
        <w:spacing w:after="0" w:line="20" w:lineRule="exact"/>
      </w:pPr>
      <w:bookmarkStart w:id="17" w:name="source-31429"/>
      <w:bookmarkEnd w:id="17" w:name="source-31429"/>
    </w:p>
    <w:p>
      <w:pPr>
        <w:pStyle w:val="ListBullet"/>
      </w:pPr>
      <w:r>
        <w:rPr>
          <w:rFonts w:ascii="微软雅黑" w:hAnsi="微软雅黑" w:eastAsia="微软雅黑" w:cs="微软雅黑"/>
        </w:rPr>
        <w:t>[17] 国家能源局｜</w:t>
      </w:r>
      <w:hyperlink r:id="rId27">
        <w:r>
          <w:rPr>
            <w:rFonts w:ascii="微软雅黑" w:hAnsi="微软雅黑" w:eastAsia="微软雅黑" w:cs="微软雅黑"/>
            <w:color w:val="087E89"/>
          </w:rPr>
          <w:t>华中能源监管局召开2027年重点工作计划研讨会</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news.un.org/feed/view/en/story/2026/10/1168712" TargetMode="External"/><Relationship Id="rId12" Type="http://schemas.openxmlformats.org/officeDocument/2006/relationships/hyperlink" Target="https://newsreleases.sandia.gov/sandia-selected-for-3-38-million-to-advance-nuclear-fuel-research/" TargetMode="External"/><Relationship Id="rId13" Type="http://schemas.openxmlformats.org/officeDocument/2006/relationships/hyperlink" Target="https://www.energy.gov/articles/energy-department-announces-over-230-million-funding-opportunity-strengthen-americas-grid" TargetMode="External"/><Relationship Id="rId14" Type="http://schemas.openxmlformats.org/officeDocument/2006/relationships/hyperlink" Target="https://www.nea.gov.cn/20261030/1e7f5ec28b874ce2ab190c56314b855f/c.html" TargetMode="External"/><Relationship Id="rId15" Type="http://schemas.openxmlformats.org/officeDocument/2006/relationships/hyperlink" Target="https://www.argentina.gob.ar/noticias/el-gobierno-nacional-prorrogo-las-bonificaciones-de-electricidad-y-gas-ante-el-contexto" TargetMode="External"/><Relationship Id="rId16" Type="http://schemas.openxmlformats.org/officeDocument/2006/relationships/hyperlink" Target="https://www.nea.gov.cn/20261030/5d92473aa0794630a56409eb4b831e4d/c.html" TargetMode="External"/><Relationship Id="rId17" Type="http://schemas.openxmlformats.org/officeDocument/2006/relationships/hyperlink" Target="https://www.pnnl.gov/news-media/alicia-mahon-elected-marine-technology-society-board-directors" TargetMode="External"/><Relationship Id="rId18" Type="http://schemas.openxmlformats.org/officeDocument/2006/relationships/hyperlink" Target="https://www.eskom.co.za/generation-recovery-plan-sustains-eskom-reaching-a-68-15-eaf-and-diesel-cost-reduction-of-r4-81-billion-year-on-year/" TargetMode="External"/><Relationship Id="rId19" Type="http://schemas.openxmlformats.org/officeDocument/2006/relationships/hyperlink" Target="https://www.chinacoal.com/col/col34/art/2026/art_831d9f017a0b4dd1bec1c7a86c6ac304.html" TargetMode="External"/><Relationship Id="rId20" Type="http://schemas.openxmlformats.org/officeDocument/2006/relationships/hyperlink" Target="https://www.southerncompany.com/newsroom/business-leadership/southern-company-aligns-leadership,-operations-to-serve-growth,-develop-talent-and-prepare-for-the-future.html" TargetMode="External"/><Relationship Id="rId21" Type="http://schemas.openxmlformats.org/officeDocument/2006/relationships/hyperlink" Target="https://www.regeringen.se/pressmeddelanden/2026/10/hogkostnadsskyddet-aktiveras-for-elomrade-4/" TargetMode="External"/><Relationship Id="rId22" Type="http://schemas.openxmlformats.org/officeDocument/2006/relationships/hyperlink" Target="https://www.nea.gov.cn/20261030/120b0fa5473348c99eacaf1ec87b14be/c.html" TargetMode="External"/><Relationship Id="rId23" Type="http://schemas.openxmlformats.org/officeDocument/2006/relationships/hyperlink" Target="https://wind.dtu.dk/news-events/news/obituary-erik-lundtang-petersen?id=773f3958-8255-4b25-9ca4-e5bd6ba82420" TargetMode="External"/><Relationship Id="rId24" Type="http://schemas.openxmlformats.org/officeDocument/2006/relationships/hyperlink" Target="https://energy.ec.europa.eu/news/energy-transition-investment-council-call-applications-2026-10-30_en" TargetMode="External"/><Relationship Id="rId25" Type="http://schemas.openxmlformats.org/officeDocument/2006/relationships/hyperlink" Target="https://www.gov.uk/government/news/major-undersea-power-cable-given-green-light" TargetMode="External"/><Relationship Id="rId26" Type="http://schemas.openxmlformats.org/officeDocument/2006/relationships/hyperlink" Target="https://www.nea.gov.cn/20261030/bc93a54c507b411fb4336c308bb7ccd0/c.html" TargetMode="External"/><Relationship Id="rId27" Type="http://schemas.openxmlformats.org/officeDocument/2006/relationships/hyperlink" Target="https://www.nea.gov.cn/20261030/bdb725d9c8934999b81900cbda902416/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10月31日 能源每日观察</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