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信息覆盖时段：2026-10-16 00:00 至 2026-10-17 00:00（不含），Asia/Shanghai。</w:t>
      </w:r>
    </w:p>
    <w:p>
      <w:pPr/>
      <w:r>
        <w:rPr>
          <w:rFonts w:ascii="微软雅黑" w:hAnsi="微软雅黑" w:eastAsia="微软雅黑" w:cs="微软雅黑"/>
        </w:rPr>
        <w:t>统计区间：2026-10-16 至 2026-10-17（结束日不含，北京时间）</w:t>
      </w:r>
    </w:p>
    <w:p>
      <w:pPr>
        <w:ind w:firstLine="420"/>
      </w:pPr>
      <w:r>
        <w:rPr>
          <w:rFonts w:ascii="微软雅黑" w:hAnsi="微软雅黑" w:eastAsia="微软雅黑" w:cs="微软雅黑"/>
        </w:rPr>
        <w:t>资料更新截止：2026-10-17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美国原油库存降860万桶创2月以来最大降幅，油价料周线上涨 </w:t>
      </w:r>
      <w:hyperlink w:anchor="source-2106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1083">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20866">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全球动力煤价连涨创近三年新高，纽卡斯尔期货收于153.1美元/吨 </w:t>
      </w:r>
      <w:hyperlink w:anchor="source-21323">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FERC提议放宽天然气管道和LNG项目审批，不再强制大气扩散建模 </w:t>
      </w:r>
      <w:hyperlink w:anchor="source-21307">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欧洲理事会支持电气化、新能源和储能以降低电价 </w:t>
      </w:r>
      <w:hyperlink w:anchor="source-21203">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中国拟禁止出口钙钛矿叠层及部分光伏电池制造技术 </w:t>
      </w:r>
      <w:hyperlink w:anchor="source-21180">
        <w:r>
          <w:rPr>
            <w:rFonts w:ascii="微软雅黑" w:hAnsi="微软雅黑" w:eastAsia="微软雅黑" w:cs="微软雅黑"/>
            <w:color w:val="087E89"/>
          </w:rPr>
          <w:t>7</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美国原油产量</w:t>
            </w:r>
          </w:p>
        </w:tc>
        <w:tc>
          <w:tcPr>
            <w:tcW w:type="dxa" w:w="2268"/>
          </w:tcPr>
          <w:p>
            <w:pPr>
              <w:spacing w:after="40"/>
            </w:pPr>
            <w:r>
              <w:rPr>
                <w:rFonts w:ascii="微软雅黑" w:hAnsi="微软雅黑" w:eastAsia="微软雅黑" w:cs="微软雅黑"/>
              </w:rPr>
              <w:t>每日约1370万桶</w:t>
            </w:r>
          </w:p>
        </w:tc>
        <w:tc>
          <w:tcPr>
            <w:tcW w:type="dxa" w:w="2268"/>
          </w:tcPr>
          <w:p>
            <w:pPr>
              <w:spacing w:after="40"/>
            </w:pPr>
            <w:r>
              <w:rPr>
                <w:rFonts w:ascii="微软雅黑" w:hAnsi="微软雅黑" w:eastAsia="微软雅黑" w:cs="微软雅黑"/>
              </w:rPr>
              <w:t>截至10月9日当周</w:t>
            </w:r>
          </w:p>
        </w:tc>
        <w:tc>
          <w:tcPr>
            <w:tcW w:type="dxa" w:w="2268"/>
          </w:tcPr>
          <w:p>
            <w:pPr>
              <w:spacing w:after="40"/>
            </w:pPr>
            <w:r>
              <w:rPr>
                <w:rFonts w:ascii="微软雅黑" w:hAnsi="微软雅黑" w:eastAsia="微软雅黑" w:cs="微软雅黑"/>
              </w:rPr>
            </w:r>
            <w:hyperlink w:anchor="source-2106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1083">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20866">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ICE纽卡斯尔动力煤期货次月合约价格</w:t>
            </w:r>
          </w:p>
        </w:tc>
        <w:tc>
          <w:tcPr>
            <w:tcW w:type="dxa" w:w="2268"/>
          </w:tcPr>
          <w:p>
            <w:pPr>
              <w:spacing w:after="40"/>
            </w:pPr>
            <w:r>
              <w:rPr>
                <w:rFonts w:ascii="微软雅黑" w:hAnsi="微软雅黑" w:eastAsia="微软雅黑" w:cs="微软雅黑"/>
              </w:rPr>
              <w:t>153.1美元/吨</w:t>
            </w:r>
          </w:p>
        </w:tc>
        <w:tc>
          <w:tcPr>
            <w:tcW w:type="dxa" w:w="2268"/>
          </w:tcPr>
          <w:p>
            <w:pPr>
              <w:spacing w:after="40"/>
            </w:pPr>
            <w:r>
              <w:rPr>
                <w:rFonts w:ascii="微软雅黑" w:hAnsi="微软雅黑" w:eastAsia="微软雅黑" w:cs="微软雅黑"/>
              </w:rPr>
              <w:t>2026-10-13</w:t>
            </w:r>
          </w:p>
        </w:tc>
        <w:tc>
          <w:tcPr>
            <w:tcW w:type="dxa" w:w="2268"/>
          </w:tcPr>
          <w:p>
            <w:pPr>
              <w:spacing w:after="40"/>
            </w:pPr>
            <w:r>
              <w:rPr>
                <w:rFonts w:ascii="微软雅黑" w:hAnsi="微软雅黑" w:eastAsia="微软雅黑" w:cs="微软雅黑"/>
              </w:rPr>
            </w:r>
            <w:hyperlink w:anchor="source-21323">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美国对印度光伏电池及组件AD/CVD合计税率上限</w:t>
            </w:r>
          </w:p>
        </w:tc>
        <w:tc>
          <w:tcPr>
            <w:tcW w:type="dxa" w:w="2268"/>
          </w:tcPr>
          <w:p>
            <w:pPr>
              <w:spacing w:after="40"/>
            </w:pPr>
            <w:r>
              <w:rPr>
                <w:rFonts w:ascii="微软雅黑" w:hAnsi="微软雅黑" w:eastAsia="微软雅黑" w:cs="微软雅黑"/>
              </w:rPr>
              <w:t>249%</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1262">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1179">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美国对印度尼西亚光伏电池及组件AD/CVD合计税率上限</w:t>
            </w:r>
          </w:p>
        </w:tc>
        <w:tc>
          <w:tcPr>
            <w:tcW w:type="dxa" w:w="2268"/>
          </w:tcPr>
          <w:p>
            <w:pPr>
              <w:spacing w:after="40"/>
            </w:pPr>
            <w:r>
              <w:rPr>
                <w:rFonts w:ascii="微软雅黑" w:hAnsi="微软雅黑" w:eastAsia="微软雅黑" w:cs="微软雅黑"/>
              </w:rPr>
              <w:t>268%</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1262">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1179">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美国对老挝光伏电池及组件AD/CVD合计税率上限</w:t>
            </w:r>
          </w:p>
        </w:tc>
        <w:tc>
          <w:tcPr>
            <w:tcW w:type="dxa" w:w="2268"/>
          </w:tcPr>
          <w:p>
            <w:pPr>
              <w:spacing w:after="40"/>
            </w:pPr>
            <w:r>
              <w:rPr>
                <w:rFonts w:ascii="微软雅黑" w:hAnsi="微软雅黑" w:eastAsia="微软雅黑" w:cs="微软雅黑"/>
              </w:rPr>
              <w:t>219%</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1262">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1179">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美军GBU-43/B大型空爆炸弹（MOAB）重量</w:t>
            </w:r>
          </w:p>
        </w:tc>
        <w:tc>
          <w:tcPr>
            <w:tcW w:type="dxa" w:w="2268"/>
          </w:tcPr>
          <w:p>
            <w:pPr>
              <w:spacing w:after="40"/>
            </w:pPr>
            <w:r>
              <w:rPr>
                <w:rFonts w:ascii="微软雅黑" w:hAnsi="微软雅黑" w:eastAsia="微软雅黑" w:cs="微软雅黑"/>
              </w:rPr>
              <w:t>重约21600磅（约9.8吨）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0767">
              <w:r>
                <w:rPr>
                  <w:rFonts w:ascii="微软雅黑" w:hAnsi="微软雅黑" w:eastAsia="微软雅黑" w:cs="微软雅黑"/>
                  <w:color w:val="087E89"/>
                </w:rPr>
                <w:t>14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欧盟自俄罗斯进口液化天然气量环比增幅</w:t>
            </w:r>
          </w:p>
        </w:tc>
        <w:tc>
          <w:tcPr>
            <w:tcW w:type="dxa" w:w="2268"/>
          </w:tcPr>
          <w:p>
            <w:pPr>
              <w:spacing w:after="40"/>
            </w:pPr>
            <w:r>
              <w:rPr>
                <w:rFonts w:ascii="微软雅黑" w:hAnsi="微软雅黑" w:eastAsia="微软雅黑" w:cs="微软雅黑"/>
              </w:rPr>
              <w:t>较8月增长60%</w:t>
            </w:r>
          </w:p>
        </w:tc>
        <w:tc>
          <w:tcPr>
            <w:tcW w:type="dxa" w:w="2268"/>
          </w:tcPr>
          <w:p>
            <w:pPr>
              <w:spacing w:after="40"/>
            </w:pPr>
            <w:r>
              <w:rPr>
                <w:rFonts w:ascii="微软雅黑" w:hAnsi="微软雅黑" w:eastAsia="微软雅黑" w:cs="微软雅黑"/>
              </w:rPr>
              <w:t>今年9月</w:t>
            </w:r>
          </w:p>
        </w:tc>
        <w:tc>
          <w:tcPr>
            <w:tcW w:type="dxa" w:w="2268"/>
          </w:tcPr>
          <w:p>
            <w:pPr>
              <w:spacing w:after="40"/>
            </w:pPr>
            <w:r>
              <w:rPr>
                <w:rFonts w:ascii="微软雅黑" w:hAnsi="微软雅黑" w:eastAsia="微软雅黑" w:cs="微软雅黑"/>
              </w:rPr>
            </w:r>
            <w:hyperlink w:anchor="source-21112">
              <w:r>
                <w:rPr>
                  <w:rFonts w:ascii="微软雅黑" w:hAnsi="微软雅黑" w:eastAsia="微软雅黑" w:cs="微软雅黑"/>
                  <w:color w:val="087E89"/>
                </w:rPr>
                <w:t>16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欧盟购买俄罗斯液化天然气金额</w:t>
            </w:r>
          </w:p>
        </w:tc>
        <w:tc>
          <w:tcPr>
            <w:tcW w:type="dxa" w:w="2268"/>
          </w:tcPr>
          <w:p>
            <w:pPr>
              <w:spacing w:after="40"/>
            </w:pPr>
            <w:r>
              <w:rPr>
                <w:rFonts w:ascii="微软雅黑" w:hAnsi="微软雅黑" w:eastAsia="微软雅黑" w:cs="微软雅黑"/>
              </w:rPr>
              <w:t>6.15亿欧元</w:t>
            </w:r>
          </w:p>
        </w:tc>
        <w:tc>
          <w:tcPr>
            <w:tcW w:type="dxa" w:w="2268"/>
          </w:tcPr>
          <w:p>
            <w:pPr>
              <w:spacing w:after="40"/>
            </w:pPr>
            <w:r>
              <w:rPr>
                <w:rFonts w:ascii="微软雅黑" w:hAnsi="微软雅黑" w:eastAsia="微软雅黑" w:cs="微软雅黑"/>
              </w:rPr>
              <w:t>今年9月</w:t>
            </w:r>
          </w:p>
        </w:tc>
        <w:tc>
          <w:tcPr>
            <w:tcW w:type="dxa" w:w="2268"/>
          </w:tcPr>
          <w:p>
            <w:pPr>
              <w:spacing w:after="40"/>
            </w:pPr>
            <w:r>
              <w:rPr>
                <w:rFonts w:ascii="微软雅黑" w:hAnsi="微软雅黑" w:eastAsia="微软雅黑" w:cs="微软雅黑"/>
              </w:rPr>
            </w:r>
            <w:hyperlink w:anchor="source-21112">
              <w:r>
                <w:rPr>
                  <w:rFonts w:ascii="微软雅黑" w:hAnsi="微软雅黑" w:eastAsia="微软雅黑" w:cs="微软雅黑"/>
                  <w:color w:val="087E89"/>
                </w:rPr>
                <w:t>16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运抵法国港口的俄罗斯LNG供应占比</w:t>
            </w:r>
          </w:p>
        </w:tc>
        <w:tc>
          <w:tcPr>
            <w:tcW w:type="dxa" w:w="2268"/>
          </w:tcPr>
          <w:p>
            <w:pPr>
              <w:spacing w:after="40"/>
            </w:pPr>
            <w:r>
              <w:rPr>
                <w:rFonts w:ascii="微软雅黑" w:hAnsi="微软雅黑" w:eastAsia="微软雅黑" w:cs="微软雅黑"/>
              </w:rPr>
              <w:t>72%</w:t>
            </w:r>
          </w:p>
        </w:tc>
        <w:tc>
          <w:tcPr>
            <w:tcW w:type="dxa" w:w="2268"/>
          </w:tcPr>
          <w:p>
            <w:pPr>
              <w:spacing w:after="40"/>
            </w:pPr>
            <w:r>
              <w:rPr>
                <w:rFonts w:ascii="微软雅黑" w:hAnsi="微软雅黑" w:eastAsia="微软雅黑" w:cs="微软雅黑"/>
              </w:rPr>
              <w:t>今年9月</w:t>
            </w:r>
          </w:p>
        </w:tc>
        <w:tc>
          <w:tcPr>
            <w:tcW w:type="dxa" w:w="2268"/>
          </w:tcPr>
          <w:p>
            <w:pPr>
              <w:spacing w:after="40"/>
            </w:pPr>
            <w:r>
              <w:rPr>
                <w:rFonts w:ascii="微软雅黑" w:hAnsi="微软雅黑" w:eastAsia="微软雅黑" w:cs="微软雅黑"/>
              </w:rPr>
            </w:r>
            <w:hyperlink w:anchor="source-21112">
              <w:r>
                <w:rPr>
                  <w:rFonts w:ascii="微软雅黑" w:hAnsi="微软雅黑" w:eastAsia="微软雅黑" w:cs="微软雅黑"/>
                  <w:color w:val="087E89"/>
                </w:rPr>
                <w:t>16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中国多晶硅含税最低价提议（杭州会议）</w:t>
            </w:r>
          </w:p>
        </w:tc>
        <w:tc>
          <w:tcPr>
            <w:tcW w:type="dxa" w:w="2268"/>
          </w:tcPr>
          <w:p>
            <w:pPr>
              <w:spacing w:after="40"/>
            </w:pPr>
            <w:r>
              <w:rPr>
                <w:rFonts w:ascii="微软雅黑" w:hAnsi="微软雅黑" w:eastAsia="微软雅黑" w:cs="微软雅黑"/>
              </w:rPr>
              <w:t>每吨43,000元（6,324美元）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1058">
              <w:r>
                <w:rPr>
                  <w:rFonts w:ascii="微软雅黑" w:hAnsi="微软雅黑" w:eastAsia="微软雅黑" w:cs="微软雅黑"/>
                  <w:color w:val="087E89"/>
                </w:rPr>
                <w:t>17</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FERC提议放宽天然气管道和LNG项目审批，不再强制大气扩散建模</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FERC周四发布提案，旨在简化包括LNG出口项目和天然气管道在内的天然气基础设施开发，并在《国家环境政策法》审查中放松部分要求。</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FERC以4比1投票提议在《国家环境政策法》框架下的天然气项目审查中不再要求大气扩散建模；委员Judy Chang投反对票，称其将使评估附近天然气项目对居民的影响更加困难。FERC还提出LNG项目三层式通用授权框架：部分活动自动放行，部分需60天公告征询期，新增液化线、LNG储罐和海运泊位等需90天。参议院《两党美国可负担性与就业法案》拟对《国家环境政策法》《清洁水法》等导致审批延迟和诉讼风险的法规进行改革。</w:t>
      </w:r>
    </w:p>
    <w:p>
      <w:pPr>
        <w:ind w:firstLine="420"/>
      </w:pPr>
      <w:r>
        <w:rPr>
          <w:rFonts w:ascii="微软雅黑" w:hAnsi="微软雅黑" w:eastAsia="微软雅黑" w:cs="微软雅黑"/>
        </w:rPr>
        <w:t>来源：</w:t>
      </w:r>
      <w:hyperlink w:anchor="source-21307">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2. 特朗普与普京达成俄柴油出口协议，美乌就能源停火与炼油厂袭击分歧加大</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特朗普与普京达成允许俄罗斯向全球市场供应柴油的协议，特朗普称乌克兰对俄炼油厂的再度袭击推高全球能源价格。泽连斯基访英期间，伯纳姆宣布加快对乌军事援助并对俄实施新一轮制裁。</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特朗普与普京达成允许俄罗斯向全球市场供应柴油的协议，并试图在美国中期选举前缓解生活成本压力。泽连斯基曾对《金融时报》表示，由于莫斯科未遵守特朗普宣布的能源基础设施停火，对俄炼油厂袭击的暂停已经“结束”。特朗普在接受Newsmax采访时称乌克兰再次袭击俄炼油厂“是丢脸的事”，并称这些袭击推高了全球能源价格。该协议引发乌克兰政府强烈反对，也遭意大利总理梅洛尼等欧洲方面批评；自由民主党领袖戴维指责特朗普“撕毁针对普京的国际制裁”。</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俄罗斯柴油重返全球市场的协议面临乌方反对与欧洲批评，能源制裁格局存在不确定性。</w:t>
      </w:r>
    </w:p>
    <w:p>
      <w:pPr>
        <w:ind w:firstLine="420"/>
      </w:pPr>
      <w:r>
        <w:rPr>
          <w:rFonts w:ascii="微软雅黑" w:hAnsi="微软雅黑" w:eastAsia="微软雅黑" w:cs="微软雅黑"/>
        </w:rPr>
        <w:t>来源：</w:t>
      </w:r>
      <w:hyperlink w:anchor="source-21283">
        <w:r>
          <w:rPr>
            <w:rFonts w:ascii="微软雅黑" w:hAnsi="微软雅黑" w:eastAsia="微软雅黑" w:cs="微软雅黑"/>
            <w:color w:val="087E89"/>
          </w:rPr>
          <w:t>25</w:t>
        </w:r>
      </w:hyperlink>
      <w:r>
        <w:rPr>
          <w:rFonts w:ascii="微软雅黑" w:hAnsi="微软雅黑" w:eastAsia="微软雅黑" w:cs="微软雅黑"/>
        </w:rPr>
        <w:t xml:space="preserve"> </w:t>
      </w:r>
      <w:hyperlink w:anchor="source-21325">
        <w:r>
          <w:rPr>
            <w:rFonts w:ascii="微软雅黑" w:hAnsi="微软雅黑" w:eastAsia="微软雅黑" w:cs="微软雅黑"/>
            <w:color w:val="087E89"/>
          </w:rPr>
          <w:t>26</w:t>
        </w:r>
      </w:hyperlink>
      <w:r>
        <w:rPr>
          <w:rFonts w:ascii="微软雅黑" w:hAnsi="微软雅黑" w:eastAsia="微软雅黑" w:cs="微软雅黑"/>
        </w:rPr>
      </w:r>
    </w:p>
    <w:p>
      <w:pPr>
        <w:pStyle w:val="Heading3"/>
      </w:pPr>
      <w:r>
        <w:rPr>
          <w:rFonts w:ascii="微软雅黑" w:hAnsi="微软雅黑" w:eastAsia="微软雅黑" w:cs="微软雅黑"/>
        </w:rPr>
        <w:t>3. 美国原油库存降860万桶创2月以来最大降幅，油价料周线上涨</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EIA周度数据显示，截至10月9日当周美国商业原油库存下降860万桶，为2月以来最大降幅，叠加中东局势风险，油价料录得周线涨幅。</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截至10月9日当周，美国商业原油库存下降860万桶，至4.156亿桶，较五年均值低约3%，为2月以来最大降幅，主要反映飓风导致墨西哥湾沿岸生产暂停的影响。炼厂开工率约93.5%，原油产量估计为每日1370万桶，较前一周回落约30万桶至约1368万桶/日（另一数据口径），进口减少79.1万桶/日至605万桶/日。特朗普表示在11月3日中期选举前不会对伊朗采取军事行动，同时强调海上封锁将维持。EIA周度数据与IEA释储消息影响下，布伦特与WTI走势分化。</w:t>
      </w:r>
    </w:p>
    <w:p>
      <w:pPr>
        <w:ind w:firstLine="420"/>
      </w:pPr>
      <w:r>
        <w:rPr>
          <w:rFonts w:ascii="微软雅黑" w:hAnsi="微软雅黑" w:eastAsia="微软雅黑" w:cs="微软雅黑"/>
        </w:rPr>
        <w:t>来源：</w:t>
      </w:r>
      <w:hyperlink w:anchor="source-2106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1083">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20866">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4. IEA成员国同意加快释放约1亿桶应急储备，含逾2000万桶柴油</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国际能源署成员国周四在理事会上同意，加快释放剩余约1亿桶应急石油储备，其中包括尽快释放超过2000万桶柴油，以应对全球能源市场持续紧张和飙升的燃料价格。</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IEA理事会称最新评估显示石油市场持续紧张，柴油尤甚。各成员国同意加快剩余货物的交付速度，具体计划已经制定，包括尽快交付超过2000万桶柴油，但声明未明确具体投放时点。总释放量将超过最初承诺的4亿桶，因为部分成员国释放量超出承诺，其他成员也有意如此。理事会鼓励拥有石油生产和炼油能力的成员国增加原油和成品油供应，尤其是柴油。</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声明未说明具体释放时间表；该释放量相当于全球不到一天的柴油消费量，或略高于美国五天的柴油消费量。</w:t>
      </w:r>
    </w:p>
    <w:p>
      <w:pPr>
        <w:ind w:firstLine="420"/>
      </w:pPr>
      <w:r>
        <w:rPr>
          <w:rFonts w:ascii="微软雅黑" w:hAnsi="微软雅黑" w:eastAsia="微软雅黑" w:cs="微软雅黑"/>
        </w:rPr>
        <w:t>来源：</w:t>
      </w:r>
      <w:hyperlink w:anchor="source-20806">
        <w:r>
          <w:rPr>
            <w:rFonts w:ascii="微软雅黑" w:hAnsi="微软雅黑" w:eastAsia="微软雅黑" w:cs="微软雅黑"/>
            <w:color w:val="087E89"/>
          </w:rPr>
          <w:t>21</w:t>
        </w:r>
      </w:hyperlink>
      <w:r>
        <w:rPr>
          <w:rFonts w:ascii="微软雅黑" w:hAnsi="微软雅黑" w:eastAsia="微软雅黑" w:cs="微软雅黑"/>
        </w:rPr>
        <w:t xml:space="preserve"> </w:t>
      </w:r>
      <w:hyperlink w:anchor="source-20675">
        <w:r>
          <w:rPr>
            <w:rFonts w:ascii="微软雅黑" w:hAnsi="微软雅黑" w:eastAsia="微软雅黑" w:cs="微软雅黑"/>
            <w:color w:val="087E89"/>
          </w:rPr>
          <w:t>22</w:t>
        </w:r>
      </w:hyperlink>
      <w:r>
        <w:rPr>
          <w:rFonts w:ascii="微软雅黑" w:hAnsi="微软雅黑" w:eastAsia="微软雅黑" w:cs="微软雅黑"/>
        </w:rPr>
        <w:t xml:space="preserve"> </w:t>
      </w:r>
      <w:hyperlink w:anchor="source-21047">
        <w:r>
          <w:rPr>
            <w:rFonts w:ascii="微软雅黑" w:hAnsi="微软雅黑" w:eastAsia="微软雅黑" w:cs="微软雅黑"/>
            <w:color w:val="087E89"/>
          </w:rPr>
          <w:t>23</w:t>
        </w:r>
      </w:hyperlink>
      <w:r>
        <w:rPr>
          <w:rFonts w:ascii="微软雅黑" w:hAnsi="微软雅黑" w:eastAsia="微软雅黑" w:cs="微软雅黑"/>
        </w:rPr>
        <w:t xml:space="preserve"> </w:t>
      </w:r>
      <w:hyperlink w:anchor="source-20735">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5. 报告显示欧盟9月自俄进口液化天然气环比增长60%</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芬兰能源与清洁空气研究中心（CREA）报告显示，欧盟今年9月对俄罗斯液化天然气的进口较8月增长60%，购买金额达6.15亿欧元，且发生在欧盟对俄LNG短期合同禁令生效五个月后。</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芬兰能源与清洁空气研究中心（CREA）报告，欧盟今年9月对俄罗斯液化天然气的进口较8月增长60%，购买金额达6.15亿欧元。其中近四分之三（72%）的供应量运抵法国港口，其余批次抵达荷兰和葡萄牙。报告指出，此次进口增长发生在欧盟对俄罗斯LNG短期合同禁令生效五个月后。</w:t>
      </w:r>
    </w:p>
    <w:p>
      <w:pPr>
        <w:ind w:firstLine="420"/>
      </w:pPr>
      <w:r>
        <w:rPr>
          <w:rFonts w:ascii="微软雅黑" w:hAnsi="微软雅黑" w:eastAsia="微软雅黑" w:cs="微软雅黑"/>
        </w:rPr>
        <w:t>来源：</w:t>
      </w:r>
      <w:hyperlink w:anchor="source-21112">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6. 全球动力煤价连涨创近三年新高，纽卡斯尔期货收于153.1美元/吨</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路孚特数据显示，2026年10月13日ICE纽卡斯尔动力煤期货次月合约收于每吨153.1美元，环比上涨1.03%，连续三个交易日上涨，累计涨幅1.8%，价格创2023年12月8日以来最高水平。</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路孚特数据显示，2026年10月13日ICE纽卡斯尔动力煤期货次月合约收于每吨153.1美元，环比上涨1.03%，此前已连续三个交易日上涨，累计涨幅1.8%。该价格创下自2023年12月8日以来的最高水平，即近三年新高。同日Trading Economics平台数据显示，布伦特原油年内上涨72.93%，WTI原油上涨60.83%。</w:t>
      </w:r>
    </w:p>
    <w:p>
      <w:pPr>
        <w:ind w:firstLine="420"/>
      </w:pPr>
      <w:r>
        <w:rPr>
          <w:rFonts w:ascii="微软雅黑" w:hAnsi="微软雅黑" w:eastAsia="微软雅黑" w:cs="微软雅黑"/>
        </w:rPr>
        <w:t>来源：</w:t>
      </w:r>
      <w:hyperlink w:anchor="source-21323">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7. 美军制定对伊新打击计划，考虑动用MOAB打击能源与核设施</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美国官员透露，美军已制定新的对伊朗打击计划，包括考虑使用被称为“炸弹之母”的GBU-43/B大型空爆炸弹（MOAB）打击伊朗的能源基础设施和核设施。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MOAB是美军武器库中体积最大的非核炸弹，重约21600磅（约9.8吨），可摧毁相当于9个城市街区的区域。据新华社7月报道，以色列情报部门认为伊朗已于2025年秋将数千台铀浓缩离心机转移至“镐山”地下隧道内。消息人士认为，伊朗核心核设施位于地下深处并由多层花岗岩加固，MOAB仅能对地表造成毁灭性破坏，难以穿透并摧毁地下设施。熟悉对伊军事讨论的消息人士称，MOAB“绝对不是针对（地下）深度打击的武器”，本质上是“心理战”武器。特朗普曾在第一任期内授权在阿富汗用MOAB打击“伊斯兰国”地下工事，阿富汗官员称那次行动造成36名武装分子死亡，摧毁3条地下隧道及其中武器弹药。</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消息人士认为MOAB对伊朗地下核设施穿透能力有限，难以摧毁地下深层设施，主要起到心理战作用。</w:t>
      </w:r>
    </w:p>
    <w:p>
      <w:pPr>
        <w:ind w:firstLine="420"/>
      </w:pPr>
      <w:r>
        <w:rPr>
          <w:rFonts w:ascii="微软雅黑" w:hAnsi="微软雅黑" w:eastAsia="微软雅黑" w:cs="微软雅黑"/>
        </w:rPr>
        <w:t>来源：</w:t>
      </w:r>
      <w:hyperlink w:anchor="source-20767">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8. 波兰SGE与ZE PAK成立合资公司，推进六台BWRX-300小型堆项目</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波兰核能开发商SGE与私营电力公司ZE PAK签署协议成立合资公司PAK BWRX，计划在中部波兰建设和运营重大核电项目。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双方计划部署六台GE Vernova Hitachi设计的BWRX-300小型模块化反应堆，总装机容量1800 MWe，厂址选在华沙西南约240公里、即将退役的帕特努夫（Pątnów）燃煤电厂厂址。由于燃煤电厂退役，波兰预计到2032年面临5 GWe可靠容量缺口；未来14年因工业增长、数据中心和电动车基础设施，电力需求预计增长40%。双方将启动为期五年的开发路线图，包括评估和获取关键监管及建筑许可。</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该项目有望缓解波兰因燃煤电厂退役导致的容量缺口，并为工业增长、数据中心和电动车基础设施带来的电力需求增长提供支撑。</w:t>
      </w:r>
    </w:p>
    <w:p>
      <w:pPr>
        <w:ind w:firstLine="420"/>
      </w:pPr>
      <w:r>
        <w:rPr>
          <w:rFonts w:ascii="微软雅黑" w:hAnsi="微软雅黑" w:eastAsia="微软雅黑" w:cs="微软雅黑"/>
        </w:rPr>
        <w:t>来源：</w:t>
      </w:r>
      <w:hyperlink w:anchor="source-21293">
        <w:r>
          <w:rPr>
            <w:rFonts w:ascii="微软雅黑" w:hAnsi="微软雅黑" w:eastAsia="微软雅黑" w:cs="微软雅黑"/>
            <w:color w:val="087E89"/>
          </w:rPr>
          <w:t>29</w:t>
        </w:r>
      </w:hyperlink>
      <w:r>
        <w:rPr>
          <w:rFonts w:ascii="微软雅黑" w:hAnsi="微软雅黑" w:eastAsia="微软雅黑" w:cs="微软雅黑"/>
        </w:rPr>
      </w:r>
    </w:p>
    <w:p>
      <w:pPr>
        <w:pStyle w:val="Heading3"/>
      </w:pPr>
      <w:r>
        <w:rPr>
          <w:rFonts w:ascii="微软雅黑" w:hAnsi="微软雅黑" w:eastAsia="微软雅黑" w:cs="微软雅黑"/>
        </w:rPr>
        <w:t>9. 欧洲理事会支持电气化、新能源和储能以降低电价</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欧洲理事会发布结论，指出电气化、可再生能源、电网和储能是从结构上降低能源价格的最有效路径，并强调需要可预测的碳市场，保持对排放的价格信号。</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欧洲理事会在结论中指出，电气化、可再生能源、电网和储能是从结构上降低能源价格的最有效路径。理事会强调需要一个可预测的碳市场，保持对排放的价格信号，并呼吁以有针对性和临时性措施作出“协调的欧洲应对”，请欧委会研究进一步的短期措施。SolarPower Europe称加快部署屋顶太阳能是降低居民能源账单的快速可行方案，大规模电池可在用电高峰替代昂贵的天然气调峰机组；并表示《电费账单》提案和《ETS指令》修订的谈判是落实公平能源税制和可预测碳价的关键机会。</w:t>
      </w:r>
    </w:p>
    <w:p>
      <w:pPr>
        <w:ind w:firstLine="420"/>
      </w:pPr>
      <w:r>
        <w:rPr>
          <w:rFonts w:ascii="微软雅黑" w:hAnsi="微软雅黑" w:eastAsia="微软雅黑" w:cs="微软雅黑"/>
        </w:rPr>
        <w:t>来源：</w:t>
      </w:r>
      <w:hyperlink w:anchor="source-21203">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10. 美国裁定印度、印尼、老挝光伏产品构成实质损害，11月2日发布AD/CVD征税令</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美国国际贸易委员会（USITC）就Solar IV调查对来自印度、印度尼西亚和老挝的晶硅光伏电池及组件作出最终肯定性损害裁定，认定进口对美本土光伏产业造成实质性损害，为商务部发布AD/CVD征税令铺平道路。</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USITC在Solar IV调查中对来自印度、印度尼西亚和老挝的晶硅光伏电池（无论是否组装成组件）作出最终肯定性损害裁定。印度所有生产商最终倾销幅度为123.04%，反补贴税率126.09%；印度尼西亚出口商倾销幅度94.36%，反补贴税率按供应商在73.2%至173.7%之间；老挝出口商倾销幅度65.43%，反补贴税率82.03%至153.67%。征税令预计2026年11月2日发布，生效后CBP将收取现金保证金。案件由美国太阳能制造与贸易联盟提起，首席申诉方为First Solar、Hanwha Qcells USA和Mission Solar Energy。</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该联盟此前已促成对柬埔寨、马来西亚、泰国和越南光伏进口的AD/CVD征税令，导致来自这些国家的进口量大幅下降；针对埃塞俄比亚组装光伏产品的新调查正在推进。</w:t>
      </w:r>
    </w:p>
    <w:p>
      <w:pPr>
        <w:ind w:firstLine="420"/>
      </w:pPr>
      <w:r>
        <w:rPr>
          <w:rFonts w:ascii="微软雅黑" w:hAnsi="微软雅黑" w:eastAsia="微软雅黑" w:cs="微软雅黑"/>
        </w:rPr>
        <w:t>来源：</w:t>
      </w:r>
      <w:hyperlink w:anchor="source-21262">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1179">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11. 韩国K-GX计划投资1000万亿韩元，2030年光伏装机规划87GW</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韩国政府在K-GX战略框架下宣布1000万亿韩元投资计划，目标到2030年将可再生能源累计装机从2025年底的37GW提升至100GW，其中光伏规划87GW，并通过新项目场址、市场改革和电网投资加速部署。</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韩国在“韩国绿色转型（K-GX）”战略框架下宣布规模达1000万亿韩元的投资计划，目标到2030年将可再生能源累计装机从2025年底的37GW提升至100GW，其中光伏87GW、风电9GW、其他可再生能源4GW。作为2026-2035十年期规划的一部分，韩国计划通过开拓新项目场址、推进市场改革和投资电网基础设施加速光伏与风电部署。降本目标为光伏发电成本从2025年的150韩元/kWh降至2030年的100韩元/kWh，2035年进一步降至80韩元/kWh。</w:t>
      </w:r>
    </w:p>
    <w:p>
      <w:pPr>
        <w:ind w:firstLine="420"/>
      </w:pPr>
      <w:r>
        <w:rPr>
          <w:rFonts w:ascii="微软雅黑" w:hAnsi="微软雅黑" w:eastAsia="微软雅黑" w:cs="微软雅黑"/>
        </w:rPr>
        <w:t>来源：</w:t>
      </w:r>
      <w:hyperlink w:anchor="source-21032">
        <w:r>
          <w:rPr>
            <w:rFonts w:ascii="微软雅黑" w:hAnsi="微软雅黑" w:eastAsia="微软雅黑" w:cs="微软雅黑"/>
            <w:color w:val="087E89"/>
          </w:rPr>
          <w:t>27</w:t>
        </w:r>
      </w:hyperlink>
      <w:r>
        <w:rPr>
          <w:rFonts w:ascii="微软雅黑" w:hAnsi="微软雅黑" w:eastAsia="微软雅黑" w:cs="微软雅黑"/>
        </w:rPr>
      </w:r>
    </w:p>
    <w:p>
      <w:pPr>
        <w:pStyle w:val="Heading3"/>
      </w:pPr>
      <w:r>
        <w:rPr>
          <w:rFonts w:ascii="微软雅黑" w:hAnsi="微软雅黑" w:eastAsia="微软雅黑" w:cs="微软雅黑"/>
        </w:rPr>
        <w:t>12. 联合国报告警告绿色能源与经济转型恐加深不平等、需支持化石燃料社区</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联合国发布报告警告，人工智能、数字技术、可再生能源和人口结构变化等快速转型正在重塑全球经济，可能加深社会经济不平等，并强调能源转型需配套支持化石燃料依赖地区的工人与社区。</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告指出，从人工智能、数字技术到可再生能源和人口结构变化等快速转型正在重塑全球经济，可能加深社会经济不平等。妇女、青年、老年人、残障者、移民、原住民和低收入社区尤其容易在转型中被落下。报告强调，向可再生能源的转型必须通过再培训、替代就业机会和社会援助，支持依赖化石燃料的工人和社区；并敦促政府为工作可能被人工智能取代或改变的劳动者投资持续培训和再技能提升。报告还建议不再主要依赖GDP评估增长，而应通过减贫、教育和医疗可及性、就业保障、不平等和环境改善衡量进展。</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报告明确能源转型须以再培训、替代就业机会和社会援助配套推进，以避免依赖化石燃料的工人和社区在转型中被落下。</w:t>
      </w:r>
    </w:p>
    <w:p>
      <w:pPr>
        <w:ind w:firstLine="420"/>
      </w:pPr>
      <w:r>
        <w:rPr>
          <w:rFonts w:ascii="微软雅黑" w:hAnsi="微软雅黑" w:eastAsia="微软雅黑" w:cs="微软雅黑"/>
        </w:rPr>
        <w:t>来源：</w:t>
      </w:r>
      <w:hyperlink w:anchor="source-20458">
        <w:r>
          <w:rPr>
            <w:rFonts w:ascii="微软雅黑" w:hAnsi="微软雅黑" w:eastAsia="微软雅黑" w:cs="微软雅黑"/>
            <w:color w:val="087E89"/>
          </w:rPr>
          <w:t>15</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13. 广东明确新能源就近消纳价格政策：按容量缴纳输配电费并设自发自用比例门槛</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10月15日，广东省发展改革委、省能源局发布通知，按“谁受益、谁负担”原则明确新能源就近消纳项目价格政策，要求项目公平承担输配电费、系统运行费等费用。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新能源就近消纳项目指电源（风电、太阳能、生物质发电等）、负荷、储能作为整体与公共电网连接、以新能源发电为主要电源的项目，现阶段包括绿电直连、源网荷储一体化、零碳园区等模式。项目新能源年自发自用电量占总可用发电量比例不低于60%，占总用电量比例不低于30%，2030年起新增项目不低于35%，并须具备分表计量条件。项目按容（需）量缴纳输配电费，下网电量不再缴纳系统备用费和输配环节电量电费；使用公共电网时视同工商业用户，按下网电量缴纳系统运行费、居民农业用电价格稳定新增损益分摊、上网环节线损、政府性基金及附加等费用，暂不执行功率因数考核；未接入公共电网的项目不缴纳稳定供应保障费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项目新能源上网电量不纳入新能源可持续发展价格结算机制；纳入机制电价的电源项目转为就近消纳后视为自愿退出机制电价。项目用电应直接参与市场交易，不得由电网企业代理购电，原则上作为统一整体参与电力市场。</w:t>
      </w:r>
    </w:p>
    <w:p>
      <w:pPr>
        <w:ind w:firstLine="420"/>
      </w:pPr>
      <w:r>
        <w:rPr>
          <w:rFonts w:ascii="微软雅黑" w:hAnsi="微软雅黑" w:eastAsia="微软雅黑" w:cs="微软雅黑"/>
        </w:rPr>
        <w:t>来源：</w:t>
      </w:r>
      <w:hyperlink w:anchor="source-21094">
        <w:r>
          <w:rPr>
            <w:rFonts w:ascii="微软雅黑" w:hAnsi="微软雅黑" w:eastAsia="微软雅黑" w:cs="微软雅黑"/>
            <w:color w:val="087E89"/>
          </w:rPr>
          <w:t>18</w:t>
        </w:r>
      </w:hyperlink>
      <w:r>
        <w:rPr>
          <w:rFonts w:ascii="微软雅黑" w:hAnsi="微软雅黑" w:eastAsia="微软雅黑" w:cs="微软雅黑"/>
        </w:rPr>
        <w:t xml:space="preserve"> </w:t>
      </w:r>
      <w:hyperlink w:anchor="source-20885">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14. 全国油气一张网加快探索“北醇南运”甲醇管道顺序输送</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国家管网集团利用在役成品油管道探索甲醇输送，今年7月完成国内首次成品油长输管道顺序输送燃料甲醇现场试验，正调研“北醇南运”条件与下游消费。</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记者10月16日从国家管网集团华东公司获悉，覆盖近11.3万公里油气管道的“全国一张网”正加快探索形成“西醇东送”“北醇南运”输送格局。今年7月，国内首次成品油长输管道顺序输送燃料甲醇现场试验顺利完成，将甲醇“夹”在汽油中间输送，实现密闭可控运行。华东公司正开展“双向摸底”：北上赴内蒙古、辽宁、吉林调研输送条件与市场消纳；南下聚焦船用燃料与化工消费，摸清江浙甲醇制烯烃企业消费规模及物流成本，并为氢、氨等清洁能源输送积累经验。</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中国石油大学（北京）教授宫敬表示，与新建甲醇管道相比，该模式可降低基础设施投资80%以上，建设工期缩短50%至70%。业内专家指出，甲醇是理想的液体储氢载体，若产能释放形成规模化供给，可替代的原油体量将十分可观，有助于保障国家能源安全。</w:t>
      </w:r>
    </w:p>
    <w:p>
      <w:pPr>
        <w:ind w:firstLine="420"/>
      </w:pPr>
      <w:r>
        <w:rPr>
          <w:rFonts w:ascii="微软雅黑" w:hAnsi="微软雅黑" w:eastAsia="微软雅黑" w:cs="微软雅黑"/>
        </w:rPr>
        <w:t>来源：</w:t>
      </w:r>
      <w:hyperlink w:anchor="source-21174">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15. 国家发展改革委、国家能源局等部门在山西召开煤矿复产增产保供推进会</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10月16日，国家发展改革委、国家能源局会同有关部门在山西太原召开加快煤矿复产增产保供工作推进会，要求山西省加快停产煤矿复工复产，在确保安全的基础上全力增加煤炭供应。</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会议要求山西省加快停产煤矿复工复产，在确保安全的基础上全力增加煤炭供应，促进煤炭市场平稳运行；要“一矿一策”制定复产计划，优化复产验收程序，推动临时停产煤矿加快复产；要加强电煤保供中长期合同签订履约，着力提高合同兑现率；要挖掘省内增产保供潜力，研究确定一批应急保供煤矿，加快释放煤炭先进产能。</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促进煤炭市场平稳运行，持续夯实今冬供暖季煤炭保供基础。</w:t>
      </w:r>
    </w:p>
    <w:p>
      <w:pPr>
        <w:ind w:firstLine="420"/>
      </w:pPr>
      <w:r>
        <w:rPr>
          <w:rFonts w:ascii="微软雅黑" w:hAnsi="微软雅黑" w:eastAsia="微软雅黑" w:cs="微软雅黑"/>
        </w:rPr>
        <w:t>来源：</w:t>
      </w:r>
      <w:hyperlink w:anchor="source-20942">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20899">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16. 中国拟禁止出口钙钛矿叠层及部分光伏电池制造技术</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中国拟将钙钛矿-硅叠层太阳电池等制造技术列入出口禁止或限制清单，同时限制TOPCon、BC和HJT电池的特定高性能制造工艺出口。</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拟禁止出口的内容涵盖基于182毫米及以上硅片、转换效率30%及以上的钙钛矿-硅叠层太阳电池的生产工艺及相关设备制造技术；其他拟禁止技术包括单线年产能不低于25万吨的三氯氢硅冷氢化流化床工艺，以及年产能不低于2万吨的硅烷流化床工艺。拟限制出口类别包括TOPCon、背接触（BC）和异质结（HJT）电池的特定高性能制造工艺，涵盖沉积、钝化、扩散和金属化技术。管控针对符合规格的制造技术而非成品组件出口，使用受控技术制造的成品不在拟议范围之内。</w:t>
      </w:r>
    </w:p>
    <w:p>
      <w:pPr>
        <w:ind w:firstLine="420"/>
      </w:pPr>
      <w:r>
        <w:rPr>
          <w:rFonts w:ascii="微软雅黑" w:hAnsi="微软雅黑" w:eastAsia="微软雅黑" w:cs="微软雅黑"/>
        </w:rPr>
        <w:t>来源：</w:t>
      </w:r>
      <w:hyperlink w:anchor="source-21180">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17. 福建启动2026年新能源机制电价竞价，电量83.6亿千瓦时</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10月15日，福建省发改委与国家能源局福建监管办公室发布2026年新能源增量项目竞价通知，机制电量规模83.6亿千瓦时。</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15日，福建省发展和改革委员会与国家能源局福建监管办公室发布关于福建省2026年新能源增量项目竞价有关事项的通知。本次机制电量规模为83.6亿千瓦时，竞价上限为390.0元/兆瓦时，下限为160.0元/兆瓦时。竞价主体为2025年6月1日（含）至2027年12月31日（含）期间已全容量并网投产或计划全容量并网投产、且未纳入过机制执行范围的项目，不包括2025年1月27日（不含）前竞争性配置的海上风电项目。机制执行期限为12年。</w:t>
      </w:r>
    </w:p>
    <w:p>
      <w:pPr>
        <w:ind w:firstLine="420"/>
      </w:pPr>
      <w:r>
        <w:rPr>
          <w:rFonts w:ascii="微软雅黑" w:hAnsi="微软雅黑" w:eastAsia="微软雅黑" w:cs="微软雅黑"/>
        </w:rPr>
        <w:t>来源：</w:t>
      </w:r>
      <w:hyperlink w:anchor="source-21143">
        <w:r>
          <w:rPr>
            <w:rFonts w:ascii="微软雅黑" w:hAnsi="微软雅黑" w:eastAsia="微软雅黑" w:cs="微软雅黑"/>
            <w:color w:val="087E89"/>
          </w:rPr>
          <w:t>30</w:t>
        </w:r>
      </w:hyperlink>
      <w:r>
        <w:rPr>
          <w:rFonts w:ascii="微软雅黑" w:hAnsi="微软雅黑" w:eastAsia="微软雅黑" w:cs="微软雅黑"/>
        </w:rPr>
      </w:r>
    </w:p>
    <w:p>
      <w:pPr>
        <w:pStyle w:val="Heading3"/>
      </w:pPr>
      <w:r>
        <w:rPr>
          <w:rFonts w:ascii="微软雅黑" w:hAnsi="微软雅黑" w:eastAsia="微软雅黑" w:cs="微软雅黑"/>
        </w:rPr>
        <w:t>18. 三部门批复京津冀等5城市群开展为期4年氢能综合应用试点</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工业和信息化部、财政部、国家发展改革委10月16日发布通知，同意京津冀等5个城市群开展为期4年的氢能综合应用试点工作，以燃料电池汽车等多元场景应用为牵引，提升氢能供给能力。</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通知经形式审查、专家评审、现场答辩，原则同意京津冀、大湾区、东北（含蒙东）—长三角、新疆—成渝地区双城经济圈、黄河几字弯—中原等5个城市群的试点工作方案。各城市要推进氢能技术装备攻关、工业领域氢能项目、燃料电池汽车推广、加氢站建设等4张清单落实落地，建立完整产业链供应链，健全安全管理制度并及时评估经济、社会和生态效益。三部门将对试点跟踪指导并考核评价，结果作为中央财政安排奖励资金的依据；奖励资金由地方统筹用于支持氢能综合应用，不得用于平衡预算、偿还政府债务或清理拖欠企业账款。</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评价结果将作为中央财政对试点城市群安排奖励资金的依据，奖励资金要求及时拨付到位，切实降低用氢成本并传导至终端产品消纳环节。</w:t>
      </w:r>
    </w:p>
    <w:p>
      <w:pPr>
        <w:ind w:firstLine="420"/>
      </w:pPr>
      <w:r>
        <w:rPr>
          <w:rFonts w:ascii="微软雅黑" w:hAnsi="微软雅黑" w:eastAsia="微软雅黑" w:cs="微软雅黑"/>
        </w:rPr>
        <w:t>来源：</w:t>
      </w:r>
      <w:hyperlink w:anchor="source-21340">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20946">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19. 我国风电累计并网容量达6.9272亿千瓦 连续16年居世界第一</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2026年1—8月我国风电新增并网容量达5326万千瓦，到8月底累计并网容量达6.9272亿千瓦，同比增长19.64%。</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我国风电装机规模连续16年稳居世界第一，装机占比16.88%，发电占比10.83%。内蒙古赤峰风储一体机自2026年5月起完全离网连续稳定运行数月，普通风机加装储能即可升级，可大规模推广。</w:t>
      </w:r>
    </w:p>
    <w:p>
      <w:pPr>
        <w:ind w:firstLine="420"/>
      </w:pPr>
      <w:r>
        <w:rPr>
          <w:rFonts w:ascii="微软雅黑" w:hAnsi="微软雅黑" w:eastAsia="微软雅黑" w:cs="微软雅黑"/>
        </w:rPr>
        <w:t>来源：</w:t>
      </w:r>
      <w:hyperlink w:anchor="source-20945">
        <w:r>
          <w:rPr>
            <w:rFonts w:ascii="微软雅黑" w:hAnsi="微软雅黑" w:eastAsia="微软雅黑" w:cs="微软雅黑"/>
            <w:color w:val="087E89"/>
          </w:rPr>
          <w:t>28</w:t>
        </w:r>
      </w:hyperlink>
      <w:r>
        <w:rPr>
          <w:rFonts w:ascii="微软雅黑" w:hAnsi="微软雅黑" w:eastAsia="微软雅黑" w:cs="微软雅黑"/>
        </w:rPr>
      </w:r>
    </w:p>
    <w:p>
      <w:pPr>
        <w:pStyle w:val="Heading3"/>
      </w:pPr>
      <w:r>
        <w:rPr>
          <w:rFonts w:ascii="微软雅黑" w:hAnsi="微软雅黑" w:eastAsia="微软雅黑" w:cs="微软雅黑"/>
        </w:rPr>
        <w:t>20. 中国八大多晶硅生产商杭州会议提议含税最低价每吨43,000元并权衡减产</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据上海证券报和新华财经援引参会企业报道，八家中国多晶硅生产商在杭州会议上讨论应对供过于求，提议设定含税最低价每吨43,000元（6,324美元），并权衡减产方案。</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上海证券报和新华财经援引参会企业报道，杭州会议提议含税最低价为每吨43,000元（6,324美元），适用于西门子法多晶硅和颗粒硅。这八家企业合计占中国多晶硅有效产能的80%以上。目前尚未披露具有约束力的产量配额、企业具体减产目标或执行机制，相关安排仍处于讨论阶段。</w:t>
      </w:r>
    </w:p>
    <w:p>
      <w:pPr>
        <w:ind w:firstLine="420"/>
      </w:pPr>
      <w:r>
        <w:rPr>
          <w:rFonts w:ascii="微软雅黑" w:hAnsi="微软雅黑" w:eastAsia="微软雅黑" w:cs="微软雅黑"/>
        </w:rPr>
        <w:t>来源：</w:t>
      </w:r>
      <w:hyperlink w:anchor="source-21058">
        <w:r>
          <w:rPr>
            <w:rFonts w:ascii="微软雅黑" w:hAnsi="微软雅黑" w:eastAsia="微软雅黑" w:cs="微软雅黑"/>
            <w:color w:val="087E89"/>
          </w:rPr>
          <w:t>17</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飓风影响下产量回落能否恢复、美伊谈判僵局走向仍待观察。 </w:t>
      </w:r>
      <w:hyperlink w:anchor="source-21065">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1083">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20866">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提案后续表决与最终规则落地情况。 </w:t>
      </w:r>
      <w:hyperlink w:anchor="source-21307">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欧委会研究进一步短期措施；《电费账单》提案和《ETS指令》修订谈判待落实。 </w:t>
      </w:r>
      <w:hyperlink w:anchor="source-21203">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综合税率因国家和生产商而异，征税令发布后CBP收取现金保证金的具体执行情况有待观察。 </w:t>
      </w:r>
      <w:hyperlink w:anchor="source-21262">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1179">
        <w:r>
          <w:rPr>
            <w:rFonts w:ascii="微软雅黑" w:hAnsi="微软雅黑" w:eastAsia="微软雅黑" w:cs="微软雅黑"/>
            <w:color w:val="087E89"/>
          </w:rPr>
          <w:t>9</w:t>
        </w:r>
      </w:hyperlink>
      <w:r>
        <w:rPr>
          <w:rFonts w:ascii="微软雅黑" w:hAnsi="微软雅黑" w:eastAsia="微软雅黑" w:cs="微软雅黑"/>
        </w:rPr>
      </w:r>
    </w:p>
    <w:p>
      <w:pPr>
        <w:pStyle w:val="ListBullet"/>
      </w:pPr>
      <w:r>
        <w:rPr>
          <w:rFonts w:ascii="微软雅黑" w:hAnsi="微软雅黑" w:eastAsia="微软雅黑" w:cs="微软雅黑"/>
        </w:rPr>
        <w:t xml:space="preserve">试点工作方案落实、考核评价结果及中央财政奖励资金拨付情况有待跟踪。 </w:t>
      </w:r>
      <w:hyperlink w:anchor="source-21340">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20946">
        <w:r>
          <w:rPr>
            <w:rFonts w:ascii="微软雅黑" w:hAnsi="微软雅黑" w:eastAsia="微软雅黑" w:cs="微软雅黑"/>
            <w:color w:val="087E89"/>
          </w:rPr>
          <w:t>11</w:t>
        </w:r>
      </w:hyperlink>
      <w:r>
        <w:rPr>
          <w:rFonts w:ascii="微软雅黑" w:hAnsi="微软雅黑" w:eastAsia="微软雅黑" w:cs="微软雅黑"/>
        </w:rPr>
      </w:r>
    </w:p>
    <w:p>
      <w:pPr>
        <w:pStyle w:val="ListBullet"/>
      </w:pPr>
      <w:r>
        <w:rPr>
          <w:rFonts w:ascii="微软雅黑" w:hAnsi="微软雅黑" w:eastAsia="微软雅黑" w:cs="微软雅黑"/>
        </w:rPr>
        <w:t xml:space="preserve">工作组将加快研究出台煤炭增产保供系列政策举措，具体政策内容尚待出台。 </w:t>
      </w:r>
      <w:hyperlink w:anchor="source-20942">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20899">
        <w:r>
          <w:rPr>
            <w:rFonts w:ascii="微软雅黑" w:hAnsi="微软雅黑" w:eastAsia="微软雅黑" w:cs="微软雅黑"/>
            <w:color w:val="087E89"/>
          </w:rPr>
          <w:t>13</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373 篇文章，形成 367 篇有效能源材料；正文引用 30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4 篇材料尚待复核，未纳入本期判断。</w:t>
      </w:r>
    </w:p>
    <w:p>
      <w:pPr>
        <w:pStyle w:val="Heading2"/>
      </w:pPr>
      <w:r>
        <w:rPr>
          <w:rFonts w:ascii="微软雅黑" w:hAnsi="微软雅黑" w:eastAsia="微软雅黑" w:cs="微软雅黑"/>
        </w:rPr>
        <w:t>资料来源</w:t>
      </w:r>
    </w:p>
    <w:p>
      <w:pPr>
        <w:spacing w:after="0" w:line="20" w:lineRule="exact"/>
      </w:pPr>
      <w:bookmarkStart w:id="1" w:name="source-21065"/>
      <w:bookmarkEnd w:id="1" w:name="source-21065"/>
    </w:p>
    <w:p>
      <w:pPr>
        <w:pStyle w:val="ListBullet"/>
      </w:pPr>
      <w:r>
        <w:rPr>
          <w:rFonts w:ascii="微软雅黑" w:hAnsi="微软雅黑" w:eastAsia="微软雅黑" w:cs="微软雅黑"/>
        </w:rPr>
        <w:t>[1] 汇通财经｜</w:t>
      </w:r>
      <w:hyperlink r:id="rId11">
        <w:r>
          <w:rPr>
            <w:rFonts w:ascii="微软雅黑" w:hAnsi="微软雅黑" w:eastAsia="微软雅黑" w:cs="微软雅黑"/>
            <w:color w:val="087E89"/>
          </w:rPr>
          <w:t>美原油96美元关口：谈判僵局与库存下降的叠加效应解析</w:t>
        </w:r>
      </w:hyperlink>
      <w:r>
        <w:rPr>
          <w:rFonts w:ascii="微软雅黑" w:hAnsi="微软雅黑" w:eastAsia="微软雅黑" w:cs="微软雅黑"/>
        </w:rPr>
      </w:r>
    </w:p>
    <w:p>
      <w:pPr>
        <w:spacing w:after="0" w:line="20" w:lineRule="exact"/>
      </w:pPr>
      <w:bookmarkStart w:id="2" w:name="source-21083"/>
      <w:bookmarkEnd w:id="2" w:name="source-21083"/>
    </w:p>
    <w:p>
      <w:pPr>
        <w:pStyle w:val="ListBullet"/>
      </w:pPr>
      <w:r>
        <w:rPr>
          <w:rFonts w:ascii="微软雅黑" w:hAnsi="微软雅黑" w:eastAsia="微软雅黑" w:cs="微软雅黑"/>
        </w:rPr>
        <w:t>[2] Anadolu Agency｜</w:t>
      </w:r>
      <w:hyperlink r:id="rId12">
        <w:r>
          <w:rPr>
            <w:rFonts w:ascii="微软雅黑" w:hAnsi="微软雅黑" w:eastAsia="微软雅黑" w:cs="微软雅黑"/>
            <w:color w:val="087E89"/>
          </w:rPr>
          <w:t>中东局势风险与美库存下降之际，油价料录得周线涨幅</w:t>
        </w:r>
      </w:hyperlink>
      <w:r>
        <w:rPr>
          <w:rFonts w:ascii="微软雅黑" w:hAnsi="微软雅黑" w:eastAsia="微软雅黑" w:cs="微软雅黑"/>
        </w:rPr>
      </w:r>
    </w:p>
    <w:p>
      <w:pPr>
        <w:spacing w:after="0" w:line="20" w:lineRule="exact"/>
      </w:pPr>
      <w:bookmarkStart w:id="3" w:name="source-20866"/>
      <w:bookmarkEnd w:id="3" w:name="source-20866"/>
    </w:p>
    <w:p>
      <w:pPr>
        <w:pStyle w:val="ListBullet"/>
      </w:pPr>
      <w:r>
        <w:rPr>
          <w:rFonts w:ascii="微软雅黑" w:hAnsi="微软雅黑" w:eastAsia="微软雅黑" w:cs="微软雅黑"/>
        </w:rPr>
        <w:t>[3] 新浪财经美股市场（经济）｜</w:t>
      </w:r>
      <w:hyperlink r:id="rId13">
        <w:r>
          <w:rPr>
            <w:rFonts w:ascii="微软雅黑" w:hAnsi="微软雅黑" w:eastAsia="微软雅黑" w:cs="微软雅黑"/>
            <w:color w:val="087E89"/>
          </w:rPr>
          <w:t>大宗商品综述：布伦特与WTI走势分化 铜价三连跌 金价走高</w:t>
        </w:r>
      </w:hyperlink>
      <w:r>
        <w:rPr>
          <w:rFonts w:ascii="微软雅黑" w:hAnsi="微软雅黑" w:eastAsia="微软雅黑" w:cs="微软雅黑"/>
        </w:rPr>
      </w:r>
    </w:p>
    <w:p>
      <w:pPr>
        <w:spacing w:after="0" w:line="20" w:lineRule="exact"/>
      </w:pPr>
      <w:bookmarkStart w:id="4" w:name="source-21323"/>
      <w:bookmarkEnd w:id="4" w:name="source-21323"/>
    </w:p>
    <w:p>
      <w:pPr>
        <w:pStyle w:val="ListBullet"/>
      </w:pPr>
      <w:r>
        <w:rPr>
          <w:rFonts w:ascii="微软雅黑" w:hAnsi="微软雅黑" w:eastAsia="微软雅黑" w:cs="微软雅黑"/>
        </w:rPr>
        <w:t>[4] 中国能源网｜</w:t>
      </w:r>
      <w:hyperlink r:id="rId14">
        <w:r>
          <w:rPr>
            <w:rFonts w:ascii="微软雅黑" w:hAnsi="微软雅黑" w:eastAsia="微软雅黑" w:cs="微软雅黑"/>
            <w:color w:val="087E89"/>
          </w:rPr>
          <w:t>近期全球动力煤价连续上涨，创近三年来最高水平</w:t>
        </w:r>
      </w:hyperlink>
      <w:r>
        <w:rPr>
          <w:rFonts w:ascii="微软雅黑" w:hAnsi="微软雅黑" w:eastAsia="微软雅黑" w:cs="微软雅黑"/>
        </w:rPr>
      </w:r>
    </w:p>
    <w:p>
      <w:pPr>
        <w:spacing w:after="0" w:line="20" w:lineRule="exact"/>
      </w:pPr>
      <w:bookmarkStart w:id="5" w:name="source-21307"/>
      <w:bookmarkEnd w:id="5" w:name="source-21307"/>
    </w:p>
    <w:p>
      <w:pPr>
        <w:pStyle w:val="ListBullet"/>
      </w:pPr>
      <w:r>
        <w:rPr>
          <w:rFonts w:ascii="微软雅黑" w:hAnsi="微软雅黑" w:eastAsia="微软雅黑" w:cs="微软雅黑"/>
        </w:rPr>
        <w:t>[5] Utility Dive｜</w:t>
      </w:r>
      <w:hyperlink r:id="rId15">
        <w:r>
          <w:rPr>
            <w:rFonts w:ascii="微软雅黑" w:hAnsi="微软雅黑" w:eastAsia="微软雅黑" w:cs="微软雅黑"/>
            <w:color w:val="087E89"/>
          </w:rPr>
          <w:t>FERC提议放宽天然气管道和LNG项目的监管审批路径</w:t>
        </w:r>
      </w:hyperlink>
      <w:r>
        <w:rPr>
          <w:rFonts w:ascii="微软雅黑" w:hAnsi="微软雅黑" w:eastAsia="微软雅黑" w:cs="微软雅黑"/>
        </w:rPr>
      </w:r>
    </w:p>
    <w:p>
      <w:pPr>
        <w:spacing w:after="0" w:line="20" w:lineRule="exact"/>
      </w:pPr>
      <w:bookmarkStart w:id="6" w:name="source-21203"/>
      <w:bookmarkEnd w:id="6" w:name="source-21203"/>
    </w:p>
    <w:p>
      <w:pPr>
        <w:pStyle w:val="ListBullet"/>
      </w:pPr>
      <w:r>
        <w:rPr>
          <w:rFonts w:ascii="微软雅黑" w:hAnsi="微软雅黑" w:eastAsia="微软雅黑" w:cs="微软雅黑"/>
        </w:rPr>
        <w:t>[6] 欧洲太阳能协会｜</w:t>
      </w:r>
      <w:hyperlink r:id="rId16">
        <w:r>
          <w:rPr>
            <w:rFonts w:ascii="微软雅黑" w:hAnsi="微软雅黑" w:eastAsia="微软雅黑" w:cs="微软雅黑"/>
            <w:color w:val="087E89"/>
          </w:rPr>
          <w:t>声明：欧洲理事会支持电气化、新能源和储存以降低电价</w:t>
        </w:r>
      </w:hyperlink>
      <w:r>
        <w:rPr>
          <w:rFonts w:ascii="微软雅黑" w:hAnsi="微软雅黑" w:eastAsia="微软雅黑" w:cs="微软雅黑"/>
        </w:rPr>
      </w:r>
    </w:p>
    <w:p>
      <w:pPr>
        <w:spacing w:after="0" w:line="20" w:lineRule="exact"/>
      </w:pPr>
      <w:bookmarkStart w:id="7" w:name="source-21180"/>
      <w:bookmarkEnd w:id="7" w:name="source-21180"/>
    </w:p>
    <w:p>
      <w:pPr>
        <w:pStyle w:val="ListBullet"/>
      </w:pPr>
      <w:r>
        <w:rPr>
          <w:rFonts w:ascii="微软雅黑" w:hAnsi="微软雅黑" w:eastAsia="微软雅黑" w:cs="微软雅黑"/>
        </w:rPr>
        <w:t>[7] 光伏杂志国际版｜</w:t>
      </w:r>
      <w:hyperlink r:id="rId17">
        <w:r>
          <w:rPr>
            <w:rFonts w:ascii="微软雅黑" w:hAnsi="微软雅黑" w:eastAsia="微软雅黑" w:cs="微软雅黑"/>
            <w:color w:val="087E89"/>
          </w:rPr>
          <w:t>中国拟禁止出口钙钛矿及叠层太阳能电池制造技术</w:t>
        </w:r>
      </w:hyperlink>
      <w:r>
        <w:rPr>
          <w:rFonts w:ascii="微软雅黑" w:hAnsi="微软雅黑" w:eastAsia="微软雅黑" w:cs="微软雅黑"/>
        </w:rPr>
      </w:r>
    </w:p>
    <w:p>
      <w:pPr>
        <w:spacing w:after="0" w:line="20" w:lineRule="exact"/>
      </w:pPr>
      <w:bookmarkStart w:id="8" w:name="source-21262"/>
      <w:bookmarkEnd w:id="8" w:name="source-21262"/>
    </w:p>
    <w:p>
      <w:pPr>
        <w:pStyle w:val="ListBullet"/>
      </w:pPr>
      <w:r>
        <w:rPr>
          <w:rFonts w:ascii="微软雅黑" w:hAnsi="微软雅黑" w:eastAsia="微软雅黑" w:cs="微软雅黑"/>
        </w:rPr>
        <w:t>[8] Solarbe(光伏网)｜</w:t>
      </w:r>
      <w:hyperlink r:id="rId18">
        <w:r>
          <w:rPr>
            <w:rFonts w:ascii="微软雅黑" w:hAnsi="微软雅黑" w:eastAsia="微软雅黑" w:cs="微软雅黑"/>
            <w:color w:val="087E89"/>
          </w:rPr>
          <w:t>11月2日正式发布 AD/CVD 征税令——美国裁定印度、印尼、老挝光伏产品构成实质损害</w:t>
        </w:r>
      </w:hyperlink>
      <w:r>
        <w:rPr>
          <w:rFonts w:ascii="微软雅黑" w:hAnsi="微软雅黑" w:eastAsia="微软雅黑" w:cs="微软雅黑"/>
        </w:rPr>
      </w:r>
    </w:p>
    <w:p>
      <w:pPr>
        <w:spacing w:after="0" w:line="20" w:lineRule="exact"/>
      </w:pPr>
      <w:bookmarkStart w:id="9" w:name="source-21179"/>
      <w:bookmarkEnd w:id="9" w:name="source-21179"/>
    </w:p>
    <w:p>
      <w:pPr>
        <w:pStyle w:val="ListBullet"/>
      </w:pPr>
      <w:r>
        <w:rPr>
          <w:rFonts w:ascii="微软雅黑" w:hAnsi="微软雅黑" w:eastAsia="微软雅黑" w:cs="微软雅黑"/>
        </w:rPr>
        <w:t>[9] 光伏杂志国际版｜</w:t>
      </w:r>
      <w:hyperlink r:id="rId19">
        <w:r>
          <w:rPr>
            <w:rFonts w:ascii="微软雅黑" w:hAnsi="微软雅黑" w:eastAsia="微软雅黑" w:cs="微软雅黑"/>
            <w:color w:val="087E89"/>
          </w:rPr>
          <w:t>美国贸易委员会认定来自印度、印度尼西亚和老挝的太阳能产品进口正在损害美国国内产业</w:t>
        </w:r>
      </w:hyperlink>
      <w:r>
        <w:rPr>
          <w:rFonts w:ascii="微软雅黑" w:hAnsi="微软雅黑" w:eastAsia="微软雅黑" w:cs="微软雅黑"/>
        </w:rPr>
      </w:r>
    </w:p>
    <w:p>
      <w:pPr>
        <w:spacing w:after="0" w:line="20" w:lineRule="exact"/>
      </w:pPr>
      <w:bookmarkStart w:id="10" w:name="source-21340"/>
      <w:bookmarkEnd w:id="10" w:name="source-21340"/>
    </w:p>
    <w:p>
      <w:pPr>
        <w:pStyle w:val="ListBullet"/>
      </w:pPr>
      <w:r>
        <w:rPr>
          <w:rFonts w:ascii="微软雅黑" w:hAnsi="微软雅黑" w:eastAsia="微软雅黑" w:cs="微软雅黑"/>
        </w:rPr>
        <w:t>[10] 人民日报｜</w:t>
      </w:r>
      <w:hyperlink r:id="rId20">
        <w:r>
          <w:rPr>
            <w:rFonts w:ascii="微软雅黑" w:hAnsi="微软雅黑" w:eastAsia="微软雅黑" w:cs="微软雅黑"/>
            <w:color w:val="087E89"/>
          </w:rPr>
          <w:t>京津冀等5个城市群将开展氢能综合应用试点</w:t>
        </w:r>
      </w:hyperlink>
      <w:r>
        <w:rPr>
          <w:rFonts w:ascii="微软雅黑" w:hAnsi="微软雅黑" w:eastAsia="微软雅黑" w:cs="微软雅黑"/>
        </w:rPr>
      </w:r>
    </w:p>
    <w:p>
      <w:pPr>
        <w:spacing w:after="0" w:line="20" w:lineRule="exact"/>
      </w:pPr>
      <w:bookmarkStart w:id="11" w:name="source-20946"/>
      <w:bookmarkEnd w:id="11" w:name="source-20946"/>
    </w:p>
    <w:p>
      <w:pPr>
        <w:pStyle w:val="ListBullet"/>
      </w:pPr>
      <w:r>
        <w:rPr>
          <w:rFonts w:ascii="微软雅黑" w:hAnsi="微软雅黑" w:eastAsia="微软雅黑" w:cs="微软雅黑"/>
        </w:rPr>
        <w:t>[11] 国家能源局｜</w:t>
      </w:r>
      <w:hyperlink r:id="rId21">
        <w:r>
          <w:rPr>
            <w:rFonts w:ascii="微软雅黑" w:hAnsi="微软雅黑" w:eastAsia="微软雅黑" w:cs="微软雅黑"/>
            <w:color w:val="087E89"/>
          </w:rPr>
          <w:t>我国氢能产业进入发展快车道</w:t>
        </w:r>
      </w:hyperlink>
      <w:r>
        <w:rPr>
          <w:rFonts w:ascii="微软雅黑" w:hAnsi="微软雅黑" w:eastAsia="微软雅黑" w:cs="微软雅黑"/>
        </w:rPr>
      </w:r>
    </w:p>
    <w:p>
      <w:pPr>
        <w:spacing w:after="0" w:line="20" w:lineRule="exact"/>
      </w:pPr>
      <w:bookmarkStart w:id="12" w:name="source-20942"/>
      <w:bookmarkEnd w:id="12" w:name="source-20942"/>
    </w:p>
    <w:p>
      <w:pPr>
        <w:pStyle w:val="ListBullet"/>
      </w:pPr>
      <w:r>
        <w:rPr>
          <w:rFonts w:ascii="微软雅黑" w:hAnsi="微软雅黑" w:eastAsia="微软雅黑" w:cs="微软雅黑"/>
        </w:rPr>
        <w:t>[12] 国家能源局｜</w:t>
      </w:r>
      <w:hyperlink r:id="rId22">
        <w:r>
          <w:rPr>
            <w:rFonts w:ascii="微软雅黑" w:hAnsi="微软雅黑" w:eastAsia="微软雅黑" w:cs="微软雅黑"/>
            <w:color w:val="087E89"/>
          </w:rPr>
          <w:t>国家发展改革委、国家能源局等部门在山西召开加快煤矿复产增产保供工作推进会</w:t>
        </w:r>
      </w:hyperlink>
      <w:r>
        <w:rPr>
          <w:rFonts w:ascii="微软雅黑" w:hAnsi="微软雅黑" w:eastAsia="微软雅黑" w:cs="微软雅黑"/>
        </w:rPr>
      </w:r>
    </w:p>
    <w:p>
      <w:pPr>
        <w:spacing w:after="0" w:line="20" w:lineRule="exact"/>
      </w:pPr>
      <w:bookmarkStart w:id="13" w:name="source-20899"/>
      <w:bookmarkEnd w:id="13" w:name="source-20899"/>
    </w:p>
    <w:p>
      <w:pPr>
        <w:pStyle w:val="ListBullet"/>
      </w:pPr>
      <w:r>
        <w:rPr>
          <w:rFonts w:ascii="微软雅黑" w:hAnsi="微软雅黑" w:eastAsia="微软雅黑" w:cs="微软雅黑"/>
        </w:rPr>
        <w:t>[13] 人民财讯等｜</w:t>
      </w:r>
      <w:hyperlink r:id="rId23">
        <w:r>
          <w:rPr>
            <w:rFonts w:ascii="微软雅黑" w:hAnsi="微软雅黑" w:eastAsia="微软雅黑" w:cs="微软雅黑"/>
            <w:color w:val="087E89"/>
          </w:rPr>
          <w:t>国家发展改革委、国家能源局等部门在山西召开加快煤矿复产增产保供工作推进会</w:t>
        </w:r>
      </w:hyperlink>
      <w:r>
        <w:rPr>
          <w:rFonts w:ascii="微软雅黑" w:hAnsi="微软雅黑" w:eastAsia="微软雅黑" w:cs="微软雅黑"/>
        </w:rPr>
      </w:r>
    </w:p>
    <w:p>
      <w:pPr>
        <w:spacing w:after="0" w:line="20" w:lineRule="exact"/>
      </w:pPr>
      <w:bookmarkStart w:id="14" w:name="source-20767"/>
      <w:bookmarkEnd w:id="14" w:name="source-20767"/>
    </w:p>
    <w:p>
      <w:pPr>
        <w:pStyle w:val="ListBullet"/>
      </w:pPr>
      <w:r>
        <w:rPr>
          <w:rFonts w:ascii="微软雅黑" w:hAnsi="微软雅黑" w:eastAsia="微软雅黑" w:cs="微软雅黑"/>
        </w:rPr>
        <w:t>[14] 新浪财经｜</w:t>
      </w:r>
      <w:hyperlink r:id="rId24">
        <w:r>
          <w:rPr>
            <w:rFonts w:ascii="微软雅黑" w:hAnsi="微软雅黑" w:eastAsia="微软雅黑" w:cs="微软雅黑"/>
            <w:color w:val="087E89"/>
          </w:rPr>
          <w:t>美或动用“炸弹之母”打击伊朗，“最大非核炸弹”能穿透地下核设施吗</w:t>
        </w:r>
      </w:hyperlink>
      <w:r>
        <w:rPr>
          <w:rFonts w:ascii="微软雅黑" w:hAnsi="微软雅黑" w:eastAsia="微软雅黑" w:cs="微软雅黑"/>
        </w:rPr>
      </w:r>
    </w:p>
    <w:p>
      <w:pPr>
        <w:spacing w:after="0" w:line="20" w:lineRule="exact"/>
      </w:pPr>
      <w:bookmarkStart w:id="15" w:name="source-20458"/>
      <w:bookmarkEnd w:id="15" w:name="source-20458"/>
    </w:p>
    <w:p>
      <w:pPr>
        <w:pStyle w:val="ListBullet"/>
      </w:pPr>
      <w:r>
        <w:rPr>
          <w:rFonts w:ascii="微软雅黑" w:hAnsi="微软雅黑" w:eastAsia="微软雅黑" w:cs="微软雅黑"/>
        </w:rPr>
        <w:t>[15] 联合国｜</w:t>
      </w:r>
      <w:hyperlink r:id="rId25">
        <w:r>
          <w:rPr>
            <w:rFonts w:ascii="微软雅黑" w:hAnsi="微软雅黑" w:eastAsia="微软雅黑" w:cs="微软雅黑"/>
            <w:color w:val="087E89"/>
          </w:rPr>
          <w:t>联合国警告：人工智能、绿色能源与经济转型恐将弱势群体抛在身后</w:t>
        </w:r>
      </w:hyperlink>
      <w:r>
        <w:rPr>
          <w:rFonts w:ascii="微软雅黑" w:hAnsi="微软雅黑" w:eastAsia="微软雅黑" w:cs="微软雅黑"/>
        </w:rPr>
      </w:r>
    </w:p>
    <w:p>
      <w:pPr>
        <w:spacing w:after="0" w:line="20" w:lineRule="exact"/>
      </w:pPr>
      <w:bookmarkStart w:id="16" w:name="source-21112"/>
      <w:bookmarkEnd w:id="16" w:name="source-21112"/>
    </w:p>
    <w:p>
      <w:pPr>
        <w:pStyle w:val="ListBullet"/>
      </w:pPr>
      <w:r>
        <w:rPr>
          <w:rFonts w:ascii="微软雅黑" w:hAnsi="微软雅黑" w:eastAsia="微软雅黑" w:cs="微软雅黑"/>
        </w:rPr>
        <w:t>[16] 俄罗斯卫星通讯社｜</w:t>
      </w:r>
      <w:hyperlink r:id="rId26">
        <w:r>
          <w:rPr>
            <w:rFonts w:ascii="微软雅黑" w:hAnsi="微软雅黑" w:eastAsia="微软雅黑" w:cs="微软雅黑"/>
            <w:color w:val="087E89"/>
          </w:rPr>
          <w:t>报告：欧盟一个月内对俄罗斯液化天然气的进口增加60%</w:t>
        </w:r>
      </w:hyperlink>
      <w:r>
        <w:rPr>
          <w:rFonts w:ascii="微软雅黑" w:hAnsi="微软雅黑" w:eastAsia="微软雅黑" w:cs="微软雅黑"/>
        </w:rPr>
      </w:r>
    </w:p>
    <w:p>
      <w:pPr>
        <w:spacing w:after="0" w:line="20" w:lineRule="exact"/>
      </w:pPr>
      <w:bookmarkStart w:id="17" w:name="source-21058"/>
      <w:bookmarkEnd w:id="17" w:name="source-21058"/>
    </w:p>
    <w:p>
      <w:pPr>
        <w:pStyle w:val="ListBullet"/>
      </w:pPr>
      <w:r>
        <w:rPr>
          <w:rFonts w:ascii="微软雅黑" w:hAnsi="微软雅黑" w:eastAsia="微软雅黑" w:cs="微软雅黑"/>
        </w:rPr>
        <w:t>[17] 光伏杂志国际版｜</w:t>
      </w:r>
      <w:hyperlink r:id="rId27">
        <w:r>
          <w:rPr>
            <w:rFonts w:ascii="微软雅黑" w:hAnsi="微软雅黑" w:eastAsia="微软雅黑" w:cs="微软雅黑"/>
            <w:color w:val="087E89"/>
          </w:rPr>
          <w:t>多晶硅供过于求，中国生产商权衡价格底线与减产</w:t>
        </w:r>
      </w:hyperlink>
      <w:r>
        <w:rPr>
          <w:rFonts w:ascii="微软雅黑" w:hAnsi="微软雅黑" w:eastAsia="微软雅黑" w:cs="微软雅黑"/>
        </w:rPr>
      </w:r>
    </w:p>
    <w:p>
      <w:pPr>
        <w:spacing w:after="0" w:line="20" w:lineRule="exact"/>
      </w:pPr>
      <w:bookmarkStart w:id="18" w:name="source-21094"/>
      <w:bookmarkEnd w:id="18" w:name="source-21094"/>
    </w:p>
    <w:p>
      <w:pPr>
        <w:pStyle w:val="ListBullet"/>
      </w:pPr>
      <w:r>
        <w:rPr>
          <w:rFonts w:ascii="微软雅黑" w:hAnsi="微软雅黑" w:eastAsia="微软雅黑" w:cs="微软雅黑"/>
        </w:rPr>
        <w:t>[18] 中国能源网｜</w:t>
      </w:r>
      <w:hyperlink r:id="rId28">
        <w:r>
          <w:rPr>
            <w:rFonts w:ascii="微软雅黑" w:hAnsi="微软雅黑" w:eastAsia="微软雅黑" w:cs="微软雅黑"/>
            <w:color w:val="087E89"/>
          </w:rPr>
          <w:t>广东发布新能源就近消纳价格政策</w:t>
        </w:r>
      </w:hyperlink>
      <w:r>
        <w:rPr>
          <w:rFonts w:ascii="微软雅黑" w:hAnsi="微软雅黑" w:eastAsia="微软雅黑" w:cs="微软雅黑"/>
        </w:rPr>
      </w:r>
    </w:p>
    <w:p>
      <w:pPr>
        <w:spacing w:after="0" w:line="20" w:lineRule="exact"/>
      </w:pPr>
      <w:bookmarkStart w:id="19" w:name="source-20885"/>
      <w:bookmarkEnd w:id="19" w:name="source-20885"/>
    </w:p>
    <w:p>
      <w:pPr>
        <w:pStyle w:val="ListBullet"/>
      </w:pPr>
      <w:r>
        <w:rPr>
          <w:rFonts w:ascii="微软雅黑" w:hAnsi="微软雅黑" w:eastAsia="微软雅黑" w:cs="微软雅黑"/>
        </w:rPr>
        <w:t>[19] Solarbe(光伏网)｜</w:t>
      </w:r>
      <w:hyperlink r:id="rId29">
        <w:r>
          <w:rPr>
            <w:rFonts w:ascii="微软雅黑" w:hAnsi="微软雅黑" w:eastAsia="微软雅黑" w:cs="微软雅黑"/>
            <w:color w:val="087E89"/>
          </w:rPr>
          <w:t>广东：明确就近消纳价格政策！</w:t>
        </w:r>
      </w:hyperlink>
      <w:r>
        <w:rPr>
          <w:rFonts w:ascii="微软雅黑" w:hAnsi="微软雅黑" w:eastAsia="微软雅黑" w:cs="微软雅黑"/>
        </w:rPr>
      </w:r>
    </w:p>
    <w:p>
      <w:pPr>
        <w:spacing w:after="0" w:line="20" w:lineRule="exact"/>
      </w:pPr>
      <w:bookmarkStart w:id="20" w:name="source-21174"/>
      <w:bookmarkEnd w:id="20" w:name="source-21174"/>
    </w:p>
    <w:p>
      <w:pPr>
        <w:pStyle w:val="ListBullet"/>
      </w:pPr>
      <w:r>
        <w:rPr>
          <w:rFonts w:ascii="微软雅黑" w:hAnsi="微软雅黑" w:eastAsia="微软雅黑" w:cs="微软雅黑"/>
        </w:rPr>
        <w:t>[20] 科技日报｜</w:t>
      </w:r>
      <w:hyperlink r:id="rId30">
        <w:r>
          <w:rPr>
            <w:rFonts w:ascii="微软雅黑" w:hAnsi="微软雅黑" w:eastAsia="微软雅黑" w:cs="微软雅黑"/>
            <w:color w:val="087E89"/>
          </w:rPr>
          <w:t>搭上“顺风车” 全国油气一张网加快探索“北醇南运”</w:t>
        </w:r>
      </w:hyperlink>
      <w:r>
        <w:rPr>
          <w:rFonts w:ascii="微软雅黑" w:hAnsi="微软雅黑" w:eastAsia="微软雅黑" w:cs="微软雅黑"/>
        </w:rPr>
      </w:r>
    </w:p>
    <w:p>
      <w:pPr>
        <w:spacing w:after="0" w:line="20" w:lineRule="exact"/>
      </w:pPr>
      <w:bookmarkStart w:id="21" w:name="source-20806"/>
      <w:bookmarkEnd w:id="21" w:name="source-20806"/>
    </w:p>
    <w:p>
      <w:pPr>
        <w:pStyle w:val="ListBullet"/>
      </w:pPr>
      <w:r>
        <w:rPr>
          <w:rFonts w:ascii="微软雅黑" w:hAnsi="微软雅黑" w:eastAsia="微软雅黑" w:cs="微软雅黑"/>
        </w:rPr>
        <w:t>[21] Anadolu Agency｜</w:t>
      </w:r>
      <w:hyperlink r:id="rId31">
        <w:r>
          <w:rPr>
            <w:rFonts w:ascii="微软雅黑" w:hAnsi="微软雅黑" w:eastAsia="微软雅黑" w:cs="微软雅黑"/>
            <w:color w:val="087E89"/>
          </w:rPr>
          <w:t>欧佩克？不，IEA（国际能源署）成员国将加快释放1亿桶石油，因石油市场依然紧张</w:t>
        </w:r>
      </w:hyperlink>
      <w:r>
        <w:rPr>
          <w:rFonts w:ascii="微软雅黑" w:hAnsi="微软雅黑" w:eastAsia="微软雅黑" w:cs="微软雅黑"/>
        </w:rPr>
      </w:r>
    </w:p>
    <w:p>
      <w:pPr>
        <w:spacing w:after="0" w:line="20" w:lineRule="exact"/>
      </w:pPr>
      <w:bookmarkStart w:id="22" w:name="source-20675"/>
      <w:bookmarkEnd w:id="22" w:name="source-20675"/>
    </w:p>
    <w:p>
      <w:pPr>
        <w:pStyle w:val="ListBullet"/>
      </w:pPr>
      <w:r>
        <w:rPr>
          <w:rFonts w:ascii="微软雅黑" w:hAnsi="微软雅黑" w:eastAsia="微软雅黑" w:cs="微软雅黑"/>
        </w:rPr>
        <w:t>[22] 中国新闻网｜</w:t>
      </w:r>
      <w:hyperlink r:id="rId32">
        <w:r>
          <w:rPr>
            <w:rFonts w:ascii="微软雅黑" w:hAnsi="微软雅黑" w:eastAsia="微软雅黑" w:cs="微软雅黑"/>
            <w:color w:val="087E89"/>
          </w:rPr>
          <w:t>国际能源署同意加快释放石油储备以增加市场供应</w:t>
        </w:r>
      </w:hyperlink>
      <w:r>
        <w:rPr>
          <w:rFonts w:ascii="微软雅黑" w:hAnsi="微软雅黑" w:eastAsia="微软雅黑" w:cs="微软雅黑"/>
        </w:rPr>
      </w:r>
    </w:p>
    <w:p>
      <w:pPr>
        <w:spacing w:after="0" w:line="20" w:lineRule="exact"/>
      </w:pPr>
      <w:bookmarkStart w:id="23" w:name="source-21047"/>
      <w:bookmarkEnd w:id="23" w:name="source-21047"/>
    </w:p>
    <w:p>
      <w:pPr>
        <w:pStyle w:val="ListBullet"/>
      </w:pPr>
      <w:r>
        <w:rPr>
          <w:rFonts w:ascii="微软雅黑" w:hAnsi="微软雅黑" w:eastAsia="微软雅黑" w:cs="微软雅黑"/>
        </w:rPr>
        <w:t>[23] 新浪财经｜</w:t>
      </w:r>
      <w:hyperlink r:id="rId33">
        <w:r>
          <w:rPr>
            <w:rFonts w:ascii="微软雅黑" w:hAnsi="微软雅黑" w:eastAsia="微软雅黑" w:cs="微软雅黑"/>
            <w:color w:val="087E89"/>
          </w:rPr>
          <w:t>深夜，大逆转！“美以就打击伊朗预案进行磋商”，伊朗总统最新发声！IEA：将尽快释放2000万桶柴油储备</w:t>
        </w:r>
      </w:hyperlink>
      <w:r>
        <w:rPr>
          <w:rFonts w:ascii="微软雅黑" w:hAnsi="微软雅黑" w:eastAsia="微软雅黑" w:cs="微软雅黑"/>
        </w:rPr>
      </w:r>
    </w:p>
    <w:p>
      <w:pPr>
        <w:spacing w:after="0" w:line="20" w:lineRule="exact"/>
      </w:pPr>
      <w:bookmarkStart w:id="24" w:name="source-20735"/>
      <w:bookmarkEnd w:id="24" w:name="source-20735"/>
    </w:p>
    <w:p>
      <w:pPr>
        <w:pStyle w:val="ListBullet"/>
      </w:pPr>
      <w:r>
        <w:rPr>
          <w:rFonts w:ascii="微软雅黑" w:hAnsi="微软雅黑" w:eastAsia="微软雅黑" w:cs="微软雅黑"/>
        </w:rPr>
        <w:t>[24] 新浪财经美股市场（经济）｜</w:t>
      </w:r>
      <w:hyperlink r:id="rId34">
        <w:r>
          <w:rPr>
            <w:rFonts w:ascii="微软雅黑" w:hAnsi="微软雅黑" w:eastAsia="微软雅黑" w:cs="微软雅黑"/>
            <w:color w:val="087E89"/>
          </w:rPr>
          <w:t>国际能源署将尽快释放超2000万桶柴油储备</w:t>
        </w:r>
      </w:hyperlink>
      <w:r>
        <w:rPr>
          <w:rFonts w:ascii="微软雅黑" w:hAnsi="微软雅黑" w:eastAsia="微软雅黑" w:cs="微软雅黑"/>
        </w:rPr>
      </w:r>
    </w:p>
    <w:p>
      <w:pPr>
        <w:spacing w:after="0" w:line="20" w:lineRule="exact"/>
      </w:pPr>
      <w:bookmarkStart w:id="25" w:name="source-21283"/>
      <w:bookmarkEnd w:id="25" w:name="source-21283"/>
    </w:p>
    <w:p>
      <w:pPr>
        <w:pStyle w:val="ListBullet"/>
      </w:pPr>
      <w:r>
        <w:rPr>
          <w:rFonts w:ascii="微软雅黑" w:hAnsi="微软雅黑" w:eastAsia="微软雅黑" w:cs="微软雅黑"/>
        </w:rPr>
        <w:t>[25] 新浪财经｜</w:t>
      </w:r>
      <w:hyperlink r:id="rId35">
        <w:r>
          <w:rPr>
            <w:rFonts w:ascii="微软雅黑" w:hAnsi="微软雅黑" w:eastAsia="微软雅黑" w:cs="微软雅黑"/>
            <w:color w:val="087E89"/>
          </w:rPr>
          <w:t>英国首相伯纳姆希望“修复”特朗普与泽连斯基之间的关系</w:t>
        </w:r>
      </w:hyperlink>
      <w:r>
        <w:rPr>
          <w:rFonts w:ascii="微软雅黑" w:hAnsi="微软雅黑" w:eastAsia="微软雅黑" w:cs="微软雅黑"/>
        </w:rPr>
      </w:r>
    </w:p>
    <w:p>
      <w:pPr>
        <w:spacing w:after="0" w:line="20" w:lineRule="exact"/>
      </w:pPr>
      <w:bookmarkStart w:id="26" w:name="source-21325"/>
      <w:bookmarkEnd w:id="26" w:name="source-21325"/>
    </w:p>
    <w:p>
      <w:pPr>
        <w:pStyle w:val="ListBullet"/>
      </w:pPr>
      <w:r>
        <w:rPr>
          <w:rFonts w:ascii="微软雅黑" w:hAnsi="微软雅黑" w:eastAsia="微软雅黑" w:cs="微软雅黑"/>
        </w:rPr>
        <w:t>[26] Vanguard News｜</w:t>
      </w:r>
      <w:hyperlink r:id="rId36">
        <w:r>
          <w:rPr>
            <w:rFonts w:ascii="微软雅黑" w:hAnsi="微软雅黑" w:eastAsia="微软雅黑" w:cs="微软雅黑"/>
            <w:color w:val="087E89"/>
          </w:rPr>
          <w:t>特朗普称乌克兰再次袭击俄罗斯炼油厂“是一种耻辱”</w:t>
        </w:r>
      </w:hyperlink>
      <w:r>
        <w:rPr>
          <w:rFonts w:ascii="微软雅黑" w:hAnsi="微软雅黑" w:eastAsia="微软雅黑" w:cs="微软雅黑"/>
        </w:rPr>
      </w:r>
    </w:p>
    <w:p>
      <w:pPr>
        <w:spacing w:after="0" w:line="20" w:lineRule="exact"/>
      </w:pPr>
      <w:bookmarkStart w:id="27" w:name="source-21032"/>
      <w:bookmarkEnd w:id="27" w:name="source-21032"/>
    </w:p>
    <w:p>
      <w:pPr>
        <w:pStyle w:val="ListBullet"/>
      </w:pPr>
      <w:r>
        <w:rPr>
          <w:rFonts w:ascii="微软雅黑" w:hAnsi="微软雅黑" w:eastAsia="微软雅黑" w:cs="微软雅黑"/>
        </w:rPr>
        <w:t>[27] Solarbe(光伏网)｜</w:t>
      </w:r>
      <w:hyperlink r:id="rId37">
        <w:r>
          <w:rPr>
            <w:rFonts w:ascii="微软雅黑" w:hAnsi="微软雅黑" w:eastAsia="微软雅黑" w:cs="微软雅黑"/>
            <w:color w:val="087E89"/>
          </w:rPr>
          <w:t>韩国：2030年规划87GW光伏装机，为K-GX计划提供1000万亿韩元支持</w:t>
        </w:r>
      </w:hyperlink>
      <w:r>
        <w:rPr>
          <w:rFonts w:ascii="微软雅黑" w:hAnsi="微软雅黑" w:eastAsia="微软雅黑" w:cs="微软雅黑"/>
        </w:rPr>
      </w:r>
    </w:p>
    <w:p>
      <w:pPr>
        <w:spacing w:after="0" w:line="20" w:lineRule="exact"/>
      </w:pPr>
      <w:bookmarkStart w:id="28" w:name="source-20945"/>
      <w:bookmarkEnd w:id="28" w:name="source-20945"/>
    </w:p>
    <w:p>
      <w:pPr>
        <w:pStyle w:val="ListBullet"/>
      </w:pPr>
      <w:r>
        <w:rPr>
          <w:rFonts w:ascii="微软雅黑" w:hAnsi="微软雅黑" w:eastAsia="微软雅黑" w:cs="微软雅黑"/>
        </w:rPr>
        <w:t>[28] 国家能源局｜</w:t>
      </w:r>
      <w:hyperlink r:id="rId38">
        <w:r>
          <w:rPr>
            <w:rFonts w:ascii="微软雅黑" w:hAnsi="微软雅黑" w:eastAsia="微软雅黑" w:cs="微软雅黑"/>
            <w:color w:val="087E89"/>
          </w:rPr>
          <w:t>解锁风电产业新趋势</w:t>
        </w:r>
      </w:hyperlink>
      <w:r>
        <w:rPr>
          <w:rFonts w:ascii="微软雅黑" w:hAnsi="微软雅黑" w:eastAsia="微软雅黑" w:cs="微软雅黑"/>
        </w:rPr>
      </w:r>
    </w:p>
    <w:p>
      <w:pPr>
        <w:spacing w:after="0" w:line="20" w:lineRule="exact"/>
      </w:pPr>
      <w:bookmarkStart w:id="29" w:name="source-21293"/>
      <w:bookmarkEnd w:id="29" w:name="source-21293"/>
    </w:p>
    <w:p>
      <w:pPr>
        <w:pStyle w:val="ListBullet"/>
      </w:pPr>
      <w:r>
        <w:rPr>
          <w:rFonts w:ascii="微软雅黑" w:hAnsi="微软雅黑" w:eastAsia="微软雅黑" w:cs="微软雅黑"/>
        </w:rPr>
        <w:t>[29] Nuclear Engineering International｜</w:t>
      </w:r>
      <w:hyperlink r:id="rId39">
        <w:r>
          <w:rPr>
            <w:rFonts w:ascii="微软雅黑" w:hAnsi="微软雅黑" w:eastAsia="微软雅黑" w:cs="微软雅黑"/>
            <w:color w:val="087E89"/>
          </w:rPr>
          <w:t>波兰合资企业推进帕特努夫小型模块化反应堆计划</w:t>
        </w:r>
      </w:hyperlink>
      <w:r>
        <w:rPr>
          <w:rFonts w:ascii="微软雅黑" w:hAnsi="微软雅黑" w:eastAsia="微软雅黑" w:cs="微软雅黑"/>
        </w:rPr>
      </w:r>
    </w:p>
    <w:p>
      <w:pPr>
        <w:spacing w:after="0" w:line="20" w:lineRule="exact"/>
      </w:pPr>
      <w:bookmarkStart w:id="30" w:name="source-21143"/>
      <w:bookmarkEnd w:id="30" w:name="source-21143"/>
    </w:p>
    <w:p>
      <w:pPr>
        <w:pStyle w:val="ListBullet"/>
      </w:pPr>
      <w:r>
        <w:rPr>
          <w:rFonts w:ascii="微软雅黑" w:hAnsi="微软雅黑" w:eastAsia="微软雅黑" w:cs="微软雅黑"/>
        </w:rPr>
        <w:t>[30] Solarbe(光伏网)｜</w:t>
      </w:r>
      <w:hyperlink r:id="rId40">
        <w:r>
          <w:rPr>
            <w:rFonts w:ascii="微软雅黑" w:hAnsi="微软雅黑" w:eastAsia="微软雅黑" w:cs="微软雅黑"/>
            <w:color w:val="087E89"/>
          </w:rPr>
          <w:t>福建启动机制电价竞价：电价上限0.39元/度，电量83.6亿度！</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fx678.com/C/20261016/202610161917589081.html" TargetMode="External"/><Relationship Id="rId12" Type="http://schemas.openxmlformats.org/officeDocument/2006/relationships/hyperlink" Target="https://www.aa.com.tr/en/energy/oil/oil-prices-head-for-weekly-gains-amid-middle-east-risks-us-inventory-draw/60312" TargetMode="External"/><Relationship Id="rId13" Type="http://schemas.openxmlformats.org/officeDocument/2006/relationships/hyperlink" Target="https://finance.sina.com.cn/stock/usstock/c/2026-10-16/doc-inivkfvt7865844.shtml" TargetMode="External"/><Relationship Id="rId14" Type="http://schemas.openxmlformats.org/officeDocument/2006/relationships/hyperlink" Target="https://www.china5e.com/news/news-1210505-1.html" TargetMode="External"/><Relationship Id="rId15" Type="http://schemas.openxmlformats.org/officeDocument/2006/relationships/hyperlink" Target="https://www.utilitydive.com/news/ferc-gas-pipeline-lng-blanket-authorization-permitting-reform/833234/" TargetMode="External"/><Relationship Id="rId16" Type="http://schemas.openxmlformats.org/officeDocument/2006/relationships/hyperlink" Target="https://www.solarpowereurope.org/press-releases/statement-european-council-backs-electrification-renewables-and-storage-to-lower-electricity-prices" TargetMode="External"/><Relationship Id="rId17" Type="http://schemas.openxmlformats.org/officeDocument/2006/relationships/hyperlink" Target="https://www.pv-magazine.com/2026/10/16/china-proposes-ban-on-exports-of-perovskite-tandem-solar-manufacturing-technology/" TargetMode="External"/><Relationship Id="rId18" Type="http://schemas.openxmlformats.org/officeDocument/2006/relationships/hyperlink" Target="https://news.solarbe.com/202610/16/50030451.html" TargetMode="External"/><Relationship Id="rId19" Type="http://schemas.openxmlformats.org/officeDocument/2006/relationships/hyperlink" Target="https://www.pv-magazine.com/2026/10/16/usitc-finds-material-injury-from-solar-imports-from-india-indonesia-and-laos/" TargetMode="External"/><Relationship Id="rId20" Type="http://schemas.openxmlformats.org/officeDocument/2006/relationships/hyperlink" Target="http://finance.people.com.cn/n1/2026/1016/c1004-40816325.html" TargetMode="External"/><Relationship Id="rId21" Type="http://schemas.openxmlformats.org/officeDocument/2006/relationships/hyperlink" Target="https://www.nea.gov.cn/20261016/5632d9db8e8c4e95b106fe7ab20c2ff5/c.html" TargetMode="External"/><Relationship Id="rId22" Type="http://schemas.openxmlformats.org/officeDocument/2006/relationships/hyperlink" Target="https://www.nea.gov.cn/20261016/ebb1791485284508bdef0255346785ff/c.html" TargetMode="External"/><Relationship Id="rId23" Type="http://schemas.openxmlformats.org/officeDocument/2006/relationships/hyperlink" Target="https://www.stcn.com/article/detail/4222226.html" TargetMode="External"/><Relationship Id="rId24" Type="http://schemas.openxmlformats.org/officeDocument/2006/relationships/hyperlink" Target="https://finance.sina.com.cn/wm/2026-10-16/doc-iniviqxz8010451.shtml" TargetMode="External"/><Relationship Id="rId25" Type="http://schemas.openxmlformats.org/officeDocument/2006/relationships/hyperlink" Target="https://news.un.org/feed/view/en/story/2026/10/1168604" TargetMode="External"/><Relationship Id="rId26" Type="http://schemas.openxmlformats.org/officeDocument/2006/relationships/hyperlink" Target="https://sputniknews.cn/20261016/1073650031.html" TargetMode="External"/><Relationship Id="rId27" Type="http://schemas.openxmlformats.org/officeDocument/2006/relationships/hyperlink" Target="https://www.pv-magazine.com/2026/10/16/chinese-polysilicon-producers-weigh-price-floor-output-cuts-amid-oversupply/" TargetMode="External"/><Relationship Id="rId28" Type="http://schemas.openxmlformats.org/officeDocument/2006/relationships/hyperlink" Target="https://www.china5e.com/news/news-1210496-1.html" TargetMode="External"/><Relationship Id="rId29" Type="http://schemas.openxmlformats.org/officeDocument/2006/relationships/hyperlink" Target="https://news.solarbe.com/202610/16/50030459.html" TargetMode="External"/><Relationship Id="rId30" Type="http://schemas.openxmlformats.org/officeDocument/2006/relationships/hyperlink" Target="https://www.stdaily.com/web/gdxw/2026-10/16/content_597666.html" TargetMode="External"/><Relationship Id="rId31" Type="http://schemas.openxmlformats.org/officeDocument/2006/relationships/hyperlink" Target="https://www.aa.com.tr/en/energy/oil/iea-members-to-accelerate-release-of-100m-barrels-as-oil-markets-remain-tight/60284" TargetMode="External"/><Relationship Id="rId32" Type="http://schemas.openxmlformats.org/officeDocument/2006/relationships/hyperlink" Target="https://www.chinanews.com.cn/gj/2026/10-16/10715508.shtml" TargetMode="External"/><Relationship Id="rId33" Type="http://schemas.openxmlformats.org/officeDocument/2006/relationships/hyperlink" Target="https://finance.sina.com.cn/money/future/fmnews/2026-10-16/doc-inivkncx8199955.shtml" TargetMode="External"/><Relationship Id="rId34" Type="http://schemas.openxmlformats.org/officeDocument/2006/relationships/hyperlink" Target="https://finance.sina.com.cn/stock/usstock/c/2026-10-16/doc-inivivha4704590.shtml" TargetMode="External"/><Relationship Id="rId35" Type="http://schemas.openxmlformats.org/officeDocument/2006/relationships/hyperlink" Target="https://finance.sina.com.cn/stock/usstock/c/2026-10-16/doc-inivmiic6940663.shtml" TargetMode="External"/><Relationship Id="rId36" Type="http://schemas.openxmlformats.org/officeDocument/2006/relationships/hyperlink" Target="https://www.vanguardngr.com/2026/10/trump-calls-renewed-ukraine-attacks-on-russian-refineries-a-disgrace/" TargetMode="External"/><Relationship Id="rId37" Type="http://schemas.openxmlformats.org/officeDocument/2006/relationships/hyperlink" Target="https://news.solarbe.com/202610/16/50030452.html" TargetMode="External"/><Relationship Id="rId38" Type="http://schemas.openxmlformats.org/officeDocument/2006/relationships/hyperlink" Target="https://www.nea.gov.cn/20261016/a113c8e6a4aa4f4a9842a6d76065a76d/c.html" TargetMode="External"/><Relationship Id="rId39" Type="http://schemas.openxmlformats.org/officeDocument/2006/relationships/hyperlink" Target="https://www.neimagazine.com/news/polish-jv-advances-patnow-smr-plans/" TargetMode="External"/><Relationship Id="rId40" Type="http://schemas.openxmlformats.org/officeDocument/2006/relationships/hyperlink" Target="https://news.solarbe.com/202610/16/5003045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2026年10月16日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