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信息覆盖时段：2026-09-24 00:00 至 2026-09-25 00:00（不含），Asia/Shanghai。</w:t>
      </w:r>
    </w:p>
    <w:p>
      <w:pPr/>
      <w:r>
        <w:rPr>
          <w:rFonts w:ascii="微软雅黑" w:hAnsi="微软雅黑" w:eastAsia="微软雅黑" w:cs="微软雅黑"/>
        </w:rPr>
        <w:t>统计区间：2026-09-24 至 2026-09-25（结束日不含，北京时间）</w:t>
      </w:r>
    </w:p>
    <w:p>
      <w:pPr>
        <w:ind w:firstLine="420"/>
      </w:pPr>
      <w:r>
        <w:rPr>
          <w:rFonts w:ascii="微软雅黑" w:hAnsi="微软雅黑" w:eastAsia="微软雅黑" w:cs="微软雅黑"/>
        </w:rPr>
        <w:t>资料更新截止：2026-09-25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印尼自备煤电支撑镍加工，2025年发电量超161太瓦时 </w:t>
      </w:r>
      <w:hyperlink w:anchor="source-6254">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霍尔木兹海峡供应中断重压东南亚LNG与燃机建设 </w:t>
      </w:r>
      <w:hyperlink w:anchor="source-6173">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全球三大煤价同比涨幅扩大，欧洲电价同步走高 </w:t>
      </w:r>
      <w:hyperlink w:anchor="source-6567">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国内首个规模化应用18兆瓦海上风机项目全容量投运 </w:t>
      </w:r>
      <w:hyperlink w:anchor="source-6395">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6497">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俄罗斯2026年前八月天然气产量同比增长3.4%至4465亿立方米 </w:t>
      </w:r>
      <w:hyperlink w:anchor="source-6288">
        <w:r>
          <w:rPr>
            <w:rFonts w:ascii="微软雅黑" w:hAnsi="微软雅黑" w:eastAsia="微软雅黑" w:cs="微软雅黑"/>
            <w:color w:val="087E89"/>
          </w:rPr>
          <w:t>6</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2025年印尼自备电力发电量</w:t>
            </w:r>
          </w:p>
        </w:tc>
        <w:tc>
          <w:tcPr>
            <w:tcW w:type="dxa" w:w="2268"/>
          </w:tcPr>
          <w:p>
            <w:pPr>
              <w:spacing w:after="40"/>
            </w:pPr>
            <w:r>
              <w:rPr>
                <w:rFonts w:ascii="微软雅黑" w:hAnsi="微软雅黑" w:eastAsia="微软雅黑" w:cs="微软雅黑"/>
              </w:rPr>
              <w:t>超过161 TWh</w:t>
            </w:r>
          </w:p>
        </w:tc>
        <w:tc>
          <w:tcPr>
            <w:tcW w:type="dxa" w:w="2268"/>
          </w:tcPr>
          <w:p>
            <w:pPr>
              <w:spacing w:after="40"/>
            </w:pPr>
            <w:r>
              <w:rPr>
                <w:rFonts w:ascii="微软雅黑" w:hAnsi="微软雅黑" w:eastAsia="微软雅黑" w:cs="微软雅黑"/>
              </w:rPr>
              <w:t>2025</w:t>
            </w:r>
          </w:p>
        </w:tc>
        <w:tc>
          <w:tcPr>
            <w:tcW w:type="dxa" w:w="2268"/>
          </w:tcPr>
          <w:p>
            <w:pPr>
              <w:spacing w:after="40"/>
            </w:pPr>
            <w:r>
              <w:rPr>
                <w:rFonts w:ascii="微软雅黑" w:hAnsi="微软雅黑" w:eastAsia="微软雅黑" w:cs="微软雅黑"/>
              </w:rPr>
            </w:r>
            <w:hyperlink w:anchor="source-6254">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2025年镍加工自备用电量</w:t>
            </w:r>
          </w:p>
        </w:tc>
        <w:tc>
          <w:tcPr>
            <w:tcW w:type="dxa" w:w="2268"/>
          </w:tcPr>
          <w:p>
            <w:pPr>
              <w:spacing w:after="40"/>
            </w:pPr>
            <w:r>
              <w:rPr>
                <w:rFonts w:ascii="微软雅黑" w:hAnsi="微软雅黑" w:eastAsia="微软雅黑" w:cs="微软雅黑"/>
              </w:rPr>
              <w:t>超过81 TWh</w:t>
            </w:r>
          </w:p>
        </w:tc>
        <w:tc>
          <w:tcPr>
            <w:tcW w:type="dxa" w:w="2268"/>
          </w:tcPr>
          <w:p>
            <w:pPr>
              <w:spacing w:after="40"/>
            </w:pPr>
            <w:r>
              <w:rPr>
                <w:rFonts w:ascii="微软雅黑" w:hAnsi="微软雅黑" w:eastAsia="微软雅黑" w:cs="微软雅黑"/>
              </w:rPr>
              <w:t>2025</w:t>
            </w:r>
          </w:p>
        </w:tc>
        <w:tc>
          <w:tcPr>
            <w:tcW w:type="dxa" w:w="2268"/>
          </w:tcPr>
          <w:p>
            <w:pPr>
              <w:spacing w:after="40"/>
            </w:pPr>
            <w:r>
              <w:rPr>
                <w:rFonts w:ascii="微软雅黑" w:hAnsi="微软雅黑" w:eastAsia="微软雅黑" w:cs="微软雅黑"/>
              </w:rPr>
            </w:r>
            <w:hyperlink w:anchor="source-6254">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2024年印尼自备电厂装机</w:t>
            </w:r>
          </w:p>
        </w:tc>
        <w:tc>
          <w:tcPr>
            <w:tcW w:type="dxa" w:w="2268"/>
          </w:tcPr>
          <w:p>
            <w:pPr>
              <w:spacing w:after="40"/>
            </w:pPr>
            <w:r>
              <w:rPr>
                <w:rFonts w:ascii="微软雅黑" w:hAnsi="微软雅黑" w:eastAsia="微软雅黑" w:cs="微软雅黑"/>
              </w:rPr>
              <w:t>约25.9 GW（75%煤电）</w:t>
            </w:r>
          </w:p>
        </w:tc>
        <w:tc>
          <w:tcPr>
            <w:tcW w:type="dxa" w:w="2268"/>
          </w:tcPr>
          <w:p>
            <w:pPr>
              <w:spacing w:after="40"/>
            </w:pPr>
            <w:r>
              <w:rPr>
                <w:rFonts w:ascii="微软雅黑" w:hAnsi="微软雅黑" w:eastAsia="微软雅黑" w:cs="微软雅黑"/>
              </w:rPr>
              <w:t>2024</w:t>
            </w:r>
          </w:p>
        </w:tc>
        <w:tc>
          <w:tcPr>
            <w:tcW w:type="dxa" w:w="2268"/>
          </w:tcPr>
          <w:p>
            <w:pPr>
              <w:spacing w:after="40"/>
            </w:pPr>
            <w:r>
              <w:rPr>
                <w:rFonts w:ascii="微软雅黑" w:hAnsi="微软雅黑" w:eastAsia="微软雅黑" w:cs="微软雅黑"/>
              </w:rPr>
            </w:r>
            <w:hyperlink w:anchor="source-6254">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2026年二季度亚洲LNG现货均价</w:t>
            </w:r>
          </w:p>
        </w:tc>
        <w:tc>
          <w:tcPr>
            <w:tcW w:type="dxa" w:w="2268"/>
          </w:tcPr>
          <w:p>
            <w:pPr>
              <w:spacing w:after="40"/>
            </w:pPr>
            <w:r>
              <w:rPr>
                <w:rFonts w:ascii="微软雅黑" w:hAnsi="微软雅黑" w:eastAsia="微软雅黑" w:cs="微软雅黑"/>
              </w:rPr>
              <w:t>17.50美元/MMBtu</w:t>
            </w:r>
          </w:p>
        </w:tc>
        <w:tc>
          <w:tcPr>
            <w:tcW w:type="dxa" w:w="2268"/>
          </w:tcPr>
          <w:p>
            <w:pPr>
              <w:spacing w:after="40"/>
            </w:pPr>
            <w:r>
              <w:rPr>
                <w:rFonts w:ascii="微软雅黑" w:hAnsi="微软雅黑" w:eastAsia="微软雅黑" w:cs="微软雅黑"/>
              </w:rPr>
              <w:t>2026年二季度</w:t>
            </w:r>
          </w:p>
        </w:tc>
        <w:tc>
          <w:tcPr>
            <w:tcW w:type="dxa" w:w="2268"/>
          </w:tcPr>
          <w:p>
            <w:pPr>
              <w:spacing w:after="40"/>
            </w:pPr>
            <w:r>
              <w:rPr>
                <w:rFonts w:ascii="微软雅黑" w:hAnsi="微软雅黑" w:eastAsia="微软雅黑" w:cs="微软雅黑"/>
              </w:rPr>
            </w:r>
            <w:hyperlink w:anchor="source-6173">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同比涨幅</w:t>
            </w:r>
          </w:p>
        </w:tc>
        <w:tc>
          <w:tcPr>
            <w:tcW w:type="dxa" w:w="2268"/>
          </w:tcPr>
          <w:p>
            <w:pPr>
              <w:spacing w:after="40"/>
            </w:pPr>
            <w:r>
              <w:rPr>
                <w:rFonts w:ascii="微软雅黑" w:hAnsi="微软雅黑" w:eastAsia="微软雅黑" w:cs="微软雅黑"/>
              </w:rPr>
              <w:t>45%</w:t>
            </w:r>
          </w:p>
        </w:tc>
        <w:tc>
          <w:tcPr>
            <w:tcW w:type="dxa" w:w="2268"/>
          </w:tcPr>
          <w:p>
            <w:pPr>
              <w:spacing w:after="40"/>
            </w:pPr>
            <w:r>
              <w:rPr>
                <w:rFonts w:ascii="微软雅黑" w:hAnsi="微软雅黑" w:eastAsia="微软雅黑" w:cs="微软雅黑"/>
              </w:rPr>
              <w:t>2026年二季度</w:t>
            </w:r>
          </w:p>
        </w:tc>
        <w:tc>
          <w:tcPr>
            <w:tcW w:type="dxa" w:w="2268"/>
          </w:tcPr>
          <w:p>
            <w:pPr>
              <w:spacing w:after="40"/>
            </w:pPr>
            <w:r>
              <w:rPr>
                <w:rFonts w:ascii="微软雅黑" w:hAnsi="微软雅黑" w:eastAsia="微软雅黑" w:cs="微软雅黑"/>
              </w:rPr>
            </w:r>
            <w:hyperlink w:anchor="source-6173">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被搁置或取消的LNG进口装容</w:t>
            </w:r>
          </w:p>
        </w:tc>
        <w:tc>
          <w:tcPr>
            <w:tcW w:type="dxa" w:w="2268"/>
          </w:tcPr>
          <w:p>
            <w:pPr>
              <w:spacing w:after="40"/>
            </w:pPr>
            <w:r>
              <w:rPr>
                <w:rFonts w:ascii="微软雅黑" w:hAnsi="微软雅黑" w:eastAsia="微软雅黑" w:cs="微软雅黑"/>
              </w:rPr>
              <w:t>约65 mtpa（2024–2025）</w:t>
            </w:r>
          </w:p>
        </w:tc>
        <w:tc>
          <w:tcPr>
            <w:tcW w:type="dxa" w:w="2268"/>
          </w:tcPr>
          <w:p>
            <w:pPr>
              <w:spacing w:after="40"/>
            </w:pPr>
            <w:r>
              <w:rPr>
                <w:rFonts w:ascii="微软雅黑" w:hAnsi="微软雅黑" w:eastAsia="微软雅黑" w:cs="微软雅黑"/>
              </w:rPr>
              <w:t>2024–2025</w:t>
            </w:r>
          </w:p>
        </w:tc>
        <w:tc>
          <w:tcPr>
            <w:tcW w:type="dxa" w:w="2268"/>
          </w:tcPr>
          <w:p>
            <w:pPr>
              <w:spacing w:after="40"/>
            </w:pPr>
            <w:r>
              <w:rPr>
                <w:rFonts w:ascii="微软雅黑" w:hAnsi="微软雅黑" w:eastAsia="微软雅黑" w:cs="微软雅黑"/>
              </w:rPr>
            </w:r>
            <w:hyperlink w:anchor="source-6173">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纽卡斯尔港煤炭期货价格</w:t>
            </w:r>
          </w:p>
        </w:tc>
        <w:tc>
          <w:tcPr>
            <w:tcW w:type="dxa" w:w="2268"/>
          </w:tcPr>
          <w:p>
            <w:pPr>
              <w:spacing w:after="40"/>
            </w:pPr>
            <w:r>
              <w:rPr>
                <w:rFonts w:ascii="微软雅黑" w:hAnsi="微软雅黑" w:eastAsia="微软雅黑" w:cs="微软雅黑"/>
              </w:rPr>
              <w:t>144.05美元/吨</w:t>
            </w:r>
          </w:p>
        </w:tc>
        <w:tc>
          <w:tcPr>
            <w:tcW w:type="dxa" w:w="2268"/>
          </w:tcPr>
          <w:p>
            <w:pPr>
              <w:spacing w:after="40"/>
            </w:pPr>
            <w:r>
              <w:rPr>
                <w:rFonts w:ascii="微软雅黑" w:hAnsi="微软雅黑" w:eastAsia="微软雅黑" w:cs="微软雅黑"/>
              </w:rPr>
              <w:t>9月21日</w:t>
            </w:r>
          </w:p>
        </w:tc>
        <w:tc>
          <w:tcPr>
            <w:tcW w:type="dxa" w:w="2268"/>
          </w:tcPr>
          <w:p>
            <w:pPr>
              <w:spacing w:after="40"/>
            </w:pPr>
            <w:r>
              <w:rPr>
                <w:rFonts w:ascii="微软雅黑" w:hAnsi="微软雅黑" w:eastAsia="微软雅黑" w:cs="微软雅黑"/>
              </w:rPr>
            </w:r>
            <w:hyperlink w:anchor="source-6567">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鹿特丹港煤炭期货价格</w:t>
            </w:r>
          </w:p>
        </w:tc>
        <w:tc>
          <w:tcPr>
            <w:tcW w:type="dxa" w:w="2268"/>
          </w:tcPr>
          <w:p>
            <w:pPr>
              <w:spacing w:after="40"/>
            </w:pPr>
            <w:r>
              <w:rPr>
                <w:rFonts w:ascii="微软雅黑" w:hAnsi="微软雅黑" w:eastAsia="微软雅黑" w:cs="微软雅黑"/>
              </w:rPr>
              <w:t>137.3美元/吨</w:t>
            </w:r>
          </w:p>
        </w:tc>
        <w:tc>
          <w:tcPr>
            <w:tcW w:type="dxa" w:w="2268"/>
          </w:tcPr>
          <w:p>
            <w:pPr>
              <w:spacing w:after="40"/>
            </w:pPr>
            <w:r>
              <w:rPr>
                <w:rFonts w:ascii="微软雅黑" w:hAnsi="微软雅黑" w:eastAsia="微软雅黑" w:cs="微软雅黑"/>
              </w:rPr>
              <w:t>9月21日</w:t>
            </w:r>
          </w:p>
        </w:tc>
        <w:tc>
          <w:tcPr>
            <w:tcW w:type="dxa" w:w="2268"/>
          </w:tcPr>
          <w:p>
            <w:pPr>
              <w:spacing w:after="40"/>
            </w:pPr>
            <w:r>
              <w:rPr>
                <w:rFonts w:ascii="微软雅黑" w:hAnsi="微软雅黑" w:eastAsia="微软雅黑" w:cs="微软雅黑"/>
              </w:rPr>
            </w:r>
            <w:hyperlink w:anchor="source-6567">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布伦特原油期货价格</w:t>
            </w:r>
          </w:p>
        </w:tc>
        <w:tc>
          <w:tcPr>
            <w:tcW w:type="dxa" w:w="2268"/>
          </w:tcPr>
          <w:p>
            <w:pPr>
              <w:spacing w:after="40"/>
            </w:pPr>
            <w:r>
              <w:rPr>
                <w:rFonts w:ascii="微软雅黑" w:hAnsi="微软雅黑" w:eastAsia="微软雅黑" w:cs="微软雅黑"/>
              </w:rPr>
              <w:t>100.34美元/桶</w:t>
            </w:r>
          </w:p>
        </w:tc>
        <w:tc>
          <w:tcPr>
            <w:tcW w:type="dxa" w:w="2268"/>
          </w:tcPr>
          <w:p>
            <w:pPr>
              <w:spacing w:after="40"/>
            </w:pPr>
            <w:r>
              <w:rPr>
                <w:rFonts w:ascii="微软雅黑" w:hAnsi="微软雅黑" w:eastAsia="微软雅黑" w:cs="微软雅黑"/>
              </w:rPr>
              <w:t>9月21日</w:t>
            </w:r>
          </w:p>
        </w:tc>
        <w:tc>
          <w:tcPr>
            <w:tcW w:type="dxa" w:w="2268"/>
          </w:tcPr>
          <w:p>
            <w:pPr>
              <w:spacing w:after="40"/>
            </w:pPr>
            <w:r>
              <w:rPr>
                <w:rFonts w:ascii="微软雅黑" w:hAnsi="微软雅黑" w:eastAsia="微软雅黑" w:cs="微软雅黑"/>
              </w:rPr>
            </w:r>
            <w:hyperlink w:anchor="source-6567">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德国净零目标年份</w:t>
            </w:r>
          </w:p>
        </w:tc>
        <w:tc>
          <w:tcPr>
            <w:tcW w:type="dxa" w:w="2268"/>
          </w:tcPr>
          <w:p>
            <w:pPr>
              <w:spacing w:after="40"/>
            </w:pPr>
            <w:r>
              <w:rPr>
                <w:rFonts w:ascii="微软雅黑" w:hAnsi="微软雅黑" w:eastAsia="微软雅黑" w:cs="微软雅黑"/>
              </w:rPr>
              <w:t>2045年</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6512">
              <w:r>
                <w:rPr>
                  <w:rFonts w:ascii="微软雅黑" w:hAnsi="微软雅黑" w:eastAsia="微软雅黑" w:cs="微软雅黑"/>
                  <w:color w:val="087E89"/>
                </w:rPr>
                <w:t>7</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霍尔木兹海峡供应中断重压东南亚LNG与燃机建设</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IEA警示中东冲突凸显亚洲新兴市场进口LNG依赖的脆弱性，约65 mtpa的LNG进口装容与逾35 GW燃气发电装机被搁置或取消；泰国更新电力规划以减少进口LNG依赖，越南海防4800兆瓦LNG电厂拟改为可再生能源。</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2024至2025年间，约65 mtpa的LNG进口装容被搁置或取消，规模与已运营约63 mtpa相当；同期逾35 GW燃气发电装机被搁置或取消。卡塔尔LNG约占全球供应的20%，对价格敏感的亚洲新兴市场冲击尤为显著。2026年二季度亚洲LNG现货均价17.50美元/MMBtu，同比上涨45%；上半年亚洲天然气需求下降约0.5%（近5 bcm），主因高价格、燃料切换与需求侧措施。泰国明确援引该冲突以减少进口LNG依赖；越南Vingroup提议撤销其拟建的4800兆瓦海防LNG电厂，改为可再生能源发电。拥有国产天然气的国家缓冲空间更大，马来西亚通过增加海上气田供应以满足上升的电力需求。</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亚洲新兴市场对LNG供应冲击高度敏感，已有规划项目因风险评估发生转向。</w:t>
      </w:r>
    </w:p>
    <w:p>
      <w:pPr>
        <w:ind w:firstLine="420"/>
      </w:pPr>
      <w:r>
        <w:rPr>
          <w:rFonts w:ascii="微软雅黑" w:hAnsi="微软雅黑" w:eastAsia="微软雅黑" w:cs="微软雅黑"/>
        </w:rPr>
        <w:t>来源：</w:t>
      </w:r>
      <w:hyperlink w:anchor="source-6173">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2. 美国以自愿减出口替代柴油正式出口禁令</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美国能源部长赖特宣布，特朗普政府正与国内炼厂合作，以自愿减少美国柴油出口的方式，作为正式海外出口禁令的替代方案；同期沙特准备通过东西向管道恢复石油出口。</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能源部长赖特称，特朗普政府正与国内炼厂合作，自愿减少美国柴油出口，以替代正式的海外出口禁令。沙特阿拉伯准备通过此前因无人机袭击关闭的东西向管道恢复石油出口，缓解供应担忧并限制油价上行压力。乌克兰总统泽连斯基透露，近期与特朗普讨论了潜在的能源停火，若能源基础设施袭击暂停，黑海地区石油运输可能改善。</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供应端恢复与潜在停火预期共同压过地缘风险，限制油价上行空间。</w:t>
      </w:r>
    </w:p>
    <w:p>
      <w:pPr>
        <w:ind w:firstLine="420"/>
      </w:pPr>
      <w:r>
        <w:rPr>
          <w:rFonts w:ascii="微软雅黑" w:hAnsi="微软雅黑" w:eastAsia="微软雅黑" w:cs="微软雅黑"/>
        </w:rPr>
        <w:t>来源：</w:t>
      </w:r>
      <w:hyperlink w:anchor="source-6275">
        <w:r>
          <w:rPr>
            <w:rFonts w:ascii="微软雅黑" w:hAnsi="微软雅黑" w:eastAsia="微软雅黑" w:cs="微软雅黑"/>
            <w:color w:val="087E89"/>
          </w:rPr>
          <w:t>22</w:t>
        </w:r>
      </w:hyperlink>
      <w:r>
        <w:rPr>
          <w:rFonts w:ascii="微软雅黑" w:hAnsi="微软雅黑" w:eastAsia="微软雅黑" w:cs="微软雅黑"/>
        </w:rPr>
        <w:t xml:space="preserve"> </w:t>
      </w:r>
      <w:hyperlink w:anchor="source-6338">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3. 全球三大煤价同比涨幅扩大，欧洲电价同步走高</w:t>
      </w:r>
    </w:p>
    <w:p>
      <w:pPr>
        <w:keepNext/>
      </w:pPr>
      <w:r>
        <w:rPr>
          <w:rFonts w:ascii="微软雅黑" w:hAnsi="微软雅黑" w:eastAsia="微软雅黑" w:cs="微软雅黑"/>
        </w:rPr>
        <w:t>领域：石油与炼化</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截至9月21日，纽卡斯尔港、鹿特丹港、理查兹港煤炭期货价格分别报收于144.05美元/吨、137.3美元/吨、123.1美元/吨，同比上涨38.64%、47.79%、46.55%。同期WTI、布伦特原油期货分别收于95.78美元/桶、100.34美元/桶，月环比上涨10.02%、6.30%，同比上涨53.79%、50.73%。</w:t>
      </w:r>
    </w:p>
    <w:p>
      <w:pPr>
        <w:ind w:firstLine="420"/>
      </w:pPr>
      <w:r>
        <w:rPr>
          <w:rFonts w:ascii="微软雅黑" w:hAnsi="微软雅黑" w:eastAsia="微软雅黑" w:cs="微软雅黑"/>
        </w:rPr>
        <w:t>来源：</w:t>
      </w:r>
      <w:hyperlink w:anchor="source-6567">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4. 法国扩大燃油援助至4.5亿欧元，多国应对高油价</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法国政府22日宣布推出总额4.5亿欧元的燃油援助措施，扩大对高里程驾驶者的补贴范围，并将农业、建筑业和渔业等高燃油成本行业的援助延长至今年年底。同日德国联邦与州政府同意为驾车者和企业提供25亿欧元纾困方案；意大利推出车辆持有税减免；法国渔民封锁地中海沿岸港口和一处燃油库，北部一些加油站遭破坏。</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高里程驾驶者补贴的受益人数和金额上限均有提升。法国经济财政部长罗兰·莱斯屈尔21日表示，法国战略燃油储备充足，现阶段不存在供应问题。法国22日柴油平均价格达每升2.41欧元创历史新高，98号汽油和SP95-E10汽油均价分别升至每升2.27欧元和2.17欧元；德国汽油均价创纪录地升至每升2.31欧元（约每加仑10美元），柴油价格更高。</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截至8月，欧洲售出车辆中超过三分之一为插电式车型，高于此前略高于四分之一的水平；主要市场燃油价格上涨超过四分之一。</w:t>
      </w:r>
    </w:p>
    <w:p>
      <w:pPr>
        <w:ind w:firstLine="420"/>
      </w:pPr>
      <w:r>
        <w:rPr>
          <w:rFonts w:ascii="微软雅黑" w:hAnsi="微软雅黑" w:eastAsia="微软雅黑" w:cs="微软雅黑"/>
        </w:rPr>
        <w:t>来源：</w:t>
      </w:r>
      <w:hyperlink w:anchor="source-6486">
        <w:r>
          <w:rPr>
            <w:rFonts w:ascii="微软雅黑" w:hAnsi="微软雅黑" w:eastAsia="微软雅黑" w:cs="微软雅黑"/>
            <w:color w:val="087E89"/>
          </w:rPr>
          <w:t>24</w:t>
        </w:r>
      </w:hyperlink>
      <w:r>
        <w:rPr>
          <w:rFonts w:ascii="微软雅黑" w:hAnsi="微软雅黑" w:eastAsia="微软雅黑" w:cs="微软雅黑"/>
        </w:rPr>
        <w:t xml:space="preserve"> </w:t>
      </w:r>
      <w:hyperlink w:anchor="source-6335">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5. 俄罗斯2026年前八月天然气产量同比增长3.4%至4465亿立方米</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俄罗斯联邦统计局Rosstat数据显示，2026年前八个月俄罗斯天然气总产量同比增长3.4%，达到4465亿立方米。</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数据来源为俄罗斯联邦统计局Rosstat，覆盖2026年前八个月的天然气总产量，同比增长3.4%，总量为4465亿立方米。</w:t>
      </w:r>
    </w:p>
    <w:p>
      <w:pPr>
        <w:ind w:firstLine="420"/>
      </w:pPr>
      <w:r>
        <w:rPr>
          <w:rFonts w:ascii="微软雅黑" w:hAnsi="微软雅黑" w:eastAsia="微软雅黑" w:cs="微软雅黑"/>
        </w:rPr>
        <w:t>来源：</w:t>
      </w:r>
      <w:hyperlink w:anchor="source-6288">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6. 俄政府更新到2050年煤炭工业发展计划</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俄罗斯联邦政府更新了到2050年的煤炭工业发展计划，目标情景下煤炭产量将增至6.6亿吨，出口量增至3.5亿吨。更新后的计划围绕六个方向展开新投资周期。</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计划包括在俄罗斯东部——雅库特、图瓦、哈卡斯、外贝加尔、泰米尔和楚科奇建立新的煤炭开采中心。六个方向为：技术主权、东部新矿区开发、煤发电与煤化工、出口扩张、安全与环保、社会稳定。诺瓦克表示，到2050年煤炭行业增加值将增长6倍，总乘数效应接近10万亿卢布。</w:t>
      </w:r>
    </w:p>
    <w:p>
      <w:pPr>
        <w:ind w:firstLine="420"/>
      </w:pPr>
      <w:r>
        <w:rPr>
          <w:rFonts w:ascii="微软雅黑" w:hAnsi="微软雅黑" w:eastAsia="微软雅黑" w:cs="微软雅黑"/>
        </w:rPr>
        <w:t>来源：</w:t>
      </w:r>
      <w:hyperlink w:anchor="source-6371">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7. 意大利议会通过法案为重返核能铺路</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意大利议会通过一项法律，重新允许国内发展核能，为未来核项目建立法律基础。法案本身并不授权建设任何反应堆，而是在未来12个月内为政府起草涵盖许可、安全、废物管理与场址标准的实施细则建立框架。</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法案重点推动新一代核技术，包括小型模块化反应堆（SMR）。行业估算单座300兆瓦SMR造价介于30亿至60亿欧元，尚不含基础设施与电网费用。政府以电力需求上升、气候目标以及俄乌冲突后的能源安全考量为由推动立法。此前意大利环境与能源安全部长Pichetto Fratin表示，新一代可持续核能与可再生能源结合，可助力意大利实现2050年碳中和与能源安全。法国Nuward、EDF与意大利Edison、Ansaldo、Maire发表联合声明，目标是2035年前在意大利部署首座SMR。1987年意大利就核能举行全民公投，多数公民投票反对，最后一批核电站于1990年关闭。</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立法符合总理梅洛尼的政策，旨在保护经济免受能源价格上涨影响，并降低对外国能源供应的依赖。</w:t>
      </w:r>
    </w:p>
    <w:p>
      <w:pPr>
        <w:ind w:firstLine="420"/>
      </w:pPr>
      <w:r>
        <w:rPr>
          <w:rFonts w:ascii="微软雅黑" w:hAnsi="微软雅黑" w:eastAsia="微软雅黑" w:cs="微软雅黑"/>
        </w:rPr>
        <w:t>来源：</w:t>
      </w:r>
      <w:hyperlink w:anchor="source-6080">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6083">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6505">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8. 西屋-贝克特尔联合体与波兰就首座核电站EPC条款达成一致</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西屋-贝克特尔联合体与波兰核能公司（PEJ）就波兰首座核电站工程、采购与施工（EPC）合同的主要商业与法律条款达成一致，计划于年底前完成合同谈判。</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波兰首座核电站首台机组预计于2036年向波兰电网送电。</w:t>
      </w:r>
    </w:p>
    <w:p>
      <w:pPr>
        <w:ind w:firstLine="420"/>
      </w:pPr>
      <w:r>
        <w:rPr>
          <w:rFonts w:ascii="微软雅黑" w:hAnsi="微软雅黑" w:eastAsia="微软雅黑" w:cs="微软雅黑"/>
        </w:rPr>
        <w:t>来源：</w:t>
      </w:r>
      <w:hyperlink w:anchor="source-6547">
        <w:r>
          <w:rPr>
            <w:rFonts w:ascii="微软雅黑" w:hAnsi="微软雅黑" w:eastAsia="微软雅黑" w:cs="微软雅黑"/>
            <w:color w:val="087E89"/>
          </w:rPr>
          <w:t>27</w:t>
        </w:r>
      </w:hyperlink>
      <w:r>
        <w:rPr>
          <w:rFonts w:ascii="微软雅黑" w:hAnsi="微软雅黑" w:eastAsia="微软雅黑" w:cs="微软雅黑"/>
        </w:rPr>
      </w:r>
    </w:p>
    <w:p>
      <w:pPr>
        <w:pStyle w:val="Heading3"/>
      </w:pPr>
      <w:r>
        <w:rPr>
          <w:rFonts w:ascii="微软雅黑" w:hAnsi="微软雅黑" w:eastAsia="微软雅黑" w:cs="微软雅黑"/>
        </w:rPr>
        <w:t>9. 印尼自备煤电支撑镍加工，2025年发电量超161太瓦时</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Ember发布报告称，2025年印尼自备电力发电量估计超过161太瓦时，其中镍加工行业约占一半，消耗的自备电力超过81太瓦时，94%以上来自燃煤发电。</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告披露，2025年印尼工业部门自备电源发电量超过161太瓦时，约为同期印尼国家电力公司面向工业用户售电量的1.7倍；其中镍行业自备用电超过81太瓦时、约95%来自煤炭。至2024年印尼已建成约25.9吉瓦自备电厂，75%以煤炭为燃料，镍冶炼行业自备电源装机约14吉瓦、95%为煤电；近60%的自备煤电用于镍加工，其次为纸浆造纸（约22太瓦时）和工业园（约13.5太瓦时）。可再生能源约占自备电力总需求的10%，铝业约4太瓦时来自水电。2024年自备电厂排放约1.196亿吨二氧化碳，2025年升至约1.35亿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自备电厂排放约占并网电厂排放的48%（2024年），是印尼电力部门减排的关键变量；目前排放上限仅针对接入PLN电网的燃煤电厂，自备电厂2025年才被纳入碳市场范围。</w:t>
      </w:r>
    </w:p>
    <w:p>
      <w:pPr>
        <w:ind w:firstLine="420"/>
      </w:pPr>
      <w:r>
        <w:rPr>
          <w:rFonts w:ascii="微软雅黑" w:hAnsi="微软雅黑" w:eastAsia="微软雅黑" w:cs="微软雅黑"/>
        </w:rPr>
        <w:t>来源：</w:t>
      </w:r>
      <w:hyperlink w:anchor="source-6254">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10. 氢能欧洲呼吁2030年后延续RED III氢能强制目标</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氢能欧洲发布政策立场，呼吁在2030年之后继续维持《可再生能源指令》（RED III）针对交通和工业领域的RFNBO氢能强制性目标和强制要求，并将氢能定位为欧盟能源安全、竞争力和气候目标的韧性资产。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氢能欧洲在最新政策声明中提出三项核心诉求：一是要求欧盟立法者在2030年之后保留RED III中针对交通和工业用氢的RFNBO强制性配额；二是强调氢能可在减少弃电、提供季节性储能和电网灵活性方面发挥作用；三是披露迄今欧洲已承诺逾150亿欧元投资于终端用氢应用，金额为全球最大。声明将氢能定位为支撑欧盟能源安全、产业竞争力与气候目标协同推进的韧性资产。</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若2030年后强制目标延续，可为欧洲终端用氢项目提供持续政策确定性，强化其作为全球最大氢能投资目的地的地位。</w:t>
      </w:r>
    </w:p>
    <w:p>
      <w:pPr>
        <w:ind w:firstLine="420"/>
      </w:pPr>
      <w:r>
        <w:rPr>
          <w:rFonts w:ascii="微软雅黑" w:hAnsi="微软雅黑" w:eastAsia="微软雅黑" w:cs="微软雅黑"/>
        </w:rPr>
        <w:t>来源：</w:t>
      </w:r>
      <w:hyperlink w:anchor="source-6321">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11. 德国通过化石燃料转型路线图并重申2045年净零目标</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德国联邦内阁通过了一项覆盖能源、工业、建筑和交通领域的化石燃料转型路线图，并重申2045年实现温室气体净零排放的目标。德国成为继法国和荷兰之后第三个提交此类路线图的国家。</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路线图由德国联邦内阁通过，覆盖能源、工业、建筑和交通四大领域。德国同时重申到2045年实现温室气体净零排放的承诺。该路线图进程由巴西总统卢拉在去年的气候大会上发起，今年早些时候约60国在哥伦比亚圣玛尔塔举行会议推进，即将卸任的联合国秘书长古特雷斯本周再次呼吁各国提交国家路线图。德国是继法国和荷兰之后第三个提交此类化石燃料转型路线图的国家。</w:t>
      </w:r>
    </w:p>
    <w:p>
      <w:pPr>
        <w:ind w:firstLine="420"/>
      </w:pPr>
      <w:r>
        <w:rPr>
          <w:rFonts w:ascii="微软雅黑" w:hAnsi="微软雅黑" w:eastAsia="微软雅黑" w:cs="微软雅黑"/>
        </w:rPr>
        <w:t>来源：</w:t>
      </w:r>
      <w:hyperlink w:anchor="source-6512">
        <w:r>
          <w:rPr>
            <w:rFonts w:ascii="微软雅黑" w:hAnsi="微软雅黑" w:eastAsia="微软雅黑" w:cs="微软雅黑"/>
            <w:color w:val="087E89"/>
          </w:rPr>
          <w:t>7</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12. 内蒙古细化新能源就近消纳价格机制适用范围与过渡安排</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内蒙古发布补充通知，明确2025年10月1日后接网的源网荷储一体化、风光制氢一体化、全额自发自用新能源及绿电直连项目全部按新能源就近消纳价格机制执行，并对容量备份项目缴费标准作出界定调整。</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通知规定：2025年10月1日后接网的源网荷储一体化、风光制氢一体化、全额自发自用新能源（不含公用燃煤电厂厂用电替代）及绿电直连项目，全部按新能源就近消纳价格机制执行。燃煤自备电厂可再生能源替代、循环经济示范工程联网运行及自备电厂火电灵活性改造项目，以“户”为整体按现行自备电厂政策缴纳费用，覆盖燃煤自备机组与各类新能源的全部自发自用电量。容量备份项目可继续按两部制输配电价模式缴费，界定标准由“两路及以上多回路供电”调整为“供电线路或受电变压器满足N-1原则要求，项目用电负荷按本期最大负荷确定”。</w:t>
      </w:r>
    </w:p>
    <w:p>
      <w:pPr>
        <w:ind w:firstLine="420"/>
      </w:pPr>
      <w:r>
        <w:rPr>
          <w:rFonts w:ascii="微软雅黑" w:hAnsi="微软雅黑" w:eastAsia="微软雅黑" w:cs="微软雅黑"/>
        </w:rPr>
        <w:t>来源：</w:t>
      </w:r>
      <w:hyperlink w:anchor="source-6333">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13. 发改委上调汽柴油价格并实施临时调控收窄涨幅</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国家发改委公告自9月24日24时起，国内汽、柴油价格每吨分别上调395元、385元。国际原油价格近期快速上涨后回落再冲高，国家继续对成品油价格采取临时调控措施。</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自9月11日国内成品油价格调整以来，中东地缘局势复杂多变，国际市场原油价格快速上涨后回落，近日又再度冲高。按现行价格机制计算，9月24日24时起汽、柴油（标准品）每吨原本应分别上调830元、800元，调控后实际上调幅度收窄至395元、385元。</w:t>
      </w:r>
    </w:p>
    <w:p>
      <w:pPr>
        <w:ind w:firstLine="420"/>
      </w:pPr>
      <w:r>
        <w:rPr>
          <w:rFonts w:ascii="微软雅黑" w:hAnsi="微软雅黑" w:eastAsia="微软雅黑" w:cs="微软雅黑"/>
        </w:rPr>
        <w:t>来源：</w:t>
      </w:r>
      <w:hyperlink w:anchor="source-6334">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14. 海南环岛天然气管网累计输气突破350亿立方米</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国家管网集团9月23日宣布，海南环岛天然气管网累计向全省输送清洁天然气超350亿立方米，形成全岛“O”字型闭环运行，长期稳定保障全省7家燃气电厂用气。</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海南环岛管网总里程899公里，设14座工艺站场、42座阀室，途经海口、三亚、文昌、陵水、乐东等14个市县，主要向电厂、工业用户和城市燃气供气。2021年7月23日文昌—琼海—三亚输气管道投产，填补海南东部无管道天然气空白，实现“东西合璧”。2026年3月6座无人值守站场投运，自主运维率达82%，实现12种工况“一键操作”、4种自动分输模式全程无人介入，站场故障响应速度提升3倍。管网同时统筹海上气田、LNG接收站等多气源资源。</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350亿立方米天然气折合替代标煤约4660万吨，减少粉尘排放约2540万吨、二氧化碳排放约5120万吨。</w:t>
      </w:r>
    </w:p>
    <w:p>
      <w:pPr>
        <w:ind w:firstLine="420"/>
      </w:pPr>
      <w:r>
        <w:rPr>
          <w:rFonts w:ascii="微软雅黑" w:hAnsi="微软雅黑" w:eastAsia="微软雅黑" w:cs="微软雅黑"/>
        </w:rPr>
        <w:t>来源：</w:t>
      </w:r>
      <w:hyperlink w:anchor="source-6279">
        <w:r>
          <w:rPr>
            <w:rFonts w:ascii="微软雅黑" w:hAnsi="微软雅黑" w:eastAsia="微软雅黑" w:cs="微软雅黑"/>
            <w:color w:val="087E89"/>
          </w:rPr>
          <w:t>20</w:t>
        </w:r>
      </w:hyperlink>
      <w:r>
        <w:rPr>
          <w:rFonts w:ascii="微软雅黑" w:hAnsi="微软雅黑" w:eastAsia="微软雅黑" w:cs="微软雅黑"/>
        </w:rPr>
        <w:t xml:space="preserve"> </w:t>
      </w:r>
      <w:hyperlink w:anchor="source-6217">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15. 三部门联合部署煤炭稳产保供工作</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国家发展改革委、国家能源局、国家矿山安监局联合印发通知，全面部署煤炭稳产保供工作，为即将到来的供暖季筑牢能源保障底线。眼下正值夏秋交替过渡期，是冬储补库、备战寒冬的窗口期。</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通知要求所有保供工作必须以安全生产为前提，作为不可逾越的红线。同时要求稳妥推进煤矿复产达产，加快联合试运转煤矿验收，推动煤炭产量平稳回升，实现安全与保供双向兼顾。政策组合包括严格落实电煤中长期合同制度以对冲现货波动，并科学发挥进口煤炭的补充调剂作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煤炭仍是保障电力稳定、托举民生用能的“压舱石”，相关部署有助于稳定冬季供暖用煤预期。</w:t>
      </w:r>
    </w:p>
    <w:p>
      <w:pPr>
        <w:ind w:firstLine="420"/>
      </w:pPr>
      <w:r>
        <w:rPr>
          <w:rFonts w:ascii="微软雅黑" w:hAnsi="微软雅黑" w:eastAsia="微软雅黑" w:cs="微软雅黑"/>
        </w:rPr>
        <w:t>来源：</w:t>
      </w:r>
      <w:hyperlink w:anchor="source-6176">
        <w:r>
          <w:rPr>
            <w:rFonts w:ascii="微软雅黑" w:hAnsi="微软雅黑" w:eastAsia="微软雅黑" w:cs="微软雅黑"/>
            <w:color w:val="087E89"/>
          </w:rPr>
          <w:t>13</w:t>
        </w:r>
      </w:hyperlink>
      <w:r>
        <w:rPr>
          <w:rFonts w:ascii="微软雅黑" w:hAnsi="微软雅黑" w:eastAsia="微软雅黑" w:cs="微软雅黑"/>
        </w:rPr>
        <w:t xml:space="preserve"> </w:t>
      </w:r>
      <w:hyperlink w:anchor="source-6432">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16. 中广核电力出资7000万元设立合资公司开发陆丰3、4号机组</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广核电力董事会于2026年9月24日审议通过与中国一重、陆丰投控、明阳集团、久立集团、久立特材及宁德时代肇庆公司共同设立合资公司粤汕核电，负责陆丰3、4号机组核电项目的开发、建设和运营，并推动该项目申报国家核准。</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粤汕核电初始注册资本1亿元，中广核电力现金出资7000万元持股70%，乙方合计现金出资3000万元持股30%。粤汕核电将作为非全资附属公司，其财务业绩、资产及负债并入中广核电力集团合并报表。陆丰3、4号机组建成价尚未最终厘定，集团初步预估项目总投资金额约人民币380亿元，实际金额以最终审定的项目建成价为准。资金来源为公司自有资金。</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公告预期本次交易对集团截至2026年12月31日止财年的有形资产净值或每股盈利并无重大影响。</w:t>
      </w:r>
    </w:p>
    <w:p>
      <w:pPr>
        <w:ind w:firstLine="420"/>
      </w:pPr>
      <w:r>
        <w:rPr>
          <w:rFonts w:ascii="微软雅黑" w:hAnsi="微软雅黑" w:eastAsia="微软雅黑" w:cs="微软雅黑"/>
        </w:rPr>
        <w:t>来源：</w:t>
      </w:r>
      <w:hyperlink w:anchor="source-6534">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17. 湖北“十五五”首个特高压交流扩建项目开工</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湖北“十五五”规划首个特高压扩建项目荆门特高压站扩建工程正式开工。该站原为晋东南—南阳—荆门特高压交流工程末端站点，2022年华中“日”字形交流环网建成后升级为环网核心枢纽。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荆门特高压站原为我国首条商业化运行的特高压交流工程晋东南至南阳至荆门工程的末端站点。2022年底华中“日”字形特高压交流环网逐步建成后，该站升级为衔接华北电网与华中各省的环网核心枢纽，承担水火互济、错峰调峰、新能源消纳和跨省电力交易等功能。扩建后荆门站将与金沙江—湖北、陕北—湖北两条“外电入鄂”特高压直流通道及华中特高压交流环网其余节点共同构成一体化能源网架。工程投运后，三峡近区电源送出瓶颈有望打通，华中特高压网架布局进一步完善，风光水火多能互补的资源优化配置平台加速成型。</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来源未明确量化影响，仅指出三峡近区电源送出瓶颈有望打通，华中特高压网架布局进一步完善。</w:t>
      </w:r>
    </w:p>
    <w:p>
      <w:pPr>
        <w:ind w:firstLine="420"/>
      </w:pPr>
      <w:r>
        <w:rPr>
          <w:rFonts w:ascii="微软雅黑" w:hAnsi="微软雅黑" w:eastAsia="微软雅黑" w:cs="微软雅黑"/>
        </w:rPr>
        <w:t>来源：</w:t>
      </w:r>
      <w:hyperlink w:anchor="source-6328">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18. 国内首个规模化应用18兆瓦海上风机项目全容量投运</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中广核广东阳江帆石200万千瓦海上风电项目于9月24日实现全容量投运，成为国内首个规模化应用18兆瓦超大型海上风机的项目。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位于阳江市阳东区南鹏岛南面海域，由帆石一、帆石二组成，共布置131台风机，其中33台为18兆瓦机型。项目同步建成国内首个海上风电场500千伏中间无功补偿站，破解大容量海上风电长距离并网难题。全容量投运后年发电量超66亿千瓦时，等效节约标煤约192万吨、减排二氧化碳约510万吨，相当于新增造林面积约1.4万公顷。满负荷运转下叶轮每旋转一圈可发电约43度。</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大型海上风机可减少风机点位数量，并降低海底电缆、海上基础和海域使用相关成本，向主要沿海能耗中心就近供应清洁电力。</w:t>
      </w:r>
    </w:p>
    <w:p>
      <w:pPr>
        <w:ind w:firstLine="420"/>
      </w:pPr>
      <w:r>
        <w:rPr>
          <w:rFonts w:ascii="微软雅黑" w:hAnsi="微软雅黑" w:eastAsia="微软雅黑" w:cs="微软雅黑"/>
        </w:rPr>
        <w:t>来源：</w:t>
      </w:r>
      <w:hyperlink w:anchor="source-6395">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6497">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19. 8月全社会用电量再破万亿千瓦时，最大负荷创新高</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国家能源局发布数据显示，2026年8月全社会用电量10332亿千瓦时，同比增长1.7%；最大用电负荷达15.6亿千瓦，创历史新高。1—8月全社会用电量累计71730亿千瓦时，同比增长4.3%。</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居民生活用电同比下降，官方解释为8月台风、强降雨较去年同期增多，空调用电明显减少。1—8月累计用电量同比增长4.3%，单月最大负荷刷新历史高点。</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用电负荷新高与极端天气交替出现，对迎峰度夏保供和电网调度提出更高要求。</w:t>
      </w:r>
    </w:p>
    <w:p>
      <w:pPr>
        <w:ind w:firstLine="420"/>
      </w:pPr>
      <w:r>
        <w:rPr>
          <w:rFonts w:ascii="微软雅黑" w:hAnsi="微软雅黑" w:eastAsia="微软雅黑" w:cs="微软雅黑"/>
        </w:rPr>
        <w:t>来源：</w:t>
      </w:r>
      <w:hyperlink w:anchor="source-6216">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20. 粤港澳大湾区首个变速抽水蓄能电站全面蓄水</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广东肇庆浪江抽水蓄能电站上下水库近日同时启动蓄水，工程建设正式进入投产冲刺阶段。该电站是粤港澳大湾区首个变速抽水蓄能工程。</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电站上下水库海拔落差约440米，分别建成高94米、长530米和高73米、长595米两座大坝，总库容约1800万立方米；蓄水充足后每小时可将112万立方米水能转化为120万度电。南方首次采用“蓄补结合、分级控制”方式，设740多个测点监测大坝变形、沉降，年内力争蓄水400万立方米；首台国产变速抽蓄机组正在安装，常规机组进入调试，预计首台机组年底前投产。</w:t>
      </w:r>
    </w:p>
    <w:p>
      <w:pPr>
        <w:ind w:firstLine="420"/>
      </w:pPr>
      <w:r>
        <w:rPr>
          <w:rFonts w:ascii="微软雅黑" w:hAnsi="微软雅黑" w:eastAsia="微软雅黑" w:cs="微软雅黑"/>
        </w:rPr>
        <w:t>来源：</w:t>
      </w:r>
      <w:hyperlink w:anchor="source-6215">
        <w:r>
          <w:rPr>
            <w:rFonts w:ascii="微软雅黑" w:hAnsi="微软雅黑" w:eastAsia="微软雅黑" w:cs="微软雅黑"/>
            <w:color w:val="087E89"/>
          </w:rPr>
          <w:t>26</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报告指出需建立工厂级综合数据库支撑PR 112/2022及碳市场基准设计；不同口径数据存在差异，如HEESI 2025与Ditjen Gatrik《2024年电力统计》在东南苏拉威西自备煤电装机上差距明显。 </w:t>
      </w:r>
      <w:hyperlink w:anchor="source-6254">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霍尔木兹海峡通航是否进一步受限，以及各国电力规划中LNG与替代能源比例调整的落地情况。 </w:t>
      </w:r>
      <w:hyperlink w:anchor="source-6173">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后续18兆瓦机组的运行可靠性、规模化制造与运维成本变化尚待观察。 </w:t>
      </w:r>
      <w:hyperlink w:anchor="source-6395">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6497">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路线图具体落实措施及后续行业实施细则尚待公布。 </w:t>
      </w:r>
      <w:hyperlink w:anchor="source-6512">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恢复核电生产需要时间，意大利何时能开始建设和使用核能设施尚不清楚；反对党表示，一旦确定反应堆和放射性废物储存设施的具体选址，将对相关项目提出质疑。 </w:t>
      </w:r>
      <w:hyperlink w:anchor="source-6080">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6083">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6505">
        <w:r>
          <w:rPr>
            <w:rFonts w:ascii="微软雅黑" w:hAnsi="微软雅黑" w:eastAsia="微软雅黑" w:cs="微软雅黑"/>
            <w:color w:val="087E89"/>
          </w:rPr>
          <w:t>10</w:t>
        </w:r>
      </w:hyperlink>
      <w:r>
        <w:rPr>
          <w:rFonts w:ascii="微软雅黑" w:hAnsi="微软雅黑" w:eastAsia="微软雅黑" w:cs="微软雅黑"/>
        </w:rPr>
      </w:r>
    </w:p>
    <w:p>
      <w:pPr>
        <w:pStyle w:val="ListBullet"/>
      </w:pPr>
      <w:r>
        <w:rPr>
          <w:rFonts w:ascii="微软雅黑" w:hAnsi="微软雅黑" w:eastAsia="微软雅黑" w:cs="微软雅黑"/>
        </w:rPr>
        <w:t xml:space="preserve">欧盟委员会与成员国就2030年后RED III框架修订的实际谈判进展；氢能欧洲所提强制目标能否进入最终立法文本。 </w:t>
      </w:r>
      <w:hyperlink w:anchor="source-6321">
        <w:r>
          <w:rPr>
            <w:rFonts w:ascii="微软雅黑" w:hAnsi="微软雅黑" w:eastAsia="微软雅黑" w:cs="微软雅黑"/>
            <w:color w:val="087E89"/>
          </w:rPr>
          <w:t>11</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296 篇文章，形成 291 篇有效能源材料；正文引用 27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1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6254"/>
      <w:bookmarkEnd w:id="1" w:name="source-6254"/>
    </w:p>
    <w:p>
      <w:pPr>
        <w:pStyle w:val="ListBullet"/>
      </w:pPr>
      <w:r>
        <w:rPr>
          <w:rFonts w:ascii="微软雅黑" w:hAnsi="微软雅黑" w:eastAsia="微软雅黑" w:cs="微软雅黑"/>
        </w:rPr>
        <w:t>[1] Ember能源智库｜</w:t>
      </w:r>
      <w:hyperlink r:id="rId11">
        <w:r>
          <w:rPr>
            <w:rFonts w:ascii="微软雅黑" w:hAnsi="微软雅黑" w:eastAsia="微软雅黑" w:cs="微软雅黑"/>
            <w:color w:val="087E89"/>
          </w:rPr>
          <w:t>印尼自备煤电巨头：更优数据塑造工业竞争力</w:t>
        </w:r>
      </w:hyperlink>
      <w:r>
        <w:rPr>
          <w:rFonts w:ascii="微软雅黑" w:hAnsi="微软雅黑" w:eastAsia="微软雅黑" w:cs="微软雅黑"/>
        </w:rPr>
      </w:r>
    </w:p>
    <w:p>
      <w:pPr>
        <w:spacing w:after="0" w:line="20" w:lineRule="exact"/>
      </w:pPr>
      <w:bookmarkStart w:id="2" w:name="source-6173"/>
      <w:bookmarkEnd w:id="2" w:name="source-6173"/>
    </w:p>
    <w:p>
      <w:pPr>
        <w:pStyle w:val="ListBullet"/>
      </w:pPr>
      <w:r>
        <w:rPr>
          <w:rFonts w:ascii="微软雅黑" w:hAnsi="微软雅黑" w:eastAsia="微软雅黑" w:cs="微软雅黑"/>
        </w:rPr>
        <w:t>[2] 全球能源监测｜</w:t>
      </w:r>
      <w:hyperlink r:id="rId12">
        <w:r>
          <w:rPr>
            <w:rFonts w:ascii="微软雅黑" w:hAnsi="微软雅黑" w:eastAsia="微软雅黑" w:cs="微软雅黑"/>
            <w:color w:val="087E89"/>
          </w:rPr>
          <w:t>霍尔木兹海峡供应中断对东南亚天然气建设构成压力测试</w:t>
        </w:r>
      </w:hyperlink>
      <w:r>
        <w:rPr>
          <w:rFonts w:ascii="微软雅黑" w:hAnsi="微软雅黑" w:eastAsia="微软雅黑" w:cs="微软雅黑"/>
        </w:rPr>
      </w:r>
    </w:p>
    <w:p>
      <w:pPr>
        <w:spacing w:after="0" w:line="20" w:lineRule="exact"/>
      </w:pPr>
      <w:bookmarkStart w:id="3" w:name="source-6567"/>
      <w:bookmarkEnd w:id="3" w:name="source-6567"/>
    </w:p>
    <w:p>
      <w:pPr>
        <w:pStyle w:val="ListBullet"/>
      </w:pPr>
      <w:r>
        <w:rPr>
          <w:rFonts w:ascii="微软雅黑" w:hAnsi="微软雅黑" w:eastAsia="微软雅黑" w:cs="微软雅黑"/>
        </w:rPr>
        <w:t>[3] 中国能源新闻网 · 中能财经 | 全球能源价格走势分析报告｜</w:t>
      </w:r>
      <w:hyperlink r:id="rId13">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4" w:name="source-6395"/>
      <w:bookmarkEnd w:id="4" w:name="source-6395"/>
    </w:p>
    <w:p>
      <w:pPr>
        <w:pStyle w:val="ListBullet"/>
      </w:pPr>
      <w:r>
        <w:rPr>
          <w:rFonts w:ascii="微软雅黑" w:hAnsi="微软雅黑" w:eastAsia="微软雅黑" w:cs="微软雅黑"/>
        </w:rPr>
        <w:t>[4] 科技日报｜</w:t>
      </w:r>
      <w:hyperlink r:id="rId14">
        <w:r>
          <w:rPr>
            <w:rFonts w:ascii="微软雅黑" w:hAnsi="微软雅黑" w:eastAsia="微软雅黑" w:cs="微软雅黑"/>
            <w:color w:val="087E89"/>
          </w:rPr>
          <w:t>国内首个规模化应用18兆瓦超大型海上风电机组项目在广东阳江投运</w:t>
        </w:r>
      </w:hyperlink>
      <w:r>
        <w:rPr>
          <w:rFonts w:ascii="微软雅黑" w:hAnsi="微软雅黑" w:eastAsia="微软雅黑" w:cs="微软雅黑"/>
        </w:rPr>
      </w:r>
    </w:p>
    <w:p>
      <w:pPr>
        <w:spacing w:after="0" w:line="20" w:lineRule="exact"/>
      </w:pPr>
      <w:bookmarkStart w:id="5" w:name="source-6497"/>
      <w:bookmarkEnd w:id="5" w:name="source-6497"/>
    </w:p>
    <w:p>
      <w:pPr>
        <w:pStyle w:val="ListBullet"/>
      </w:pPr>
      <w:r>
        <w:rPr>
          <w:rFonts w:ascii="微软雅黑" w:hAnsi="微软雅黑" w:eastAsia="微软雅黑" w:cs="微软雅黑"/>
        </w:rPr>
        <w:t>[5] OGN News｜</w:t>
      </w:r>
      <w:hyperlink r:id="rId15">
        <w:r>
          <w:rPr>
            <w:rFonts w:ascii="微软雅黑" w:hAnsi="微软雅黑" w:eastAsia="微软雅黑" w:cs="微软雅黑"/>
            <w:color w:val="087E89"/>
          </w:rPr>
          <w:t>中国首座大规模18兆瓦海上风电项目全面投运</w:t>
        </w:r>
      </w:hyperlink>
      <w:r>
        <w:rPr>
          <w:rFonts w:ascii="微软雅黑" w:hAnsi="微软雅黑" w:eastAsia="微软雅黑" w:cs="微软雅黑"/>
        </w:rPr>
      </w:r>
    </w:p>
    <w:p>
      <w:pPr>
        <w:spacing w:after="0" w:line="20" w:lineRule="exact"/>
      </w:pPr>
      <w:bookmarkStart w:id="6" w:name="source-6288"/>
      <w:bookmarkEnd w:id="6" w:name="source-6288"/>
    </w:p>
    <w:p>
      <w:pPr>
        <w:pStyle w:val="ListBullet"/>
      </w:pPr>
      <w:r>
        <w:rPr>
          <w:rFonts w:ascii="微软雅黑" w:hAnsi="微软雅黑" w:eastAsia="微软雅黑" w:cs="微软雅黑"/>
        </w:rPr>
        <w:t>[6] OGN News｜</w:t>
      </w:r>
      <w:hyperlink r:id="rId16">
        <w:r>
          <w:rPr>
            <w:rFonts w:ascii="微软雅黑" w:hAnsi="微软雅黑" w:eastAsia="微软雅黑" w:cs="微软雅黑"/>
            <w:color w:val="087E89"/>
          </w:rPr>
          <w:t>俄罗斯2026年前八个月天然气产量增长3.4%</w:t>
        </w:r>
      </w:hyperlink>
      <w:r>
        <w:rPr>
          <w:rFonts w:ascii="微软雅黑" w:hAnsi="微软雅黑" w:eastAsia="微软雅黑" w:cs="微软雅黑"/>
        </w:rPr>
      </w:r>
    </w:p>
    <w:p>
      <w:pPr>
        <w:spacing w:after="0" w:line="20" w:lineRule="exact"/>
      </w:pPr>
      <w:bookmarkStart w:id="7" w:name="source-6512"/>
      <w:bookmarkEnd w:id="7" w:name="source-6512"/>
    </w:p>
    <w:p>
      <w:pPr>
        <w:pStyle w:val="ListBullet"/>
      </w:pPr>
      <w:r>
        <w:rPr>
          <w:rFonts w:ascii="微软雅黑" w:hAnsi="微软雅黑" w:eastAsia="微软雅黑" w:cs="微软雅黑"/>
        </w:rPr>
        <w:t>[7] 清洁能源通讯社｜</w:t>
      </w:r>
      <w:hyperlink r:id="rId17">
        <w:r>
          <w:rPr>
            <w:rFonts w:ascii="微软雅黑" w:hAnsi="微软雅黑" w:eastAsia="微软雅黑" w:cs="微软雅黑"/>
            <w:color w:val="087E89"/>
          </w:rPr>
          <w:t>德国提出化石燃料转型计划，重申2045年气候目标</w:t>
        </w:r>
      </w:hyperlink>
      <w:r>
        <w:rPr>
          <w:rFonts w:ascii="微软雅黑" w:hAnsi="微软雅黑" w:eastAsia="微软雅黑" w:cs="微软雅黑"/>
        </w:rPr>
      </w:r>
    </w:p>
    <w:p>
      <w:pPr>
        <w:spacing w:after="0" w:line="20" w:lineRule="exact"/>
      </w:pPr>
      <w:bookmarkStart w:id="8" w:name="source-6080"/>
      <w:bookmarkEnd w:id="8" w:name="source-6080"/>
    </w:p>
    <w:p>
      <w:pPr>
        <w:pStyle w:val="ListBullet"/>
      </w:pPr>
      <w:r>
        <w:rPr>
          <w:rFonts w:ascii="微软雅黑" w:hAnsi="微软雅黑" w:eastAsia="微软雅黑" w:cs="微软雅黑"/>
        </w:rPr>
        <w:t>[8] Business Day｜</w:t>
      </w:r>
      <w:hyperlink r:id="rId18">
        <w:r>
          <w:rPr>
            <w:rFonts w:ascii="微软雅黑" w:hAnsi="微软雅黑" w:eastAsia="微软雅黑" w:cs="微软雅黑"/>
            <w:color w:val="087E89"/>
          </w:rPr>
          <w:t>意大利议会为重返核能铺平道路</w:t>
        </w:r>
      </w:hyperlink>
      <w:r>
        <w:rPr>
          <w:rFonts w:ascii="微软雅黑" w:hAnsi="微软雅黑" w:eastAsia="微软雅黑" w:cs="微软雅黑"/>
        </w:rPr>
      </w:r>
    </w:p>
    <w:p>
      <w:pPr>
        <w:spacing w:after="0" w:line="20" w:lineRule="exact"/>
      </w:pPr>
      <w:bookmarkStart w:id="9" w:name="source-6083"/>
      <w:bookmarkEnd w:id="9" w:name="source-6083"/>
    </w:p>
    <w:p>
      <w:pPr>
        <w:pStyle w:val="ListBullet"/>
      </w:pPr>
      <w:r>
        <w:rPr>
          <w:rFonts w:ascii="微软雅黑" w:hAnsi="微软雅黑" w:eastAsia="微软雅黑" w:cs="微软雅黑"/>
        </w:rPr>
        <w:t>[9] Interfax｜</w:t>
      </w:r>
      <w:hyperlink r:id="rId19">
        <w:r>
          <w:rPr>
            <w:rFonts w:ascii="微软雅黑" w:hAnsi="微软雅黑" w:eastAsia="微软雅黑" w:cs="微软雅黑"/>
            <w:color w:val="087E89"/>
          </w:rPr>
          <w:t>意大利议会通过法律，重新允许核能发展</w:t>
        </w:r>
      </w:hyperlink>
      <w:r>
        <w:rPr>
          <w:rFonts w:ascii="微软雅黑" w:hAnsi="微软雅黑" w:eastAsia="微软雅黑" w:cs="微软雅黑"/>
        </w:rPr>
      </w:r>
    </w:p>
    <w:p>
      <w:pPr>
        <w:spacing w:after="0" w:line="20" w:lineRule="exact"/>
      </w:pPr>
      <w:bookmarkStart w:id="10" w:name="source-6505"/>
      <w:bookmarkEnd w:id="10" w:name="source-6505"/>
    </w:p>
    <w:p>
      <w:pPr>
        <w:pStyle w:val="ListBullet"/>
      </w:pPr>
      <w:r>
        <w:rPr>
          <w:rFonts w:ascii="微软雅黑" w:hAnsi="微软雅黑" w:eastAsia="微软雅黑" w:cs="微软雅黑"/>
        </w:rPr>
        <w:t>[10] 世界核新闻｜</w:t>
      </w:r>
      <w:hyperlink r:id="rId20">
        <w:r>
          <w:rPr>
            <w:rFonts w:ascii="微软雅黑" w:hAnsi="微软雅黑" w:eastAsia="微软雅黑" w:cs="微软雅黑"/>
            <w:color w:val="087E89"/>
          </w:rPr>
          <w:t>意大利参议院批准恢复核电</w:t>
        </w:r>
      </w:hyperlink>
      <w:r>
        <w:rPr>
          <w:rFonts w:ascii="微软雅黑" w:hAnsi="微软雅黑" w:eastAsia="微软雅黑" w:cs="微软雅黑"/>
        </w:rPr>
      </w:r>
    </w:p>
    <w:p>
      <w:pPr>
        <w:spacing w:after="0" w:line="20" w:lineRule="exact"/>
      </w:pPr>
      <w:bookmarkStart w:id="11" w:name="source-6321"/>
      <w:bookmarkEnd w:id="11" w:name="source-6321"/>
    </w:p>
    <w:p>
      <w:pPr>
        <w:pStyle w:val="ListBullet"/>
      </w:pPr>
      <w:r>
        <w:rPr>
          <w:rFonts w:ascii="微软雅黑" w:hAnsi="微软雅黑" w:eastAsia="微软雅黑" w:cs="微软雅黑"/>
        </w:rPr>
        <w:t>[11] 欧洲氢能协会｜</w:t>
      </w:r>
      <w:hyperlink r:id="rId21">
        <w:r>
          <w:rPr>
            <w:rFonts w:ascii="微软雅黑" w:hAnsi="微软雅黑" w:eastAsia="微软雅黑" w:cs="微软雅黑"/>
            <w:color w:val="087E89"/>
          </w:rPr>
          <w:t>氢能欧洲</w:t>
        </w:r>
      </w:hyperlink>
      <w:r>
        <w:rPr>
          <w:rFonts w:ascii="微软雅黑" w:hAnsi="微软雅黑" w:eastAsia="微软雅黑" w:cs="微软雅黑"/>
        </w:rPr>
      </w:r>
    </w:p>
    <w:p>
      <w:pPr>
        <w:spacing w:after="0" w:line="20" w:lineRule="exact"/>
      </w:pPr>
      <w:bookmarkStart w:id="12" w:name="source-6216"/>
      <w:bookmarkEnd w:id="12" w:name="source-6216"/>
    </w:p>
    <w:p>
      <w:pPr>
        <w:pStyle w:val="ListBullet"/>
      </w:pPr>
      <w:r>
        <w:rPr>
          <w:rFonts w:ascii="微软雅黑" w:hAnsi="微软雅黑" w:eastAsia="微软雅黑" w:cs="微软雅黑"/>
        </w:rPr>
        <w:t>[12] 国家能源局｜</w:t>
      </w:r>
      <w:hyperlink r:id="rId22">
        <w:r>
          <w:rPr>
            <w:rFonts w:ascii="微软雅黑" w:hAnsi="微软雅黑" w:eastAsia="微软雅黑" w:cs="微软雅黑"/>
            <w:color w:val="087E89"/>
          </w:rPr>
          <w:t>8月份全社会用电量再破万亿千瓦时</w:t>
        </w:r>
      </w:hyperlink>
      <w:r>
        <w:rPr>
          <w:rFonts w:ascii="微软雅黑" w:hAnsi="微软雅黑" w:eastAsia="微软雅黑" w:cs="微软雅黑"/>
        </w:rPr>
      </w:r>
    </w:p>
    <w:p>
      <w:pPr>
        <w:spacing w:after="0" w:line="20" w:lineRule="exact"/>
      </w:pPr>
      <w:bookmarkStart w:id="13" w:name="source-6176"/>
      <w:bookmarkEnd w:id="13" w:name="source-6176"/>
    </w:p>
    <w:p>
      <w:pPr>
        <w:pStyle w:val="ListBullet"/>
      </w:pPr>
      <w:r>
        <w:rPr>
          <w:rFonts w:ascii="微软雅黑" w:hAnsi="微软雅黑" w:eastAsia="微软雅黑" w:cs="微软雅黑"/>
        </w:rPr>
        <w:t>[13] 经济日报｜</w:t>
      </w:r>
      <w:hyperlink r:id="rId23">
        <w:r>
          <w:rPr>
            <w:rFonts w:ascii="微软雅黑" w:hAnsi="微软雅黑" w:eastAsia="微软雅黑" w:cs="微软雅黑"/>
            <w:color w:val="087E89"/>
          </w:rPr>
          <w:t>【能源广角】煤炭保供贵在安全主动</w:t>
        </w:r>
      </w:hyperlink>
      <w:r>
        <w:rPr>
          <w:rFonts w:ascii="微软雅黑" w:hAnsi="微软雅黑" w:eastAsia="微软雅黑" w:cs="微软雅黑"/>
        </w:rPr>
      </w:r>
    </w:p>
    <w:p>
      <w:pPr>
        <w:spacing w:after="0" w:line="20" w:lineRule="exact"/>
      </w:pPr>
      <w:bookmarkStart w:id="14" w:name="source-6432"/>
      <w:bookmarkEnd w:id="14" w:name="source-6432"/>
    </w:p>
    <w:p>
      <w:pPr>
        <w:pStyle w:val="ListBullet"/>
      </w:pPr>
      <w:r>
        <w:rPr>
          <w:rFonts w:ascii="微软雅黑" w:hAnsi="微软雅黑" w:eastAsia="微软雅黑" w:cs="微软雅黑"/>
        </w:rPr>
        <w:t>[14] 新华社｜</w:t>
      </w:r>
      <w:hyperlink r:id="rId24">
        <w:r>
          <w:rPr>
            <w:rFonts w:ascii="微软雅黑" w:hAnsi="微软雅黑" w:eastAsia="微软雅黑" w:cs="微软雅黑"/>
            <w:color w:val="087E89"/>
          </w:rPr>
          <w:t>煤炭保供贵在安全主动</w:t>
        </w:r>
      </w:hyperlink>
      <w:r>
        <w:rPr>
          <w:rFonts w:ascii="微软雅黑" w:hAnsi="微软雅黑" w:eastAsia="微软雅黑" w:cs="微软雅黑"/>
        </w:rPr>
      </w:r>
    </w:p>
    <w:p>
      <w:pPr>
        <w:spacing w:after="0" w:line="20" w:lineRule="exact"/>
      </w:pPr>
      <w:bookmarkStart w:id="15" w:name="source-6534"/>
      <w:bookmarkEnd w:id="15" w:name="source-6534"/>
    </w:p>
    <w:p>
      <w:pPr>
        <w:pStyle w:val="ListBullet"/>
      </w:pPr>
      <w:r>
        <w:rPr>
          <w:rFonts w:ascii="微软雅黑" w:hAnsi="微软雅黑" w:eastAsia="微软雅黑" w:cs="微软雅黑"/>
        </w:rPr>
        <w:t>[15] 智通财经｜</w:t>
      </w:r>
      <w:hyperlink r:id="rId25">
        <w:r>
          <w:rPr>
            <w:rFonts w:ascii="微软雅黑" w:hAnsi="微软雅黑" w:eastAsia="微软雅黑" w:cs="微软雅黑"/>
            <w:color w:val="087E89"/>
          </w:rPr>
          <w:t>中广核电力(01816)拟出资7000万元设立合资公司粤汕核电 开展陆丰3、4号机组核电项目的开发、建设和运营</w:t>
        </w:r>
      </w:hyperlink>
      <w:r>
        <w:rPr>
          <w:rFonts w:ascii="微软雅黑" w:hAnsi="微软雅黑" w:eastAsia="微软雅黑" w:cs="微软雅黑"/>
        </w:rPr>
      </w:r>
    </w:p>
    <w:p>
      <w:pPr>
        <w:spacing w:after="0" w:line="20" w:lineRule="exact"/>
      </w:pPr>
      <w:bookmarkStart w:id="16" w:name="source-6334"/>
      <w:bookmarkEnd w:id="16" w:name="source-6334"/>
    </w:p>
    <w:p>
      <w:pPr>
        <w:pStyle w:val="ListBullet"/>
      </w:pPr>
      <w:r>
        <w:rPr>
          <w:rFonts w:ascii="微软雅黑" w:hAnsi="微软雅黑" w:eastAsia="微软雅黑" w:cs="微软雅黑"/>
        </w:rPr>
        <w:t>[16] 智通财经｜</w:t>
      </w:r>
      <w:hyperlink r:id="rId26">
        <w:r>
          <w:rPr>
            <w:rFonts w:ascii="微软雅黑" w:hAnsi="微软雅黑" w:eastAsia="微软雅黑" w:cs="微软雅黑"/>
            <w:color w:val="087E89"/>
          </w:rPr>
          <w:t>国家发改委：9月24日24时起国内汽、柴油价格每吨分别上调395元、385元</w:t>
        </w:r>
      </w:hyperlink>
      <w:r>
        <w:rPr>
          <w:rFonts w:ascii="微软雅黑" w:hAnsi="微软雅黑" w:eastAsia="微软雅黑" w:cs="微软雅黑"/>
        </w:rPr>
      </w:r>
    </w:p>
    <w:p>
      <w:pPr>
        <w:spacing w:after="0" w:line="20" w:lineRule="exact"/>
      </w:pPr>
      <w:bookmarkStart w:id="17" w:name="source-6333"/>
      <w:bookmarkEnd w:id="17" w:name="source-6333"/>
    </w:p>
    <w:p>
      <w:pPr>
        <w:pStyle w:val="ListBullet"/>
      </w:pPr>
      <w:r>
        <w:rPr>
          <w:rFonts w:ascii="微软雅黑" w:hAnsi="微软雅黑" w:eastAsia="微软雅黑" w:cs="微软雅黑"/>
        </w:rPr>
        <w:t>[17] Solarbe(光伏网)｜</w:t>
      </w:r>
      <w:hyperlink r:id="rId27">
        <w:r>
          <w:rPr>
            <w:rFonts w:ascii="微软雅黑" w:hAnsi="微软雅黑" w:eastAsia="微软雅黑" w:cs="微软雅黑"/>
            <w:color w:val="087E89"/>
          </w:rPr>
          <w:t>内蒙古发布关于新能源就近消纳价格机制有关事宜的补充通知</w:t>
        </w:r>
      </w:hyperlink>
      <w:r>
        <w:rPr>
          <w:rFonts w:ascii="微软雅黑" w:hAnsi="微软雅黑" w:eastAsia="微软雅黑" w:cs="微软雅黑"/>
        </w:rPr>
      </w:r>
    </w:p>
    <w:p>
      <w:pPr>
        <w:spacing w:after="0" w:line="20" w:lineRule="exact"/>
      </w:pPr>
      <w:bookmarkStart w:id="18" w:name="source-6328"/>
      <w:bookmarkEnd w:id="18" w:name="source-6328"/>
    </w:p>
    <w:p>
      <w:pPr>
        <w:pStyle w:val="ListBullet"/>
      </w:pPr>
      <w:r>
        <w:rPr>
          <w:rFonts w:ascii="微软雅黑" w:hAnsi="微软雅黑" w:eastAsia="微软雅黑" w:cs="微软雅黑"/>
        </w:rPr>
        <w:t>[18] 中国能源新闻网｜</w:t>
      </w:r>
      <w:hyperlink r:id="rId28">
        <w:r>
          <w:rPr>
            <w:rFonts w:ascii="微软雅黑" w:hAnsi="微软雅黑" w:eastAsia="微软雅黑" w:cs="微软雅黑"/>
            <w:color w:val="087E89"/>
          </w:rPr>
          <w:t>湖北“十五五”规划首个特高压扩建项目开工</w:t>
        </w:r>
      </w:hyperlink>
      <w:r>
        <w:rPr>
          <w:rFonts w:ascii="微软雅黑" w:hAnsi="微软雅黑" w:eastAsia="微软雅黑" w:cs="微软雅黑"/>
        </w:rPr>
      </w:r>
    </w:p>
    <w:p>
      <w:pPr>
        <w:spacing w:after="0" w:line="20" w:lineRule="exact"/>
      </w:pPr>
      <w:bookmarkStart w:id="19" w:name="source-6371"/>
      <w:bookmarkEnd w:id="19" w:name="source-6371"/>
    </w:p>
    <w:p>
      <w:pPr>
        <w:pStyle w:val="ListBullet"/>
      </w:pPr>
      <w:r>
        <w:rPr>
          <w:rFonts w:ascii="微软雅黑" w:hAnsi="微软雅黑" w:eastAsia="微软雅黑" w:cs="微软雅黑"/>
        </w:rPr>
        <w:t>[19] 中国能源网｜</w:t>
      </w:r>
      <w:hyperlink r:id="rId29">
        <w:r>
          <w:rPr>
            <w:rFonts w:ascii="微软雅黑" w:hAnsi="微软雅黑" w:eastAsia="微软雅黑" w:cs="微软雅黑"/>
            <w:color w:val="087E89"/>
          </w:rPr>
          <w:t>俄罗斯计划到2050年煤炭产量达到6.6亿吨，出口3.5亿吨</w:t>
        </w:r>
      </w:hyperlink>
      <w:r>
        <w:rPr>
          <w:rFonts w:ascii="微软雅黑" w:hAnsi="微软雅黑" w:eastAsia="微软雅黑" w:cs="微软雅黑"/>
        </w:rPr>
      </w:r>
    </w:p>
    <w:p>
      <w:pPr>
        <w:spacing w:after="0" w:line="20" w:lineRule="exact"/>
      </w:pPr>
      <w:bookmarkStart w:id="20" w:name="source-6279"/>
      <w:bookmarkEnd w:id="20" w:name="source-6279"/>
    </w:p>
    <w:p>
      <w:pPr>
        <w:pStyle w:val="ListBullet"/>
      </w:pPr>
      <w:r>
        <w:rPr>
          <w:rFonts w:ascii="微软雅黑" w:hAnsi="微软雅黑" w:eastAsia="微软雅黑" w:cs="微软雅黑"/>
        </w:rPr>
        <w:t>[20] 中国能源新闻网｜</w:t>
      </w:r>
      <w:hyperlink r:id="rId30">
        <w:r>
          <w:rPr>
            <w:rFonts w:ascii="微软雅黑" w:hAnsi="微软雅黑" w:eastAsia="微软雅黑" w:cs="微软雅黑"/>
            <w:color w:val="087E89"/>
          </w:rPr>
          <w:t>我国首个环岛天然气管网累计输气超350亿立方米</w:t>
        </w:r>
      </w:hyperlink>
      <w:r>
        <w:rPr>
          <w:rFonts w:ascii="微软雅黑" w:hAnsi="微软雅黑" w:eastAsia="微软雅黑" w:cs="微软雅黑"/>
        </w:rPr>
      </w:r>
    </w:p>
    <w:p>
      <w:pPr>
        <w:spacing w:after="0" w:line="20" w:lineRule="exact"/>
      </w:pPr>
      <w:bookmarkStart w:id="21" w:name="source-6217"/>
      <w:bookmarkEnd w:id="21" w:name="source-6217"/>
    </w:p>
    <w:p>
      <w:pPr>
        <w:pStyle w:val="ListBullet"/>
      </w:pPr>
      <w:r>
        <w:rPr>
          <w:rFonts w:ascii="微软雅黑" w:hAnsi="微软雅黑" w:eastAsia="微软雅黑" w:cs="微软雅黑"/>
        </w:rPr>
        <w:t>[21] 国家能源局｜</w:t>
      </w:r>
      <w:hyperlink r:id="rId31">
        <w:r>
          <w:rPr>
            <w:rFonts w:ascii="微软雅黑" w:hAnsi="微软雅黑" w:eastAsia="微软雅黑" w:cs="微软雅黑"/>
            <w:color w:val="087E89"/>
          </w:rPr>
          <w:t>海南环岛管网累计输送天然气超350亿立方米</w:t>
        </w:r>
      </w:hyperlink>
      <w:r>
        <w:rPr>
          <w:rFonts w:ascii="微软雅黑" w:hAnsi="微软雅黑" w:eastAsia="微软雅黑" w:cs="微软雅黑"/>
        </w:rPr>
      </w:r>
    </w:p>
    <w:p>
      <w:pPr>
        <w:spacing w:after="0" w:line="20" w:lineRule="exact"/>
      </w:pPr>
      <w:bookmarkStart w:id="22" w:name="source-6275"/>
      <w:bookmarkEnd w:id="22" w:name="source-6275"/>
    </w:p>
    <w:p>
      <w:pPr>
        <w:pStyle w:val="ListBullet"/>
      </w:pPr>
      <w:r>
        <w:rPr>
          <w:rFonts w:ascii="微软雅黑" w:hAnsi="微软雅黑" w:eastAsia="微软雅黑" w:cs="微软雅黑"/>
        </w:rPr>
        <w:t>[22] 汇通财经｜</w:t>
      </w:r>
      <w:hyperlink r:id="rId32">
        <w:r>
          <w:rPr>
            <w:rFonts w:ascii="微软雅黑" w:hAnsi="微软雅黑" w:eastAsia="微软雅黑" w:cs="微软雅黑"/>
            <w:color w:val="087E89"/>
          </w:rPr>
          <w:t>沙特管道重启、乌克兰讨论能源停火，供应端恢复正在压过地缘风险</w:t>
        </w:r>
      </w:hyperlink>
      <w:r>
        <w:rPr>
          <w:rFonts w:ascii="微软雅黑" w:hAnsi="微软雅黑" w:eastAsia="微软雅黑" w:cs="微软雅黑"/>
        </w:rPr>
      </w:r>
    </w:p>
    <w:p>
      <w:pPr>
        <w:spacing w:after="0" w:line="20" w:lineRule="exact"/>
      </w:pPr>
      <w:bookmarkStart w:id="23" w:name="source-6338"/>
      <w:bookmarkEnd w:id="23" w:name="source-6338"/>
    </w:p>
    <w:p>
      <w:pPr>
        <w:pStyle w:val="ListBullet"/>
      </w:pPr>
      <w:r>
        <w:rPr>
          <w:rFonts w:ascii="微软雅黑" w:hAnsi="微软雅黑" w:eastAsia="微软雅黑" w:cs="微软雅黑"/>
        </w:rPr>
        <w:t>[23] Anadolu Agency｜</w:t>
      </w:r>
      <w:hyperlink r:id="rId33">
        <w:r>
          <w:rPr>
            <w:rFonts w:ascii="微软雅黑" w:hAnsi="微软雅黑" w:eastAsia="微软雅黑" w:cs="微软雅黑"/>
            <w:color w:val="087E89"/>
          </w:rPr>
          <w:t>石油价格上涨，因美伊就霍尔木兹海峡问题谈判陷入僵局</w:t>
        </w:r>
      </w:hyperlink>
      <w:r>
        <w:rPr>
          <w:rFonts w:ascii="微软雅黑" w:hAnsi="微软雅黑" w:eastAsia="微软雅黑" w:cs="微软雅黑"/>
        </w:rPr>
      </w:r>
    </w:p>
    <w:p>
      <w:pPr>
        <w:spacing w:after="0" w:line="20" w:lineRule="exact"/>
      </w:pPr>
      <w:bookmarkStart w:id="24" w:name="source-6486"/>
      <w:bookmarkEnd w:id="24" w:name="source-6486"/>
    </w:p>
    <w:p>
      <w:pPr>
        <w:pStyle w:val="ListBullet"/>
      </w:pPr>
      <w:r>
        <w:rPr>
          <w:rFonts w:ascii="微软雅黑" w:hAnsi="微软雅黑" w:eastAsia="微软雅黑" w:cs="微软雅黑"/>
        </w:rPr>
        <w:t>[24] 中国能源新闻网｜</w:t>
      </w:r>
      <w:hyperlink r:id="rId34">
        <w:r>
          <w:rPr>
            <w:rFonts w:ascii="微软雅黑" w:hAnsi="微软雅黑" w:eastAsia="微软雅黑" w:cs="微软雅黑"/>
            <w:color w:val="087E89"/>
          </w:rPr>
          <w:t>法国扩大燃油援助措施以应对油价上涨</w:t>
        </w:r>
      </w:hyperlink>
      <w:r>
        <w:rPr>
          <w:rFonts w:ascii="微软雅黑" w:hAnsi="微软雅黑" w:eastAsia="微软雅黑" w:cs="微软雅黑"/>
        </w:rPr>
      </w:r>
    </w:p>
    <w:p>
      <w:pPr>
        <w:spacing w:after="0" w:line="20" w:lineRule="exact"/>
      </w:pPr>
      <w:bookmarkStart w:id="25" w:name="source-6335"/>
      <w:bookmarkEnd w:id="25" w:name="source-6335"/>
    </w:p>
    <w:p>
      <w:pPr>
        <w:pStyle w:val="ListBullet"/>
      </w:pPr>
      <w:r>
        <w:rPr>
          <w:rFonts w:ascii="微软雅黑" w:hAnsi="微软雅黑" w:eastAsia="微软雅黑" w:cs="微软雅黑"/>
        </w:rPr>
        <w:t>[25] 智通财经｜</w:t>
      </w:r>
      <w:hyperlink r:id="rId35">
        <w:r>
          <w:rPr>
            <w:rFonts w:ascii="微软雅黑" w:hAnsi="微软雅黑" w:eastAsia="微软雅黑" w:cs="微软雅黑"/>
            <w:color w:val="087E89"/>
          </w:rPr>
          <w:t>燃油价格新高驱动需求，欧洲电动车8月销量激增52%、中国品牌份额创新高</w:t>
        </w:r>
      </w:hyperlink>
      <w:r>
        <w:rPr>
          <w:rFonts w:ascii="微软雅黑" w:hAnsi="微软雅黑" w:eastAsia="微软雅黑" w:cs="微软雅黑"/>
        </w:rPr>
      </w:r>
    </w:p>
    <w:p>
      <w:pPr>
        <w:spacing w:after="0" w:line="20" w:lineRule="exact"/>
      </w:pPr>
      <w:bookmarkStart w:id="26" w:name="source-6215"/>
      <w:bookmarkEnd w:id="26" w:name="source-6215"/>
    </w:p>
    <w:p>
      <w:pPr>
        <w:pStyle w:val="ListBullet"/>
      </w:pPr>
      <w:r>
        <w:rPr>
          <w:rFonts w:ascii="微软雅黑" w:hAnsi="微软雅黑" w:eastAsia="微软雅黑" w:cs="微软雅黑"/>
        </w:rPr>
        <w:t>[26] 国家能源局｜</w:t>
      </w:r>
      <w:hyperlink r:id="rId36">
        <w:r>
          <w:rPr>
            <w:rFonts w:ascii="微软雅黑" w:hAnsi="微软雅黑" w:eastAsia="微软雅黑" w:cs="微软雅黑"/>
            <w:color w:val="087E89"/>
          </w:rPr>
          <w:t>粤港澳大湾区首个变速抽水蓄能工程全面蓄水</w:t>
        </w:r>
      </w:hyperlink>
      <w:r>
        <w:rPr>
          <w:rFonts w:ascii="微软雅黑" w:hAnsi="微软雅黑" w:eastAsia="微软雅黑" w:cs="微软雅黑"/>
        </w:rPr>
      </w:r>
    </w:p>
    <w:p>
      <w:pPr>
        <w:spacing w:after="0" w:line="20" w:lineRule="exact"/>
      </w:pPr>
      <w:bookmarkStart w:id="27" w:name="source-6547"/>
      <w:bookmarkEnd w:id="27" w:name="source-6547"/>
    </w:p>
    <w:p>
      <w:pPr>
        <w:pStyle w:val="ListBullet"/>
      </w:pPr>
      <w:r>
        <w:rPr>
          <w:rFonts w:ascii="微软雅黑" w:hAnsi="微软雅黑" w:eastAsia="微软雅黑" w:cs="微软雅黑"/>
        </w:rPr>
        <w:t>[27] 世界核新闻｜</w:t>
      </w:r>
      <w:hyperlink r:id="rId37">
        <w:r>
          <w:rPr>
            <w:rFonts w:ascii="微软雅黑" w:hAnsi="微软雅黑" w:eastAsia="微软雅黑" w:cs="微软雅黑"/>
            <w:color w:val="087E89"/>
          </w:rPr>
          <w:t>波兰全厂合同谈判进入下一阶段</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ember-energy.org/latest-insights/indonesias-captive-coal-giant-better-data-to-shape-industrial-competitiveness" TargetMode="External"/><Relationship Id="rId12" Type="http://schemas.openxmlformats.org/officeDocument/2006/relationships/hyperlink" Target="https://globalenergymonitor.org/research/supply-disruptions-strait-hormuz-stress-test-southeast-asias-gas-buildout" TargetMode="External"/><Relationship Id="rId13" Type="http://schemas.openxmlformats.org/officeDocument/2006/relationships/hyperlink" Target="https://www.cpnn.com.cn/news/zngc/202609/t20260924_1917467.html" TargetMode="External"/><Relationship Id="rId14" Type="http://schemas.openxmlformats.org/officeDocument/2006/relationships/hyperlink" Target="https://www.stdaily.com/web/gdxw/2026-09/24/content_587498.html" TargetMode="External"/><Relationship Id="rId15" Type="http://schemas.openxmlformats.org/officeDocument/2006/relationships/hyperlink" Target="https://ognnews.com/ArticleTA/486809/chinas-18-mw-offshore-wind-project-enters-full-operation" TargetMode="External"/><Relationship Id="rId16" Type="http://schemas.openxmlformats.org/officeDocument/2006/relationships/hyperlink" Target="https://ognnews.com/ArticleTA/486771/russias-gas-production-rises-34pc-in-first-eight-months-of-2026" TargetMode="External"/><Relationship Id="rId17" Type="http://schemas.openxmlformats.org/officeDocument/2006/relationships/hyperlink" Target="https://www.cleanenergywire.org/news/germany-presents-fossil-fuel-transition-plan-reaffirms-2045-climate-target" TargetMode="External"/><Relationship Id="rId18" Type="http://schemas.openxmlformats.org/officeDocument/2006/relationships/hyperlink" Target="https://www.businessday.co.za/world/2026-09-23-italys-parliament-paves-the-way-for-a-return-to-nuclear-energy/" TargetMode="External"/><Relationship Id="rId19" Type="http://schemas.openxmlformats.org/officeDocument/2006/relationships/hyperlink" Target="https://www.interfax.ru/world/1118066" TargetMode="External"/><Relationship Id="rId20" Type="http://schemas.openxmlformats.org/officeDocument/2006/relationships/hyperlink" Target="https://www.world-nuclear-news.org/articles/italys-senate-approves-a-return-to-nuclear-power" TargetMode="External"/><Relationship Id="rId21" Type="http://schemas.openxmlformats.org/officeDocument/2006/relationships/hyperlink" Target="https://hydrogeneurope.eu/industry-calls-to-keep-binding-rfnbo-hydrogen-targets/" TargetMode="External"/><Relationship Id="rId22" Type="http://schemas.openxmlformats.org/officeDocument/2006/relationships/hyperlink" Target="https://www.nea.gov.cn/20260924/9b291b0f1f524078855c63061fe5ced9/c.html" TargetMode="External"/><Relationship Id="rId23" Type="http://schemas.openxmlformats.org/officeDocument/2006/relationships/hyperlink" Target="http://www.ce.cn/cysc/newmain/yc/jsxw/202609/t20260924_3233385.shtml" TargetMode="External"/><Relationship Id="rId24" Type="http://schemas.openxmlformats.org/officeDocument/2006/relationships/hyperlink" Target="https://www.news.cn/energy/20260924/36cb6908b7d1494fa44d69a11e80a52e/c.html" TargetMode="External"/><Relationship Id="rId25" Type="http://schemas.openxmlformats.org/officeDocument/2006/relationships/hyperlink" Target="https://www.zhitongcaijing.com/content/detail/1500711.html" TargetMode="External"/><Relationship Id="rId26" Type="http://schemas.openxmlformats.org/officeDocument/2006/relationships/hyperlink" Target="https://www.zhitongcaijing.com/content/detail/1500391.html" TargetMode="External"/><Relationship Id="rId27" Type="http://schemas.openxmlformats.org/officeDocument/2006/relationships/hyperlink" Target="https://news.solarbe.com/202609/24/50029653.html" TargetMode="External"/><Relationship Id="rId28" Type="http://schemas.openxmlformats.org/officeDocument/2006/relationships/hyperlink" Target="https://www.cpnn.com.cn/news/dfny/202609/t20260924_1917407.html" TargetMode="External"/><Relationship Id="rId29" Type="http://schemas.openxmlformats.org/officeDocument/2006/relationships/hyperlink" Target="https://www.china5e.com/news/news-1209814-1.html" TargetMode="External"/><Relationship Id="rId30" Type="http://schemas.openxmlformats.org/officeDocument/2006/relationships/hyperlink" Target="https://www.cpnn.com.cn/news/yq/202609/t20260924_1917353.html" TargetMode="External"/><Relationship Id="rId31" Type="http://schemas.openxmlformats.org/officeDocument/2006/relationships/hyperlink" Target="https://www.nea.gov.cn/20260924/b489ab53932c47fdbf9eedd99b823868/c.html" TargetMode="External"/><Relationship Id="rId32" Type="http://schemas.openxmlformats.org/officeDocument/2006/relationships/hyperlink" Target="https://www.fx678.com/C/20260924/202609241136519115.html" TargetMode="External"/><Relationship Id="rId33" Type="http://schemas.openxmlformats.org/officeDocument/2006/relationships/hyperlink" Target="https://www.aa.com.tr/en/energy/oil/oil-prices-rise-as-us-iran-talks-stalled-over-hormuz-demands/59829" TargetMode="External"/><Relationship Id="rId34" Type="http://schemas.openxmlformats.org/officeDocument/2006/relationships/hyperlink" Target="https://www.cpnn.com.cn/news/gj/202609/t20260924_1917400.html" TargetMode="External"/><Relationship Id="rId35" Type="http://schemas.openxmlformats.org/officeDocument/2006/relationships/hyperlink" Target="https://www.zhitongcaijing.com/content/detail/1500381.html" TargetMode="External"/><Relationship Id="rId36" Type="http://schemas.openxmlformats.org/officeDocument/2006/relationships/hyperlink" Target="https://www.nea.gov.cn/20260924/4885b738ab78472caab4573319afbaa3/c.html" TargetMode="External"/><Relationship Id="rId37" Type="http://schemas.openxmlformats.org/officeDocument/2006/relationships/hyperlink" Target="https://www.world-nuclear-news.org/articles/polish-plant-contract-negotiations-move-to-next-st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2026年9月24日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