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信息覆盖时段：2026-10-06 00:00 至 2026-10-07 00:00（不含），Asia/Shanghai。</w:t>
      </w:r>
    </w:p>
    <w:p>
      <w:pPr/>
      <w:r>
        <w:rPr>
          <w:rFonts w:ascii="微软雅黑" w:hAnsi="微软雅黑" w:eastAsia="微软雅黑" w:cs="微软雅黑"/>
        </w:rPr>
        <w:t>统计区间：2026-10-06 至 2026-10-07（结束日不含，北京时间）</w:t>
      </w:r>
    </w:p>
    <w:p>
      <w:pPr>
        <w:ind w:firstLine="420"/>
      </w:pPr>
      <w:r>
        <w:rPr>
          <w:rFonts w:ascii="微软雅黑" w:hAnsi="微软雅黑" w:eastAsia="微软雅黑" w:cs="微软雅黑"/>
        </w:rPr>
        <w:t>资料更新截止：2026-10-07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敦德尔启动中国首个绿氢制可持续航空燃料示范项目 </w:t>
      </w:r>
      <w:hyperlink w:anchor="source-12245">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联合国秘书长等多方就化石燃料退出提出不同主张 </w:t>
      </w:r>
      <w:hyperlink w:anchor="source-12102">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尼日利亚上游监管机构公布产量提升与2026年许可证招标 </w:t>
      </w:r>
      <w:hyperlink w:anchor="source-12376">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山东招远核电站一期进入土建高峰期 </w:t>
      </w:r>
      <w:hyperlink w:anchor="source-12341">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Vattenfall完成Clashindarroch II风电场全部风机低碳基础施工 </w:t>
      </w:r>
      <w:hyperlink w:anchor="source-12273">
        <w:r>
          <w:rPr>
            <w:rFonts w:ascii="微软雅黑" w:hAnsi="微软雅黑" w:eastAsia="微软雅黑" w:cs="微软雅黑"/>
            <w:color w:val="087E89"/>
          </w:rPr>
          <w:t>5</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葡萄牙能源生产中可再生能源占比</w:t>
            </w:r>
          </w:p>
        </w:tc>
        <w:tc>
          <w:tcPr>
            <w:tcW w:type="dxa" w:w="2268"/>
          </w:tcPr>
          <w:p>
            <w:pPr>
              <w:spacing w:after="40"/>
            </w:pPr>
            <w:r>
              <w:rPr>
                <w:rFonts w:ascii="微软雅黑" w:hAnsi="微软雅黑" w:eastAsia="微软雅黑" w:cs="微软雅黑"/>
              </w:rPr>
              <w:t>超过70%</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102">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尼日利亚能源转型计划净零目标年份</w:t>
            </w:r>
          </w:p>
        </w:tc>
        <w:tc>
          <w:tcPr>
            <w:tcW w:type="dxa" w:w="2268"/>
          </w:tcPr>
          <w:p>
            <w:pPr>
              <w:spacing w:after="40"/>
            </w:pPr>
            <w:r>
              <w:rPr>
                <w:rFonts w:ascii="微软雅黑" w:hAnsi="微软雅黑" w:eastAsia="微软雅黑" w:cs="微软雅黑"/>
              </w:rPr>
              <w:t>2060年</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102">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英国Clashindarroch II风电场装机容量</w:t>
            </w:r>
          </w:p>
        </w:tc>
        <w:tc>
          <w:tcPr>
            <w:tcW w:type="dxa" w:w="2268"/>
          </w:tcPr>
          <w:p>
            <w:pPr>
              <w:spacing w:after="40"/>
            </w:pPr>
            <w:r>
              <w:rPr>
                <w:rFonts w:ascii="微软雅黑" w:hAnsi="微软雅黑" w:eastAsia="微软雅黑" w:cs="微软雅黑"/>
              </w:rPr>
              <w:t>63 MW</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273">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美以打击伊朗以来全球石油供应累计减少</w:t>
            </w:r>
          </w:p>
        </w:tc>
        <w:tc>
          <w:tcPr>
            <w:tcW w:type="dxa" w:w="2268"/>
          </w:tcPr>
          <w:p>
            <w:pPr>
              <w:spacing w:after="40"/>
            </w:pPr>
            <w:r>
              <w:rPr>
                <w:rFonts w:ascii="微软雅黑" w:hAnsi="微软雅黑" w:eastAsia="微软雅黑" w:cs="微软雅黑"/>
              </w:rPr>
              <w:t>近30亿桶</w:t>
            </w:r>
          </w:p>
        </w:tc>
        <w:tc>
          <w:tcPr>
            <w:tcW w:type="dxa" w:w="2268"/>
          </w:tcPr>
          <w:p>
            <w:pPr>
              <w:spacing w:after="40"/>
            </w:pPr>
            <w:r>
              <w:rPr>
                <w:rFonts w:ascii="微软雅黑" w:hAnsi="微软雅黑" w:eastAsia="微软雅黑" w:cs="微软雅黑"/>
              </w:rPr>
              <w:t>自2月底以来</w:t>
            </w:r>
          </w:p>
        </w:tc>
        <w:tc>
          <w:tcPr>
            <w:tcW w:type="dxa" w:w="2268"/>
          </w:tcPr>
          <w:p>
            <w:pPr>
              <w:spacing w:after="40"/>
            </w:pPr>
            <w:r>
              <w:rPr>
                <w:rFonts w:ascii="微软雅黑" w:hAnsi="微软雅黑" w:eastAsia="微软雅黑" w:cs="微软雅黑"/>
              </w:rPr>
            </w:r>
            <w:hyperlink w:anchor="source-12208">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12137">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Vistra获DOE有条件贷款承诺金额（用于Beaver Valley、Davis-Besse、Perry三厂增容及Comanche Peak增容选项）</w:t>
            </w:r>
          </w:p>
        </w:tc>
        <w:tc>
          <w:tcPr>
            <w:tcW w:type="dxa" w:w="2268"/>
          </w:tcPr>
          <w:p>
            <w:pPr>
              <w:spacing w:after="40"/>
            </w:pPr>
            <w:r>
              <w:rPr>
                <w:rFonts w:ascii="微软雅黑" w:hAnsi="微软雅黑" w:eastAsia="微软雅黑" w:cs="微软雅黑"/>
              </w:rPr>
              <w:t>最高42亿美元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342">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12081">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Vistra核电增容项目预计新增核电容量</w:t>
            </w:r>
          </w:p>
        </w:tc>
        <w:tc>
          <w:tcPr>
            <w:tcW w:type="dxa" w:w="2268"/>
          </w:tcPr>
          <w:p>
            <w:pPr>
              <w:spacing w:after="40"/>
            </w:pPr>
            <w:r>
              <w:rPr>
                <w:rFonts w:ascii="微软雅黑" w:hAnsi="微软雅黑" w:eastAsia="微软雅黑" w:cs="微软雅黑"/>
              </w:rPr>
              <w:t>433 MW</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342">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12081">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Vistra核电增容项目预计保留基荷电力</w:t>
            </w:r>
          </w:p>
        </w:tc>
        <w:tc>
          <w:tcPr>
            <w:tcW w:type="dxa" w:w="2268"/>
          </w:tcPr>
          <w:p>
            <w:pPr>
              <w:spacing w:after="40"/>
            </w:pPr>
            <w:r>
              <w:rPr>
                <w:rFonts w:ascii="微软雅黑" w:hAnsi="微软雅黑" w:eastAsia="微软雅黑" w:cs="微软雅黑"/>
              </w:rPr>
              <w:t>近4 GW</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342">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12081">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俄气在欧盟天然气进口中的占比</w:t>
            </w:r>
          </w:p>
        </w:tc>
        <w:tc>
          <w:tcPr>
            <w:tcW w:type="dxa" w:w="2268"/>
          </w:tcPr>
          <w:p>
            <w:pPr>
              <w:spacing w:after="40"/>
            </w:pPr>
            <w:r>
              <w:rPr>
                <w:rFonts w:ascii="微软雅黑" w:hAnsi="微软雅黑" w:eastAsia="微软雅黑" w:cs="微软雅黑"/>
              </w:rPr>
              <w:t>已从45%降至12%</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252">
              <w:r>
                <w:rPr>
                  <w:rFonts w:ascii="微软雅黑" w:hAnsi="微软雅黑" w:eastAsia="微软雅黑" w:cs="微软雅黑"/>
                  <w:color w:val="087E89"/>
                </w:rPr>
                <w:t>15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欧盟电力来自本国清洁能源的比例</w:t>
            </w:r>
          </w:p>
        </w:tc>
        <w:tc>
          <w:tcPr>
            <w:tcW w:type="dxa" w:w="2268"/>
          </w:tcPr>
          <w:p>
            <w:pPr>
              <w:spacing w:after="40"/>
            </w:pPr>
            <w:r>
              <w:rPr>
                <w:rFonts w:ascii="微软雅黑" w:hAnsi="微软雅黑" w:eastAsia="微软雅黑" w:cs="微软雅黑"/>
              </w:rPr>
              <w:t>超过70%</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252">
              <w:r>
                <w:rPr>
                  <w:rFonts w:ascii="微软雅黑" w:hAnsi="微软雅黑" w:eastAsia="微软雅黑" w:cs="微软雅黑"/>
                  <w:color w:val="087E89"/>
                </w:rPr>
                <w:t>15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霍尔木兹海峡原油周均流量</w:t>
            </w:r>
          </w:p>
        </w:tc>
        <w:tc>
          <w:tcPr>
            <w:tcW w:type="dxa" w:w="2268"/>
          </w:tcPr>
          <w:p>
            <w:pPr>
              <w:spacing w:after="40"/>
            </w:pPr>
            <w:r>
              <w:rPr>
                <w:rFonts w:ascii="微软雅黑" w:hAnsi="微软雅黑" w:eastAsia="微软雅黑" w:cs="微软雅黑"/>
              </w:rPr>
              <w:t>约1030万桶/日（战前基线约76%）</w:t>
            </w:r>
          </w:p>
        </w:tc>
        <w:tc>
          <w:tcPr>
            <w:tcW w:type="dxa" w:w="2268"/>
          </w:tcPr>
          <w:p>
            <w:pPr>
              <w:spacing w:after="40"/>
            </w:pPr>
            <w:r>
              <w:rPr>
                <w:rFonts w:ascii="微软雅黑" w:hAnsi="微软雅黑" w:eastAsia="微软雅黑" w:cs="微软雅黑"/>
              </w:rPr>
              <w:t>截至上周六的一周</w:t>
            </w:r>
          </w:p>
        </w:tc>
        <w:tc>
          <w:tcPr>
            <w:tcW w:type="dxa" w:w="2268"/>
          </w:tcPr>
          <w:p>
            <w:pPr>
              <w:spacing w:after="40"/>
            </w:pPr>
            <w:r>
              <w:rPr>
                <w:rFonts w:ascii="微软雅黑" w:hAnsi="微软雅黑" w:eastAsia="微软雅黑" w:cs="微软雅黑"/>
              </w:rPr>
            </w:r>
            <w:hyperlink w:anchor="source-12169">
              <w:r>
                <w:rPr>
                  <w:rFonts w:ascii="微软雅黑" w:hAnsi="微软雅黑" w:eastAsia="微软雅黑" w:cs="微软雅黑"/>
                  <w:color w:val="087E89"/>
                </w:rPr>
                <w:t>16</w:t>
              </w:r>
            </w:hyperlink>
            <w:r>
              <w:rPr>
                <w:rFonts w:ascii="微软雅黑" w:hAnsi="微软雅黑" w:eastAsia="微软雅黑" w:cs="微软雅黑"/>
              </w:rPr>
              <w:t xml:space="preserve"> </w:t>
            </w:r>
            <w:hyperlink w:anchor="source-12168">
              <w:r>
                <w:rPr>
                  <w:rFonts w:ascii="微软雅黑" w:hAnsi="微软雅黑" w:eastAsia="微软雅黑" w:cs="微软雅黑"/>
                  <w:color w:val="087E89"/>
                </w:rPr>
                <w:t>17</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尼日利亚上游监管机构公布产量提升与2026年许可证招标</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尼日利亚上游石油监管委员会（NUPRC）宣布获总统批准启动2026年许可证轮次，并提出恢复停产原油产量、推动海上项目FID以及提升天然气履约水平等增产计划。</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NUPRC计划恢复63家运营商超过78.8万桶/日的停产原油产量；拟推动估值300亿至500亿美元的海上项目达成最终投资决策（FID）；拟将国内天然气交付量由目前约三分之二的义务水平提升至完全履约。轮次指南将依据NEITI建议，公开评估方法、完整披露中标结果并披露竞标方实益所有人。副总统Kashim Shettima代表总统出席，尼日利亚OPEC理事Ademola Adeyemi Bero发表演讲。</w:t>
      </w:r>
    </w:p>
    <w:p>
      <w:pPr>
        <w:ind w:firstLine="420"/>
      </w:pPr>
      <w:r>
        <w:rPr>
          <w:rFonts w:ascii="微软雅黑" w:hAnsi="微软雅黑" w:eastAsia="微软雅黑" w:cs="微软雅黑"/>
        </w:rPr>
        <w:t>来源：</w:t>
      </w:r>
      <w:hyperlink w:anchor="source-12376">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2. 霍尔木兹海峡连发船只遇袭与拦截事件</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英国海上贸易行动办公室10月5日连发通报，3日和4日霍尔木兹海峡有2艘油轮和1艘液化石油气运输船被“不明发射物”击中；5日又有一艘油轮在海峡被击中并机舱起火，船员正灭火，船长报告暂无人员伤亡和明显环境破坏。</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同日通报还显示，一艘驶入霍尔木兹海峡的油轮在阿曼海塞卜以北约11海里处，被伊朗伊斯兰革命卫队要求掉头，并威胁其将成为攻击目标，船长确认船只已按要求掉头。IMO事件记录显示，自7月以来至少9名船员遇难、18人受伤、3人失踪。从波斯湾运往中国的油轮单日航运成本已飙升至约100万美元每艘。</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布伦特油价仍维持在接近每桶100美元的水平，海峡封锁已扰乱原油、化肥和液化天然气贸易，数百艘船只及船员滞留海上。</w:t>
      </w:r>
    </w:p>
    <w:p>
      <w:pPr>
        <w:ind w:firstLine="420"/>
      </w:pPr>
      <w:r>
        <w:rPr>
          <w:rFonts w:ascii="微软雅黑" w:hAnsi="微软雅黑" w:eastAsia="微软雅黑" w:cs="微软雅黑"/>
        </w:rPr>
        <w:t>来源：</w:t>
      </w:r>
      <w:hyperlink w:anchor="source-12104">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12074">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12356">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3. 欧盟将启动炼油厂战略对话并延长工业部门援助框架</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欧盟委员会主席冯德莱恩宣布，欧盟将启动欧洲炼油厂战略对话以降低成本并确保供应，包括满足国防领域需求，同时成立新工作组汇集成员国能源需求，并升级联合采购机制。</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欧盟还将延长针对受能源成本冲击较大工业部门的临时国家援助框架，并要求居民能源援助应具有针对性，重点帮助低收入家庭，避免普遍性补贴。中长期将通过发展本土清洁能源和推进电气化降低能源进口依赖。背景数据显示，自2月底以来欧洲天然气价格上涨140%，柴油价格翻倍，进口化石燃料支出额外增加约1000亿欧元。</w:t>
      </w:r>
    </w:p>
    <w:p>
      <w:pPr>
        <w:ind w:firstLine="420"/>
      </w:pPr>
      <w:r>
        <w:rPr>
          <w:rFonts w:ascii="微软雅黑" w:hAnsi="微软雅黑" w:eastAsia="微软雅黑" w:cs="微软雅黑"/>
        </w:rPr>
        <w:t>来源：</w:t>
      </w:r>
      <w:hyperlink w:anchor="source-12326">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4. 沙特阿美CEO警告全球石油库存缓冲“低得令人担忧”</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沙特阿美CEO纳赛尔在伦敦能源情报论坛上警告，全球石油库存已“低得令人担忧”，缓冲供应冲击的能力严重削弱，并指出自2月底美以对伊朗发动军事打击以来，全球石油供应累计减少近30亿桶，市场已从库存中释放约10亿桶石油储备以弥补缺口。</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纳赛尔认为，动用储备只能为各经济体争取时间，无法解决供需失衡。沙特阿美正在研究将储油设施容量扩大至目前两倍甚至三倍的方案。在价格方面，公司将11月面向亚洲买家的阿拉伯轻质原油官方售价设定为较迪拜/阿曼基准价每桶低5美元（10月折价为低2美元），并将11月面向欧洲客户的所有原油品级价格上调每桶3美元，对美国客户维持10月水平。国际基准布伦特原油过去一个月一直徘徊在每桶100美元左右。</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纳赛尔的表态凸显库存缓冲不足对供应安全的潜在影响，沙特通过OSP调整反映区域供需变化。</w:t>
      </w:r>
    </w:p>
    <w:p>
      <w:pPr>
        <w:ind w:firstLine="420"/>
      </w:pPr>
      <w:r>
        <w:rPr>
          <w:rFonts w:ascii="微软雅黑" w:hAnsi="微软雅黑" w:eastAsia="微软雅黑" w:cs="微软雅黑"/>
        </w:rPr>
        <w:t>来源：</w:t>
      </w:r>
      <w:hyperlink w:anchor="source-12208">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12137">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5. 霍尔木兹原油流量回升至战前76%，柴油短缺成油市核心矛盾</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Kpler数据显示，截至上周六的一周内，经霍尔木兹海峡的原油流量平均约每日1030万桶，约为战前基线的76%；成品油运量约每日130万桶，占总流量约11%，远低于战前超20%的比例。沙特、科威特、阿联酋、伊拉克等地炼油厂在导弹袭击和冲突相关中断后仍处于停产状态。沙特9月原油出口约每日700万桶，约为8月水平的两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G7经济体上周五同意从应急储备中释放1亿桶原油和燃料，但未限制柴油等产品的出口；美国石油高管敦促海军优先护航运载柴油的成品油轮。日本和韩国炼油商将大部分燃料留在国内，导致柴油出口受限。分析师认为，即使当前原油流量维持，全面供应恢复也要等到2027年之后，因修复油田和炼油厂、补充数亿桶损失库存需要时间。</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原油流量回升部分缓解供应担忧，但成品油占比远低于战前，叠加炼厂停产，柴油及航煤缺口成为市场主要矛盾。</w:t>
      </w:r>
    </w:p>
    <w:p>
      <w:pPr>
        <w:ind w:firstLine="420"/>
      </w:pPr>
      <w:r>
        <w:rPr>
          <w:rFonts w:ascii="微软雅黑" w:hAnsi="微软雅黑" w:eastAsia="微软雅黑" w:cs="微软雅黑"/>
        </w:rPr>
        <w:t>来源：</w:t>
      </w:r>
      <w:hyperlink w:anchor="source-12169">
        <w:r>
          <w:rPr>
            <w:rFonts w:ascii="微软雅黑" w:hAnsi="微软雅黑" w:eastAsia="微软雅黑" w:cs="微软雅黑"/>
            <w:color w:val="087E89"/>
          </w:rPr>
          <w:t>16</w:t>
        </w:r>
      </w:hyperlink>
      <w:r>
        <w:rPr>
          <w:rFonts w:ascii="微软雅黑" w:hAnsi="微软雅黑" w:eastAsia="微软雅黑" w:cs="微软雅黑"/>
        </w:rPr>
        <w:t xml:space="preserve"> </w:t>
      </w:r>
      <w:hyperlink w:anchor="source-12168">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6. 联合国秘书长等多方就化石燃料退出提出不同主张</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在相关气候会议上，联合国秘书长古特雷斯呼吁各国制定带明确时间表的化石燃料退出计划，并保护工人和社区。马绍尔群岛总统指出巴黎协定1.5°C温升目标可能失守，呼吁大幅加速摆脱化石燃料。图瓦卢呼吁“快速、公平、公正、有序”的化石燃料退出，并要求削减甲烷和二氧化碳排放。</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马绍尔群岛总统指出1.5°C温升目标可能失守，呼吁大幅加速摆脱化石燃料。图瓦卢要求削减甲烷和二氧化碳排放，并强调退出应“快速、公平、公正、有序”。古特雷斯则呼吁制定带明确时间表的退出计划并保护工人与社区。</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沙特阿拉伯强调不应排除任何能源，主张兼顾能源安全、气候保护与经济发展的现实转型路径。尼日利亚能源转型计划目标为2060年净零排放，将可再生能源和清洁烹饪与天然气过渡燃料结合。葡萄牙超过70%的能源生产来自可再生能源，并将碳中和目标提前至2045年。</w:t>
      </w:r>
    </w:p>
    <w:p>
      <w:pPr>
        <w:ind w:firstLine="420"/>
      </w:pPr>
      <w:r>
        <w:rPr>
          <w:rFonts w:ascii="微软雅黑" w:hAnsi="微软雅黑" w:eastAsia="微软雅黑" w:cs="微软雅黑"/>
        </w:rPr>
        <w:t>来源：</w:t>
      </w:r>
      <w:hyperlink w:anchor="source-12102">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7. 欧盟年底前将完全停止进口俄罗斯天然气</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盟委员会主席表示，欧盟仍计划在今年年底前完全停止进口俄罗斯天然气。此前俄气在欧盟天然气进口中的占比已从45%降至12%。根据欧盟计划，自2027年1月1日起将全面禁止进口俄罗斯液化天然气，到同年秋季将完全停止进口俄罗斯管道天然气。</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欧盟能源进口结构继续调整，俄气在欧盟天然气进口中的占比已从45%降至12%。欧盟委员会主席表示仍计划在今年年底前将俄气进口降至零。后续安排包括自2027年1月1日起全面禁止进口俄罗斯液化天然气，并在2027年秋季完全停止俄罗斯管道天然气进口。今年4月，斯洛伐克已向欧盟法院提起诉讼，反对禁止进口俄罗斯天然气的决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俄罗斯曾表示西方拒绝购买俄油气是严重错误，声称拒绝者仍通过中间商以更高价格继续购买。</w:t>
      </w:r>
    </w:p>
    <w:p>
      <w:pPr>
        <w:ind w:firstLine="420"/>
      </w:pPr>
      <w:r>
        <w:rPr>
          <w:rFonts w:ascii="微软雅黑" w:hAnsi="微软雅黑" w:eastAsia="微软雅黑" w:cs="微软雅黑"/>
        </w:rPr>
        <w:t>来源：</w:t>
      </w:r>
      <w:hyperlink w:anchor="source-12252">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8. 美能源部向Vistra提供42亿美元贷款支持核电增容升级</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美国能源部宣布向Vistra Corp提供最高42亿美元的有条件贷款承诺，用于Beaver Valley、Davis-Besse和Perry三座核电厂增容与现代化改造，并包含未来对Comanche Peak增容的融资选项。</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项目预计保留近4 GW基荷电力，并新增433 MW核电容量，服务宾夕法尼亚、俄亥俄以及覆盖13州的PJM互联区域，无需新建输电通道；预计带动约3000个工程、施工及检修相关就业岗位，并保留数千个长期固定岗位。Vistra此前已与AWS签署20年购电协议（最多1200 MW，来自Comanche Peak），并与Meta签署20年购电协议（覆盖Perry、Davis-Besse及增容电力共2176 MW）。</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通过贷款和既有PPA锁定收入，有助于在现有执照基础上将核电厂运行寿期再延长20年，巩固核电作为数据中心长期基荷电源的融资路径。</w:t>
      </w:r>
    </w:p>
    <w:p>
      <w:pPr>
        <w:ind w:firstLine="420"/>
      </w:pPr>
      <w:r>
        <w:rPr>
          <w:rFonts w:ascii="微软雅黑" w:hAnsi="微软雅黑" w:eastAsia="微软雅黑" w:cs="微软雅黑"/>
        </w:rPr>
        <w:t>来源：</w:t>
      </w:r>
      <w:hyperlink w:anchor="source-12342">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12081">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9. 西弗吉尼亚州退出DOE乏燃料集中临时贮存设施项目</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西弗吉尼亚州已退出美国能源部核燃料生命周期创新园区（NLIC）项目，这是州长Patrick Morrisey政策的急剧反转。</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西弗吉尼亚能源办公室此前提议在布恩县前矿区建设乏燃料集中临时贮存设施（CISF），并将本州定位为全国乏燃料回收、临时贮存及长期材料管理中心。在地方政府和议员强烈反对后，Morrisey州长改口，表示该州将发展核电和制造业，但不会成为核废料倾倒场。WVOE在联邦截止日期前向DOE代理副助理部长Marla Morales提交简短信函，拒绝签署必要的托管协议，但表示仍支持国家核能复兴愿景。</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NLIC项目失去西弗吉尼亚州拟议的CISF选址，可能影响美国乏燃料集中临时贮存设施的选址进程。</w:t>
      </w:r>
    </w:p>
    <w:p>
      <w:pPr>
        <w:ind w:firstLine="420"/>
      </w:pPr>
      <w:r>
        <w:rPr>
          <w:rFonts w:ascii="微软雅黑" w:hAnsi="微软雅黑" w:eastAsia="微软雅黑" w:cs="微软雅黑"/>
        </w:rPr>
        <w:t>来源：</w:t>
      </w:r>
      <w:hyperlink w:anchor="source-12359">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10. Zelestra与EDP签协议为西班牙太阳能电站配建储能</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可再生能源公司Zelestra与EDP签署两项新的购电协议，将在西班牙现有的太阳能电站增加四小时电池储能系统，EDP为电站现有电力购买方。</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Zelestra西班牙首席执行官Jaime Burguete表示，双方在西班牙市场正释放大规模储能容量，预计储能将成市场主要增长领域。EDP全球能源管理首席执行官Pedro Neves Ferreira指出，将储能与可再生能源发电相结合可提升系统韧性、提高效率，并加速电气化与脱碳进程。协议内容与电站规模、储能容量及交付时间未在事实中给出。</w:t>
      </w:r>
    </w:p>
    <w:p>
      <w:pPr>
        <w:ind w:firstLine="420"/>
      </w:pPr>
      <w:r>
        <w:rPr>
          <w:rFonts w:ascii="微软雅黑" w:hAnsi="微软雅黑" w:eastAsia="微软雅黑" w:cs="微软雅黑"/>
        </w:rPr>
        <w:t>来源：</w:t>
      </w:r>
      <w:hyperlink w:anchor="source-12226">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11. 欧洲二季度负电价创新高，西班牙小时数居首</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西班牙以596小时位居欧洲二季度负电价小时数首位，葡萄牙、法国、希腊紧随其后；太阳能发电量同比增长近20%，午间出现负电价，德国傍晚高峰电价飙升至600欧元/兆瓦时以上。</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欧洲二季度负电价小时数排名：西班牙596小时、葡萄牙462小时、法国370小时、希腊317小时；二季度欧洲太阳能发电量同比增长近20%，在高压持续、阳光充足天气下推动电力供应过剩并形成午间负电价；德国傍晚高峰时段电价飙升至600欧元/兆瓦时以上；部分燃机、储能运营商及工业用户在日前市场回避负电价报价，将容量保留至日内或平衡市场。</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在二季度太阳能出力大增背景下，欧洲多国日前市场出现负电价，反映供应过剩与价格信号紊乱；部分市场主体已通过报价策略调整应对。</w:t>
      </w:r>
    </w:p>
    <w:p>
      <w:pPr>
        <w:ind w:firstLine="420"/>
      </w:pPr>
      <w:r>
        <w:rPr>
          <w:rFonts w:ascii="微软雅黑" w:hAnsi="微软雅黑" w:eastAsia="微软雅黑" w:cs="微软雅黑"/>
        </w:rPr>
        <w:t>来源：</w:t>
      </w:r>
      <w:hyperlink w:anchor="source-12236">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12. CEA抛八电池设备安全与运行标准草案</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印度CEA通过CEI部门发布电气安全与运行标准草案，涵盖太阳能项目及漂浮式光伏、BESS等设施的安全与运行要求，并公开征求公众意见。</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草案依据《2026年中央电力局（安全与供电相关措施）修订条例》第137条制定，整合IS及IEC、NFPA、IEEE和UL等机构国际标准；太阳能项目纳入雷电保护、电涌保护装置与火灾探测系统等措施；漂浮式光伏草案明确盐雾、氨腐蚀及HDPE结构拉伸应力检测要求；针对BESS提出应对热失控与火灾风险的安全框架，涵盖消防、HVAC通风与电解液泄漏防控要求；CEA就此拟议标准征求利益相关方和公众意见。</w:t>
      </w:r>
    </w:p>
    <w:p>
      <w:pPr>
        <w:ind w:firstLine="420"/>
      </w:pPr>
      <w:r>
        <w:rPr>
          <w:rFonts w:ascii="微软雅黑" w:hAnsi="微软雅黑" w:eastAsia="微软雅黑" w:cs="微软雅黑"/>
        </w:rPr>
        <w:t>来源：</w:t>
      </w:r>
      <w:hyperlink w:anchor="source-12186">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13. Vattenfall完成Clashindarroch II风电场全部风机低碳基础施工</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Vattenfall在11周内完成了位于阿伯丁郡的Clashindarroch II风电场全部14台风机基础施工，混凝土采用至少掺入25%粉煤灰的水泥混合料，预计可使每立方米混凝土的隐含碳排放降低约20%至30%，每个风机基础使用约85吨钢筋，风电场预计于2027年夏季首次发电。</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14台风机基础施工在11周内完成，混凝土采用至少掺入25%粉煤灰的水泥混合料替代部分普通硅酸盐水泥，预计可使每立方米混凝土的隐含碳排放降低约20%至30%，每个风机基础使用约85吨钢筋。Vattenfall高级项目经理Stuart Matthews表示，低碳混凝土、回收钢筋和现场混凝土生产帮助减少了本阶段的隐含碳和运输排放。</w:t>
      </w:r>
    </w:p>
    <w:p>
      <w:pPr>
        <w:ind w:firstLine="420"/>
      </w:pPr>
      <w:r>
        <w:rPr>
          <w:rFonts w:ascii="微软雅黑" w:hAnsi="微软雅黑" w:eastAsia="微软雅黑" w:cs="微软雅黑"/>
        </w:rPr>
        <w:t>来源：</w:t>
      </w:r>
      <w:hyperlink w:anchor="source-12273">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14. 韩国气候部长承诺提前达成2030年100吉瓦可再生能源目标</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韩国气候能源环境部长官金星焕在国会国政监查中表示，将提前达成2030年可再生能源装机100GW以上的目标，并承诺制定反映2035年NDC目标的路线图、改革电力系统制度与运营、加快电网建设、强化排放权交易制度，并将脱碳能源产业打造为出口主力产业。</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金部长承诺提前达成2030年可再生能源装机100GW以上的目标；将制定反映2035年NDC目标的路线图，并通过强化排放权交易制度推动全方位脱碳转型；同时表示将改革电力系统制度与运营、加快电网建设并确保居民接受度，并将脱碳能源产业打造为出口主力产业。</w:t>
      </w:r>
    </w:p>
    <w:p>
      <w:pPr>
        <w:ind w:firstLine="420"/>
      </w:pPr>
      <w:r>
        <w:rPr>
          <w:rFonts w:ascii="微软雅黑" w:hAnsi="微软雅黑" w:eastAsia="微软雅黑" w:cs="微软雅黑"/>
        </w:rPr>
        <w:t>来源：</w:t>
      </w:r>
      <w:hyperlink w:anchor="source-12159">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15. GWEC发布漂浮式风电行动计划 推动2030年前FID</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全球风能理事会（GWEC）发布漂浮式风电行动计划，提出三大支柱：价值与成本降低、扩大融资与保险准入并降低资本成本、通过基础设施与创新扩大供应链规模，目标是在2030年前支持首批漂浮式风电商业化项目作出最终投资决定。</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行动计划围绕三大支柱：1）价值与成本降低；2）扩大融资与保险准入并降低资本成本；3）通过基础设施、标准化和创新扩大供应链规模。目标是在2030年前支持首批漂浮式风电商业化项目作出最终投资决策。英国、法国、挪威、西班牙、葡萄牙、韩国、日本已设定漂浮式风电国家目标，合计约90 GW（到2045年）。</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为漂浮式风电商业化提供行业级路线图，并首次量化多国国家目标合计规模。</w:t>
      </w:r>
    </w:p>
    <w:p>
      <w:pPr>
        <w:ind w:firstLine="420"/>
      </w:pPr>
      <w:r>
        <w:rPr>
          <w:rFonts w:ascii="微软雅黑" w:hAnsi="微软雅黑" w:eastAsia="微软雅黑" w:cs="微软雅黑"/>
        </w:rPr>
        <w:t>来源：</w:t>
      </w:r>
      <w:hyperlink w:anchor="source-12325">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16. 巴西MME公布发电削减补偿资格名单</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巴西矿业与能源部（MME）依据第140/2026号规范性文件和第253/2026/SE-MME号公函推进发电削减补偿工作，公布符合资格名单；被列为合格仅表示可继续推进流程。</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资格审核依据MME第140/2026号规范性文件和第253/2026/SE-MME号公函，评估由ONS按法规标准执行。被列为合格仅表示可继续推进流程，实际补偿效果仍取决于是否签署承诺书（Termo de Compromisso）。</w:t>
      </w:r>
    </w:p>
    <w:p>
      <w:pPr>
        <w:ind w:firstLine="420"/>
      </w:pPr>
      <w:r>
        <w:rPr>
          <w:rFonts w:ascii="微软雅黑" w:hAnsi="微软雅黑" w:eastAsia="微软雅黑" w:cs="微软雅黑"/>
        </w:rPr>
        <w:t>来源：</w:t>
      </w:r>
      <w:hyperlink w:anchor="source-12128">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17. 欧盟启动能源转型投资理事会成员征集</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欧盟委员会启动新设立的能源转型投资理事会（ETIC）及“国家促进银行与机构与国际金融机构协调小组”成员申请征集，开放期4周。EIB集团、EBRD及ACER作为直接受邀成员加入。</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欧盟委员会开放“能源转型投资理事会（ETIC）”及其下设“国家促进银行与机构（NPBI）及国际金融机构（IFI）协调小组”的成员申请，征集期为4周。EIB集团（含EIB和EIF）、欧洲复兴开发银行（EBRD）以及能源监管合作机构（ACER）作为直接受邀成员加入。NPBI与IFI协调小组将直接向ETIC汇报，负责在公共金融机构间协调并推广最佳实践，以畅通并最大化清洁能源项目资金流。能源与住房事务委员Dan Jørgensen表示，公共资金可起催化作用，但动员私人资本对应对历史性清洁能源投资挑战至关重要。</w:t>
      </w:r>
    </w:p>
    <w:p>
      <w:pPr>
        <w:ind w:firstLine="420"/>
      </w:pPr>
      <w:r>
        <w:rPr>
          <w:rFonts w:ascii="微软雅黑" w:hAnsi="微软雅黑" w:eastAsia="微软雅黑" w:cs="微软雅黑"/>
        </w:rPr>
        <w:t>来源：</w:t>
      </w:r>
      <w:hyperlink w:anchor="source-12353">
        <w:r>
          <w:rPr>
            <w:rFonts w:ascii="微软雅黑" w:hAnsi="微软雅黑" w:eastAsia="微软雅黑" w:cs="微软雅黑"/>
            <w:color w:val="087E89"/>
          </w:rPr>
          <w:t>21</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18. 山东招远核电站一期进入土建高峰期</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中广核通报，山东招远核电站一期1、2号机组进入土建高峰期。1号机组反应堆厂房完成“内五层+外一层”混凝土浇筑，内墙施工推进；2号机组完成核岛、常规岛及冷却塔首罐混凝土浇筑。</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中广核披露，山东招远核电站一期工程涵盖1号、2号机组，目前两台机组均进入土建高峰期。其中1号机组反应堆厂房已完成“内五层+外一层”混凝土浇筑，内墙施工顺利推进；2号机组已完成核岛、常规岛及冷却塔的首罐混凝土浇筑。后续将按工程计划继续推进土建施工与相关节点。具体并网或商运时间未在事实中给出。</w:t>
      </w:r>
    </w:p>
    <w:p>
      <w:pPr>
        <w:ind w:firstLine="420"/>
      </w:pPr>
      <w:r>
        <w:rPr>
          <w:rFonts w:ascii="微软雅黑" w:hAnsi="微软雅黑" w:eastAsia="微软雅黑" w:cs="微软雅黑"/>
        </w:rPr>
        <w:t>来源：</w:t>
      </w:r>
      <w:hyperlink w:anchor="source-12341">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19. 中国BEST聚变装置主工程基地在合肥启用</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中国BEST聚变装置主工程基地在安徽合肥启用并交付新园区，由中国科学院等离子体物理研究所（ASIPP）设计，聚变能源（安徽）有限公司承建，工程预计2027年底完工。</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BEST聚变装置主工程基地在安徽合肥启用并交付新园区。装置由中国科学院等离子体物理研究所（ASIPP）设计，聚变能源（安徽）有限公司承建。工程预计2027年底完工，2030年前后开展氘氚聚变发电示范。BEST旨在维持燃烧等离子体并实现净电力输出，是EAST之后的下一代装置，被定位为通向中国聚变工程实验堆（CFETR）的快速跳板。</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聚变能源（安徽）有限公司承建BEST聚变装置，被定位为通向CFETR的快速跳板。</w:t>
      </w:r>
    </w:p>
    <w:p>
      <w:pPr>
        <w:ind w:firstLine="420"/>
      </w:pPr>
      <w:r>
        <w:rPr>
          <w:rFonts w:ascii="微软雅黑" w:hAnsi="微软雅黑" w:eastAsia="微软雅黑" w:cs="微软雅黑"/>
        </w:rPr>
        <w:t>来源：</w:t>
      </w:r>
      <w:hyperlink w:anchor="source-12264">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20. 敦德尔启动中国首个绿氢制可持续航空燃料示范项目</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敦德尔在中国启动伊吾绿氢制SAF项目，这是中国首个将绿氢与负碳航空煤油生产相结合的示范项目，也是国内同类技术路线规模最大的示范项目。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采用从“千吨级—万吨级—十万吨级”清晰的三阶段放大路径。敦德尔2018年进入氢能产业，目前已成长为涵盖“制储输加用”全价值链的氢能装备制造商与工程服务商，业务覆盖氢能、石化、电力、钢铁、交通及航空航天等领域。在压缩机领域，敦德尔已形成隔膜压缩机、液驱压缩机、离子液密封压缩机和往复式活塞压缩机四条产品线；其中隔膜压缩机最高压力达9000万帕，氢气输出纯度超过99.999%，为中国首台国产超高压隔膜压缩机；离子液密封压缩机排气压力超过1亿帕，为全球首台自主研制产品。</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项目是国内同类技术路线规模最大的示范，并体现企业在绿氢制SAF装备链上的自主能力。</w:t>
      </w:r>
    </w:p>
    <w:p>
      <w:pPr>
        <w:ind w:firstLine="420"/>
      </w:pPr>
      <w:r>
        <w:rPr>
          <w:rFonts w:ascii="微软雅黑" w:hAnsi="微软雅黑" w:eastAsia="微软雅黑" w:cs="微软雅黑"/>
        </w:rPr>
        <w:t>来源：</w:t>
      </w:r>
      <w:hyperlink w:anchor="source-12245">
        <w:r>
          <w:rPr>
            <w:rFonts w:ascii="微软雅黑" w:hAnsi="微软雅黑" w:eastAsia="微软雅黑" w:cs="微软雅黑"/>
            <w:color w:val="087E89"/>
          </w:rPr>
          <w:t>1</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三阶段放大路径中各阶段的具体时间表、产能节点与下游航煤认证进展。 </w:t>
      </w:r>
      <w:hyperlink w:anchor="source-12245">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各国立场能否凝聚为带时间表的退出安排。 </w:t>
      </w:r>
      <w:hyperlink w:anchor="source-12102">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2026许可证轮次具体区块范围、获批海上项目FID时间表以及天然气履约提升的执行进度仍待后续披露。 </w:t>
      </w:r>
      <w:hyperlink w:anchor="source-12376">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1、2号机组后续土建及安装节点进展，并网与商运时间安排。 </w:t>
      </w:r>
      <w:hyperlink w:anchor="source-12341">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风电场能否按计划于2027年夏季首次发电。 </w:t>
      </w:r>
      <w:hyperlink w:anchor="source-12273">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协议下电站增加储能的具体规模、装机容量与投运时间尚未披露。 </w:t>
      </w:r>
      <w:hyperlink w:anchor="source-12226">
        <w:r>
          <w:rPr>
            <w:rFonts w:ascii="微软雅黑" w:hAnsi="微软雅黑" w:eastAsia="微软雅黑" w:cs="微软雅黑"/>
            <w:color w:val="087E89"/>
          </w:rPr>
          <w:t>6</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178 篇文章，形成 170 篇有效能源材料；正文引用 25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8 篇材料尚待复核，未纳入本期判断。</w:t>
      </w:r>
    </w:p>
    <w:p>
      <w:pPr>
        <w:pStyle w:val="Heading2"/>
      </w:pPr>
      <w:r>
        <w:rPr>
          <w:rFonts w:ascii="微软雅黑" w:hAnsi="微软雅黑" w:eastAsia="微软雅黑" w:cs="微软雅黑"/>
        </w:rPr>
        <w:t>资料来源</w:t>
      </w:r>
    </w:p>
    <w:p>
      <w:pPr>
        <w:spacing w:after="0" w:line="20" w:lineRule="exact"/>
      </w:pPr>
      <w:bookmarkStart w:id="1" w:name="source-12245"/>
      <w:bookmarkEnd w:id="1" w:name="source-12245"/>
    </w:p>
    <w:p>
      <w:pPr>
        <w:pStyle w:val="ListBullet"/>
      </w:pPr>
      <w:r>
        <w:rPr>
          <w:rFonts w:ascii="微软雅黑" w:hAnsi="微软雅黑" w:eastAsia="微软雅黑" w:cs="微软雅黑"/>
        </w:rPr>
        <w:t>[1] 《油气工程》｜</w:t>
      </w:r>
      <w:hyperlink r:id="rId11">
        <w:r>
          <w:rPr>
            <w:rFonts w:ascii="微软雅黑" w:hAnsi="微软雅黑" w:eastAsia="微软雅黑" w:cs="微软雅黑"/>
            <w:color w:val="087E89"/>
          </w:rPr>
          <w:t>敦德尔在中国启动首个绿氢制可持续航空燃料项目</w:t>
        </w:r>
      </w:hyperlink>
      <w:r>
        <w:rPr>
          <w:rFonts w:ascii="微软雅黑" w:hAnsi="微软雅黑" w:eastAsia="微软雅黑" w:cs="微软雅黑"/>
        </w:rPr>
      </w:r>
    </w:p>
    <w:p>
      <w:pPr>
        <w:spacing w:after="0" w:line="20" w:lineRule="exact"/>
      </w:pPr>
      <w:bookmarkStart w:id="2" w:name="source-12102"/>
      <w:bookmarkEnd w:id="2" w:name="source-12102"/>
    </w:p>
    <w:p>
      <w:pPr>
        <w:pStyle w:val="ListBullet"/>
      </w:pPr>
      <w:r>
        <w:rPr>
          <w:rFonts w:ascii="微软雅黑" w:hAnsi="微软雅黑" w:eastAsia="微软雅黑" w:cs="微软雅黑"/>
        </w:rPr>
        <w:t>[2] 联合国｜</w:t>
      </w:r>
      <w:hyperlink r:id="rId12">
        <w:r>
          <w:rPr>
            <w:rFonts w:ascii="微软雅黑" w:hAnsi="微软雅黑" w:eastAsia="微软雅黑" w:cs="微软雅黑"/>
            <w:color w:val="087E89"/>
          </w:rPr>
          <w:t>安全、牺牲还是机遇：对有效气候行动的不同愿景</w:t>
        </w:r>
      </w:hyperlink>
      <w:r>
        <w:rPr>
          <w:rFonts w:ascii="微软雅黑" w:hAnsi="微软雅黑" w:eastAsia="微软雅黑" w:cs="微软雅黑"/>
        </w:rPr>
      </w:r>
    </w:p>
    <w:p>
      <w:pPr>
        <w:spacing w:after="0" w:line="20" w:lineRule="exact"/>
      </w:pPr>
      <w:bookmarkStart w:id="3" w:name="source-12376"/>
      <w:bookmarkEnd w:id="3" w:name="source-12376"/>
    </w:p>
    <w:p>
      <w:pPr>
        <w:pStyle w:val="ListBullet"/>
      </w:pPr>
      <w:r>
        <w:rPr>
          <w:rFonts w:ascii="微软雅黑" w:hAnsi="微软雅黑" w:eastAsia="微软雅黑" w:cs="微软雅黑"/>
        </w:rPr>
        <w:t>[3] 尼日利亚上游石油监管委员会｜</w:t>
      </w:r>
      <w:hyperlink r:id="rId13">
        <w:r>
          <w:rPr>
            <w:rFonts w:ascii="微软雅黑" w:hAnsi="微软雅黑" w:eastAsia="微软雅黑" w:cs="微软雅黑"/>
            <w:color w:val="087E89"/>
          </w:rPr>
          <w:t>尼日利亚上游石油监管委员会宣布2026年许可证招标，公布提升产量计划</w:t>
        </w:r>
      </w:hyperlink>
      <w:r>
        <w:rPr>
          <w:rFonts w:ascii="微软雅黑" w:hAnsi="微软雅黑" w:eastAsia="微软雅黑" w:cs="微软雅黑"/>
        </w:rPr>
      </w:r>
    </w:p>
    <w:p>
      <w:pPr>
        <w:spacing w:after="0" w:line="20" w:lineRule="exact"/>
      </w:pPr>
      <w:bookmarkStart w:id="4" w:name="source-12341"/>
      <w:bookmarkEnd w:id="4" w:name="source-12341"/>
    </w:p>
    <w:p>
      <w:pPr>
        <w:pStyle w:val="ListBullet"/>
      </w:pPr>
      <w:r>
        <w:rPr>
          <w:rFonts w:ascii="微软雅黑" w:hAnsi="微软雅黑" w:eastAsia="微软雅黑" w:cs="微软雅黑"/>
        </w:rPr>
        <w:t>[4] 世界核新闻｜</w:t>
      </w:r>
      <w:hyperlink r:id="rId14">
        <w:r>
          <w:rPr>
            <w:rFonts w:ascii="微软雅黑" w:hAnsi="微软雅黑" w:eastAsia="微软雅黑" w:cs="微软雅黑"/>
            <w:color w:val="087E89"/>
          </w:rPr>
          <w:t>中国华龙一号机组混凝土浇筑里程碑节点达成</w:t>
        </w:r>
      </w:hyperlink>
      <w:r>
        <w:rPr>
          <w:rFonts w:ascii="微软雅黑" w:hAnsi="微软雅黑" w:eastAsia="微软雅黑" w:cs="微软雅黑"/>
        </w:rPr>
      </w:r>
    </w:p>
    <w:p>
      <w:pPr>
        <w:spacing w:after="0" w:line="20" w:lineRule="exact"/>
      </w:pPr>
      <w:bookmarkStart w:id="5" w:name="source-12273"/>
      <w:bookmarkEnd w:id="5" w:name="source-12273"/>
    </w:p>
    <w:p>
      <w:pPr>
        <w:pStyle w:val="ListBullet"/>
      </w:pPr>
      <w:r>
        <w:rPr>
          <w:rFonts w:ascii="微软雅黑" w:hAnsi="微软雅黑" w:eastAsia="微软雅黑" w:cs="微软雅黑"/>
        </w:rPr>
        <w:t>[5] 《能源全球》｜</w:t>
      </w:r>
      <w:hyperlink r:id="rId15">
        <w:r>
          <w:rPr>
            <w:rFonts w:ascii="微软雅黑" w:hAnsi="微软雅黑" w:eastAsia="微软雅黑" w:cs="微软雅黑"/>
            <w:color w:val="087E89"/>
          </w:rPr>
          <w:t>Vattenfall完成Clashindarroch II风电场低碳基础施工</w:t>
        </w:r>
      </w:hyperlink>
      <w:r>
        <w:rPr>
          <w:rFonts w:ascii="微软雅黑" w:hAnsi="微软雅黑" w:eastAsia="微软雅黑" w:cs="微软雅黑"/>
        </w:rPr>
      </w:r>
    </w:p>
    <w:p>
      <w:pPr>
        <w:spacing w:after="0" w:line="20" w:lineRule="exact"/>
      </w:pPr>
      <w:bookmarkStart w:id="6" w:name="source-12226"/>
      <w:bookmarkEnd w:id="6" w:name="source-12226"/>
    </w:p>
    <w:p>
      <w:pPr>
        <w:pStyle w:val="ListBullet"/>
      </w:pPr>
      <w:r>
        <w:rPr>
          <w:rFonts w:ascii="微软雅黑" w:hAnsi="微软雅黑" w:eastAsia="微软雅黑" w:cs="微软雅黑"/>
        </w:rPr>
        <w:t>[6] Power Technology｜</w:t>
      </w:r>
      <w:hyperlink r:id="rId16">
        <w:r>
          <w:rPr>
            <w:rFonts w:ascii="微软雅黑" w:hAnsi="微软雅黑" w:eastAsia="微软雅黑" w:cs="微软雅黑"/>
            <w:color w:val="087E89"/>
          </w:rPr>
          <w:t>Zelestra与EDP签署两项购电协议，为西班牙太阳能电站增加电池储能</w:t>
        </w:r>
      </w:hyperlink>
      <w:r>
        <w:rPr>
          <w:rFonts w:ascii="微软雅黑" w:hAnsi="微软雅黑" w:eastAsia="微软雅黑" w:cs="微软雅黑"/>
        </w:rPr>
      </w:r>
    </w:p>
    <w:p>
      <w:pPr>
        <w:spacing w:after="0" w:line="20" w:lineRule="exact"/>
      </w:pPr>
      <w:bookmarkStart w:id="7" w:name="source-12208"/>
      <w:bookmarkEnd w:id="7" w:name="source-12208"/>
    </w:p>
    <w:p>
      <w:pPr>
        <w:pStyle w:val="ListBullet"/>
      </w:pPr>
      <w:r>
        <w:rPr>
          <w:rFonts w:ascii="微软雅黑" w:hAnsi="微软雅黑" w:eastAsia="微软雅黑" w:cs="微软雅黑"/>
        </w:rPr>
        <w:t>[7] 人民财讯等｜</w:t>
      </w:r>
      <w:hyperlink r:id="rId17">
        <w:r>
          <w:rPr>
            <w:rFonts w:ascii="微软雅黑" w:hAnsi="微软雅黑" w:eastAsia="微软雅黑" w:cs="微软雅黑"/>
            <w:color w:val="087E89"/>
          </w:rPr>
          <w:t>沙特阿美：恢复全球石油储备或需两年</w:t>
        </w:r>
      </w:hyperlink>
      <w:r>
        <w:rPr>
          <w:rFonts w:ascii="微软雅黑" w:hAnsi="微软雅黑" w:eastAsia="微软雅黑" w:cs="微软雅黑"/>
        </w:rPr>
      </w:r>
    </w:p>
    <w:p>
      <w:pPr>
        <w:spacing w:after="0" w:line="20" w:lineRule="exact"/>
      </w:pPr>
      <w:bookmarkStart w:id="8" w:name="source-12137"/>
      <w:bookmarkEnd w:id="8" w:name="source-12137"/>
    </w:p>
    <w:p>
      <w:pPr>
        <w:pStyle w:val="ListBullet"/>
      </w:pPr>
      <w:r>
        <w:rPr>
          <w:rFonts w:ascii="微软雅黑" w:hAnsi="微软雅黑" w:eastAsia="微软雅黑" w:cs="微软雅黑"/>
        </w:rPr>
        <w:t>[8] Mysteel｜</w:t>
      </w:r>
      <w:hyperlink r:id="rId18">
        <w:r>
          <w:rPr>
            <w:rFonts w:ascii="微软雅黑" w:hAnsi="微软雅黑" w:eastAsia="微软雅黑" w:cs="微软雅黑"/>
            <w:color w:val="087E89"/>
          </w:rPr>
          <w:t>沙特阿美CEO警告：全球石油供应“安全垫”已低得令人担忧</w:t>
        </w:r>
      </w:hyperlink>
      <w:r>
        <w:rPr>
          <w:rFonts w:ascii="微软雅黑" w:hAnsi="微软雅黑" w:eastAsia="微软雅黑" w:cs="微软雅黑"/>
        </w:rPr>
      </w:r>
    </w:p>
    <w:p>
      <w:pPr>
        <w:spacing w:after="0" w:line="20" w:lineRule="exact"/>
      </w:pPr>
      <w:bookmarkStart w:id="9" w:name="source-12342"/>
      <w:bookmarkEnd w:id="9" w:name="source-12342"/>
    </w:p>
    <w:p>
      <w:pPr>
        <w:pStyle w:val="ListBullet"/>
      </w:pPr>
      <w:r>
        <w:rPr>
          <w:rFonts w:ascii="微软雅黑" w:hAnsi="微软雅黑" w:eastAsia="微软雅黑" w:cs="微软雅黑"/>
        </w:rPr>
        <w:t>[9] 世界核新闻｜</w:t>
      </w:r>
      <w:hyperlink r:id="rId19">
        <w:r>
          <w:rPr>
            <w:rFonts w:ascii="微软雅黑" w:hAnsi="微软雅黑" w:eastAsia="微软雅黑" w:cs="微软雅黑"/>
            <w:color w:val="087E89"/>
          </w:rPr>
          <w:t>DOE 提供 Vistra 贷款用于反应堆升级和提升功率</w:t>
        </w:r>
      </w:hyperlink>
      <w:r>
        <w:rPr>
          <w:rFonts w:ascii="微软雅黑" w:hAnsi="微软雅黑" w:eastAsia="微软雅黑" w:cs="微软雅黑"/>
        </w:rPr>
      </w:r>
    </w:p>
    <w:p>
      <w:pPr>
        <w:spacing w:after="0" w:line="20" w:lineRule="exact"/>
      </w:pPr>
      <w:bookmarkStart w:id="10" w:name="source-12081"/>
      <w:bookmarkEnd w:id="10" w:name="source-12081"/>
    </w:p>
    <w:p>
      <w:pPr>
        <w:pStyle w:val="ListBullet"/>
      </w:pPr>
      <w:r>
        <w:rPr>
          <w:rFonts w:ascii="微软雅黑" w:hAnsi="微软雅黑" w:eastAsia="微软雅黑" w:cs="微软雅黑"/>
        </w:rPr>
        <w:t>[10] 《电力杂志》｜</w:t>
      </w:r>
      <w:hyperlink r:id="rId20">
        <w:r>
          <w:rPr>
            <w:rFonts w:ascii="微软雅黑" w:hAnsi="微软雅黑" w:eastAsia="微软雅黑" w:cs="微软雅黑"/>
            <w:color w:val="087E89"/>
          </w:rPr>
          <w:t>Vistra有望获得美国能源部贷款，用于俄亥俄州和宾夕法尼亚州核电站增容升级</w:t>
        </w:r>
      </w:hyperlink>
      <w:r>
        <w:rPr>
          <w:rFonts w:ascii="微软雅黑" w:hAnsi="微软雅黑" w:eastAsia="微软雅黑" w:cs="微软雅黑"/>
        </w:rPr>
      </w:r>
    </w:p>
    <w:p>
      <w:pPr>
        <w:spacing w:after="0" w:line="20" w:lineRule="exact"/>
      </w:pPr>
      <w:bookmarkStart w:id="11" w:name="source-12128"/>
      <w:bookmarkEnd w:id="11" w:name="source-12128"/>
    </w:p>
    <w:p>
      <w:pPr>
        <w:pStyle w:val="ListBullet"/>
      </w:pPr>
      <w:r>
        <w:rPr>
          <w:rFonts w:ascii="微软雅黑" w:hAnsi="微软雅黑" w:eastAsia="微软雅黑" w:cs="微软雅黑"/>
        </w:rPr>
        <w:t>[11] 巴西矿产与能源部｜</w:t>
      </w:r>
      <w:hyperlink r:id="rId21">
        <w:r>
          <w:rPr>
            <w:rFonts w:ascii="微软雅黑" w:hAnsi="微软雅黑" w:eastAsia="微软雅黑" w:cs="微软雅黑"/>
            <w:color w:val="087E89"/>
          </w:rPr>
          <w:t>MME推进发电削减补偿工作 公布符合资格名单</w:t>
        </w:r>
      </w:hyperlink>
      <w:r>
        <w:rPr>
          <w:rFonts w:ascii="微软雅黑" w:hAnsi="微软雅黑" w:eastAsia="微软雅黑" w:cs="微软雅黑"/>
        </w:rPr>
      </w:r>
    </w:p>
    <w:p>
      <w:pPr>
        <w:spacing w:after="0" w:line="20" w:lineRule="exact"/>
      </w:pPr>
      <w:bookmarkStart w:id="12" w:name="source-12104"/>
      <w:bookmarkEnd w:id="12" w:name="source-12104"/>
    </w:p>
    <w:p>
      <w:pPr>
        <w:pStyle w:val="ListBullet"/>
      </w:pPr>
      <w:r>
        <w:rPr>
          <w:rFonts w:ascii="微软雅黑" w:hAnsi="微软雅黑" w:eastAsia="微软雅黑" w:cs="微软雅黑"/>
        </w:rPr>
        <w:t>[12] 新华社国际要闻（战略与能源）｜</w:t>
      </w:r>
      <w:hyperlink r:id="rId22">
        <w:r>
          <w:rPr>
            <w:rFonts w:ascii="微软雅黑" w:hAnsi="微软雅黑" w:eastAsia="微软雅黑" w:cs="微软雅黑"/>
            <w:color w:val="087E89"/>
          </w:rPr>
          <w:t>一油轮在霍尔木兹海峡遇袭后起火</w:t>
        </w:r>
      </w:hyperlink>
      <w:r>
        <w:rPr>
          <w:rFonts w:ascii="微软雅黑" w:hAnsi="微软雅黑" w:eastAsia="微软雅黑" w:cs="微软雅黑"/>
        </w:rPr>
      </w:r>
    </w:p>
    <w:p>
      <w:pPr>
        <w:spacing w:after="0" w:line="20" w:lineRule="exact"/>
      </w:pPr>
      <w:bookmarkStart w:id="13" w:name="source-12074"/>
      <w:bookmarkEnd w:id="13" w:name="source-12074"/>
    </w:p>
    <w:p>
      <w:pPr>
        <w:pStyle w:val="ListBullet"/>
      </w:pPr>
      <w:r>
        <w:rPr>
          <w:rFonts w:ascii="微软雅黑" w:hAnsi="微软雅黑" w:eastAsia="微软雅黑" w:cs="微软雅黑"/>
        </w:rPr>
        <w:t>[13] 新华社国际要闻（战略与能源）｜</w:t>
      </w:r>
      <w:hyperlink r:id="rId23">
        <w:r>
          <w:rPr>
            <w:rFonts w:ascii="微软雅黑" w:hAnsi="微软雅黑" w:eastAsia="微软雅黑" w:cs="微软雅黑"/>
            <w:color w:val="087E89"/>
          </w:rPr>
          <w:t>英国海上贸易行动办公室：3艘船在霍尔木兹海峡遭袭</w:t>
        </w:r>
      </w:hyperlink>
      <w:r>
        <w:rPr>
          <w:rFonts w:ascii="微软雅黑" w:hAnsi="微软雅黑" w:eastAsia="微软雅黑" w:cs="微软雅黑"/>
        </w:rPr>
      </w:r>
    </w:p>
    <w:p>
      <w:pPr>
        <w:spacing w:after="0" w:line="20" w:lineRule="exact"/>
      </w:pPr>
      <w:bookmarkStart w:id="14" w:name="source-12356"/>
      <w:bookmarkEnd w:id="14" w:name="source-12356"/>
    </w:p>
    <w:p>
      <w:pPr>
        <w:pStyle w:val="ListBullet"/>
      </w:pPr>
      <w:r>
        <w:rPr>
          <w:rFonts w:ascii="微软雅黑" w:hAnsi="微软雅黑" w:eastAsia="微软雅黑" w:cs="微软雅黑"/>
        </w:rPr>
        <w:t>[14] 新浪财经｜</w:t>
      </w:r>
      <w:hyperlink r:id="rId24">
        <w:r>
          <w:rPr>
            <w:rFonts w:ascii="微软雅黑" w:hAnsi="微软雅黑" w:eastAsia="微软雅黑" w:cs="微软雅黑"/>
            <w:color w:val="087E89"/>
          </w:rPr>
          <w:t>霍尔木兹海峡石油出口出现反弹，但仍易受伊朗对油轮袭击升级的冲击</w:t>
        </w:r>
      </w:hyperlink>
      <w:r>
        <w:rPr>
          <w:rFonts w:ascii="微软雅黑" w:hAnsi="微软雅黑" w:eastAsia="微软雅黑" w:cs="微软雅黑"/>
        </w:rPr>
      </w:r>
    </w:p>
    <w:p>
      <w:pPr>
        <w:spacing w:after="0" w:line="20" w:lineRule="exact"/>
      </w:pPr>
      <w:bookmarkStart w:id="15" w:name="source-12252"/>
      <w:bookmarkEnd w:id="15" w:name="source-12252"/>
    </w:p>
    <w:p>
      <w:pPr>
        <w:pStyle w:val="ListBullet"/>
      </w:pPr>
      <w:r>
        <w:rPr>
          <w:rFonts w:ascii="微软雅黑" w:hAnsi="微软雅黑" w:eastAsia="微软雅黑" w:cs="微软雅黑"/>
        </w:rPr>
        <w:t>[15] 俄罗斯卫星通讯社｜</w:t>
      </w:r>
      <w:hyperlink r:id="rId25">
        <w:r>
          <w:rPr>
            <w:rFonts w:ascii="微软雅黑" w:hAnsi="微软雅黑" w:eastAsia="微软雅黑" w:cs="微软雅黑"/>
            <w:color w:val="087E89"/>
          </w:rPr>
          <w:t>欧盟委员会主席：欧盟仍计划在今年年底前完全停止进口俄罗斯天然气</w:t>
        </w:r>
      </w:hyperlink>
      <w:r>
        <w:rPr>
          <w:rFonts w:ascii="微软雅黑" w:hAnsi="微软雅黑" w:eastAsia="微软雅黑" w:cs="微软雅黑"/>
        </w:rPr>
      </w:r>
    </w:p>
    <w:p>
      <w:pPr>
        <w:spacing w:after="0" w:line="20" w:lineRule="exact"/>
      </w:pPr>
      <w:bookmarkStart w:id="16" w:name="source-12169"/>
      <w:bookmarkEnd w:id="16" w:name="source-12169"/>
    </w:p>
    <w:p>
      <w:pPr>
        <w:pStyle w:val="ListBullet"/>
      </w:pPr>
      <w:r>
        <w:rPr>
          <w:rFonts w:ascii="微软雅黑" w:hAnsi="微软雅黑" w:eastAsia="微软雅黑" w:cs="微软雅黑"/>
        </w:rPr>
        <w:t>[16] 汇通财经｜</w:t>
      </w:r>
      <w:hyperlink r:id="rId26">
        <w:r>
          <w:rPr>
            <w:rFonts w:ascii="微软雅黑" w:hAnsi="微软雅黑" w:eastAsia="微软雅黑" w:cs="微软雅黑"/>
            <w:color w:val="087E89"/>
          </w:rPr>
          <w:t>霍尔木兹原油恢复至战前76%，柴油短缺成油市核心矛盾</w:t>
        </w:r>
      </w:hyperlink>
      <w:r>
        <w:rPr>
          <w:rFonts w:ascii="微软雅黑" w:hAnsi="微软雅黑" w:eastAsia="微软雅黑" w:cs="微软雅黑"/>
        </w:rPr>
      </w:r>
    </w:p>
    <w:p>
      <w:pPr>
        <w:spacing w:after="0" w:line="20" w:lineRule="exact"/>
      </w:pPr>
      <w:bookmarkStart w:id="17" w:name="source-12168"/>
      <w:bookmarkEnd w:id="17" w:name="source-12168"/>
    </w:p>
    <w:p>
      <w:pPr>
        <w:pStyle w:val="ListBullet"/>
      </w:pPr>
      <w:r>
        <w:rPr>
          <w:rFonts w:ascii="微软雅黑" w:hAnsi="微软雅黑" w:eastAsia="微软雅黑" w:cs="微软雅黑"/>
        </w:rPr>
        <w:t>[17] 新浪财经｜</w:t>
      </w:r>
      <w:hyperlink r:id="rId27">
        <w:r>
          <w:rPr>
            <w:rFonts w:ascii="微软雅黑" w:hAnsi="微软雅黑" w:eastAsia="微软雅黑" w:cs="微软雅黑"/>
            <w:color w:val="087E89"/>
          </w:rPr>
          <w:t>霍尔木兹原油恢复至战前76%，柴油短缺成油市核心矛盾</w:t>
        </w:r>
      </w:hyperlink>
      <w:r>
        <w:rPr>
          <w:rFonts w:ascii="微软雅黑" w:hAnsi="微软雅黑" w:eastAsia="微软雅黑" w:cs="微软雅黑"/>
        </w:rPr>
      </w:r>
    </w:p>
    <w:p>
      <w:pPr>
        <w:spacing w:after="0" w:line="20" w:lineRule="exact"/>
      </w:pPr>
      <w:bookmarkStart w:id="18" w:name="source-12159"/>
      <w:bookmarkEnd w:id="18" w:name="source-12159"/>
    </w:p>
    <w:p>
      <w:pPr>
        <w:pStyle w:val="ListBullet"/>
      </w:pPr>
      <w:r>
        <w:rPr>
          <w:rFonts w:ascii="微软雅黑" w:hAnsi="微软雅黑" w:eastAsia="微软雅黑" w:cs="微软雅黑"/>
        </w:rPr>
        <w:t>[18] 韩国联合通讯社｜</w:t>
      </w:r>
      <w:hyperlink r:id="rId28">
        <w:r>
          <w:rPr>
            <w:rFonts w:ascii="微软雅黑" w:hAnsi="微软雅黑" w:eastAsia="微软雅黑" w:cs="微软雅黑"/>
            <w:color w:val="087E89"/>
          </w:rPr>
          <w:t>气候部长：“脱碳领先国跃升……提前实现100GW可再生能源”</w:t>
        </w:r>
      </w:hyperlink>
      <w:r>
        <w:rPr>
          <w:rFonts w:ascii="微软雅黑" w:hAnsi="微软雅黑" w:eastAsia="微软雅黑" w:cs="微软雅黑"/>
        </w:rPr>
      </w:r>
    </w:p>
    <w:p>
      <w:pPr>
        <w:spacing w:after="0" w:line="20" w:lineRule="exact"/>
      </w:pPr>
      <w:bookmarkStart w:id="19" w:name="source-12236"/>
      <w:bookmarkEnd w:id="19" w:name="source-12236"/>
    </w:p>
    <w:p>
      <w:pPr>
        <w:pStyle w:val="ListBullet"/>
      </w:pPr>
      <w:r>
        <w:rPr>
          <w:rFonts w:ascii="微软雅黑" w:hAnsi="微软雅黑" w:eastAsia="微软雅黑" w:cs="微软雅黑"/>
        </w:rPr>
        <w:t>[19] 光伏杂志国际版｜</w:t>
      </w:r>
      <w:hyperlink r:id="rId29">
        <w:r>
          <w:rPr>
            <w:rFonts w:ascii="微软雅黑" w:hAnsi="微软雅黑" w:eastAsia="微软雅黑" w:cs="微软雅黑"/>
            <w:color w:val="087E89"/>
          </w:rPr>
          <w:t>西班牙和葡萄牙在第二季度录得欧洲最高的负电价小时数</w:t>
        </w:r>
      </w:hyperlink>
      <w:r>
        <w:rPr>
          <w:rFonts w:ascii="微软雅黑" w:hAnsi="微软雅黑" w:eastAsia="微软雅黑" w:cs="微软雅黑"/>
        </w:rPr>
      </w:r>
    </w:p>
    <w:p>
      <w:pPr>
        <w:spacing w:after="0" w:line="20" w:lineRule="exact"/>
      </w:pPr>
      <w:bookmarkStart w:id="20" w:name="source-12359"/>
      <w:bookmarkEnd w:id="20" w:name="source-12359"/>
    </w:p>
    <w:p>
      <w:pPr>
        <w:pStyle w:val="ListBullet"/>
      </w:pPr>
      <w:r>
        <w:rPr>
          <w:rFonts w:ascii="微软雅黑" w:hAnsi="微软雅黑" w:eastAsia="微软雅黑" w:cs="微软雅黑"/>
        </w:rPr>
        <w:t>[20] Nuclear Engineering International｜</w:t>
      </w:r>
      <w:hyperlink r:id="rId30">
        <w:r>
          <w:rPr>
            <w:rFonts w:ascii="微软雅黑" w:hAnsi="微软雅黑" w:eastAsia="微软雅黑" w:cs="微软雅黑"/>
            <w:color w:val="087E89"/>
          </w:rPr>
          <w:t>西弗吉尼亚州退出核能园区项目</w:t>
        </w:r>
      </w:hyperlink>
      <w:r>
        <w:rPr>
          <w:rFonts w:ascii="微软雅黑" w:hAnsi="微软雅黑" w:eastAsia="微软雅黑" w:cs="微软雅黑"/>
        </w:rPr>
      </w:r>
    </w:p>
    <w:p>
      <w:pPr>
        <w:spacing w:after="0" w:line="20" w:lineRule="exact"/>
      </w:pPr>
      <w:bookmarkStart w:id="21" w:name="source-12353"/>
      <w:bookmarkEnd w:id="21" w:name="source-12353"/>
    </w:p>
    <w:p>
      <w:pPr>
        <w:pStyle w:val="ListBullet"/>
      </w:pPr>
      <w:r>
        <w:rPr>
          <w:rFonts w:ascii="微软雅黑" w:hAnsi="微软雅黑" w:eastAsia="微软雅黑" w:cs="微软雅黑"/>
        </w:rPr>
        <w:t>[21] 欧盟委员会能源总司｜</w:t>
      </w:r>
      <w:hyperlink r:id="rId31">
        <w:r>
          <w:rPr>
            <w:rFonts w:ascii="微软雅黑" w:hAnsi="微软雅黑" w:eastAsia="微软雅黑" w:cs="微软雅黑"/>
            <w:color w:val="087E89"/>
          </w:rPr>
          <w:t>能源转型投资委员会——征集申请</w:t>
        </w:r>
      </w:hyperlink>
      <w:r>
        <w:rPr>
          <w:rFonts w:ascii="微软雅黑" w:hAnsi="微软雅黑" w:eastAsia="微软雅黑" w:cs="微软雅黑"/>
        </w:rPr>
      </w:r>
    </w:p>
    <w:p>
      <w:pPr>
        <w:spacing w:after="0" w:line="20" w:lineRule="exact"/>
      </w:pPr>
      <w:bookmarkStart w:id="22" w:name="source-12264"/>
      <w:bookmarkEnd w:id="22" w:name="source-12264"/>
    </w:p>
    <w:p>
      <w:pPr>
        <w:pStyle w:val="ListBullet"/>
      </w:pPr>
      <w:r>
        <w:rPr>
          <w:rFonts w:ascii="微软雅黑" w:hAnsi="微软雅黑" w:eastAsia="微软雅黑" w:cs="微软雅黑"/>
        </w:rPr>
        <w:t>[22] Nuclear Engineering International｜</w:t>
      </w:r>
      <w:hyperlink r:id="rId32">
        <w:r>
          <w:rPr>
            <w:rFonts w:ascii="微软雅黑" w:hAnsi="微软雅黑" w:eastAsia="微软雅黑" w:cs="微软雅黑"/>
            <w:color w:val="087E89"/>
          </w:rPr>
          <w:t>中国BEST聚变装置投运</w:t>
        </w:r>
      </w:hyperlink>
      <w:r>
        <w:rPr>
          <w:rFonts w:ascii="微软雅黑" w:hAnsi="微软雅黑" w:eastAsia="微软雅黑" w:cs="微软雅黑"/>
        </w:rPr>
      </w:r>
    </w:p>
    <w:p>
      <w:pPr>
        <w:spacing w:after="0" w:line="20" w:lineRule="exact"/>
      </w:pPr>
      <w:bookmarkStart w:id="23" w:name="source-12326"/>
      <w:bookmarkEnd w:id="23" w:name="source-12326"/>
    </w:p>
    <w:p>
      <w:pPr>
        <w:pStyle w:val="ListBullet"/>
      </w:pPr>
      <w:r>
        <w:rPr>
          <w:rFonts w:ascii="微软雅黑" w:hAnsi="微软雅黑" w:eastAsia="微软雅黑" w:cs="微软雅黑"/>
        </w:rPr>
        <w:t>[23] 新华社国际要闻（战略与能源）｜</w:t>
      </w:r>
      <w:hyperlink r:id="rId33">
        <w:r>
          <w:rPr>
            <w:rFonts w:ascii="微软雅黑" w:hAnsi="微软雅黑" w:eastAsia="微软雅黑" w:cs="微软雅黑"/>
            <w:color w:val="087E89"/>
          </w:rPr>
          <w:t>冯德莱恩：欧盟将采取措施应对能源成本高企</w:t>
        </w:r>
      </w:hyperlink>
      <w:r>
        <w:rPr>
          <w:rFonts w:ascii="微软雅黑" w:hAnsi="微软雅黑" w:eastAsia="微软雅黑" w:cs="微软雅黑"/>
        </w:rPr>
      </w:r>
    </w:p>
    <w:p>
      <w:pPr>
        <w:spacing w:after="0" w:line="20" w:lineRule="exact"/>
      </w:pPr>
      <w:bookmarkStart w:id="24" w:name="source-12325"/>
      <w:bookmarkEnd w:id="24" w:name="source-12325"/>
    </w:p>
    <w:p>
      <w:pPr>
        <w:pStyle w:val="ListBullet"/>
      </w:pPr>
      <w:r>
        <w:rPr>
          <w:rFonts w:ascii="微软雅黑" w:hAnsi="微软雅黑" w:eastAsia="微软雅黑" w:cs="微软雅黑"/>
        </w:rPr>
        <w:t>[24] 全球风能理事会｜</w:t>
      </w:r>
      <w:hyperlink r:id="rId34">
        <w:r>
          <w:rPr>
            <w:rFonts w:ascii="微软雅黑" w:hAnsi="微软雅黑" w:eastAsia="微软雅黑" w:cs="微软雅黑"/>
            <w:color w:val="087E89"/>
          </w:rPr>
          <w:t>GWEC 漂浮式风电行动计划提出加速商业化规模项目的行业方案</w:t>
        </w:r>
      </w:hyperlink>
      <w:r>
        <w:rPr>
          <w:rFonts w:ascii="微软雅黑" w:hAnsi="微软雅黑" w:eastAsia="微软雅黑" w:cs="微软雅黑"/>
        </w:rPr>
      </w:r>
    </w:p>
    <w:p>
      <w:pPr>
        <w:spacing w:after="0" w:line="20" w:lineRule="exact"/>
      </w:pPr>
      <w:bookmarkStart w:id="25" w:name="source-12186"/>
      <w:bookmarkEnd w:id="25" w:name="source-12186"/>
    </w:p>
    <w:p>
      <w:pPr>
        <w:pStyle w:val="ListBullet"/>
      </w:pPr>
      <w:r>
        <w:rPr>
          <w:rFonts w:ascii="微软雅黑" w:hAnsi="微软雅黑" w:eastAsia="微软雅黑" w:cs="微软雅黑"/>
        </w:rPr>
        <w:t>[25] The Battery Magazine｜</w:t>
      </w:r>
      <w:hyperlink r:id="rId35">
        <w:r>
          <w:rPr>
            <w:rFonts w:ascii="微软雅黑" w:hAnsi="微软雅黑" w:eastAsia="微软雅黑" w:cs="微软雅黑"/>
            <w:color w:val="087E89"/>
          </w:rPr>
          <w:t>CEA就太阳能、电池储能系统和电动汽车充电提出新电气安全标准</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hydrocarbonengineering.com/clean-fuels/06102026/dondel-breaks-ground-on-chinas-first-green-hydrogen-to-saf-project/" TargetMode="External"/><Relationship Id="rId12" Type="http://schemas.openxmlformats.org/officeDocument/2006/relationships/hyperlink" Target="https://news.un.org/feed/view/en/story/2026/10/1168526" TargetMode="External"/><Relationship Id="rId13" Type="http://schemas.openxmlformats.org/officeDocument/2006/relationships/hyperlink" Target="https://www.nuprc.gov.ng/media/news/b0ca9b9af126717073c5c655" TargetMode="External"/><Relationship Id="rId14" Type="http://schemas.openxmlformats.org/officeDocument/2006/relationships/hyperlink" Target="https://www.world-nuclear-news.org/articles/concreting-milestones-at-chinese-hualong-one-units" TargetMode="External"/><Relationship Id="rId15" Type="http://schemas.openxmlformats.org/officeDocument/2006/relationships/hyperlink" Target="https://www.energyglobal.com/wind/06102026/vattenfall-completes-lower-carbon-foundations-at-clashindarroch-ii-wind-farm/" TargetMode="External"/><Relationship Id="rId16" Type="http://schemas.openxmlformats.org/officeDocument/2006/relationships/hyperlink" Target="https://www.power-technology.com/news/zelestra-edp-ppas-battery-storage-spain/" TargetMode="External"/><Relationship Id="rId17" Type="http://schemas.openxmlformats.org/officeDocument/2006/relationships/hyperlink" Target="https://www.stcn.com/article/detail/4206647.html" TargetMode="External"/><Relationship Id="rId18" Type="http://schemas.openxmlformats.org/officeDocument/2006/relationships/hyperlink" Target="https://news.mysteel.com/a/26100607/C91CA7B423E925B3.html" TargetMode="External"/><Relationship Id="rId19" Type="http://schemas.openxmlformats.org/officeDocument/2006/relationships/hyperlink" Target="https://www.world-nuclear-news.org/articles/doe-offers-vistra-loan-for-reactor-upgrades-and-uprates" TargetMode="External"/><Relationship Id="rId20" Type="http://schemas.openxmlformats.org/officeDocument/2006/relationships/hyperlink" Target="https://www.powermag.com/vistra-in-line-for-doe-loan-package-to-uprate-nuclear-plants-in-ohio-and-pennsylvania/" TargetMode="External"/><Relationship Id="rId21" Type="http://schemas.openxmlformats.org/officeDocument/2006/relationships/hyperlink" Target="https://www.gov.br/mme/pt-br/assuntos/noticias/mme-avanca-na-compensacao-por-cortes-de-geracao-com-divulgacao-de-lista-de-elegibilidade" TargetMode="External"/><Relationship Id="rId22" Type="http://schemas.openxmlformats.org/officeDocument/2006/relationships/hyperlink" Target="https://www.news.cn/world/20261006/c85282d343ba40ac907e2b9448cc14e8/c.html" TargetMode="External"/><Relationship Id="rId23" Type="http://schemas.openxmlformats.org/officeDocument/2006/relationships/hyperlink" Target="https://www.news.cn/world/20261006/d626abba36e248e4bbf0387682ff62f4/c.html" TargetMode="External"/><Relationship Id="rId24" Type="http://schemas.openxmlformats.org/officeDocument/2006/relationships/hyperlink" Target="https://finance.sina.com.cn/stock/usstock/c/2026-10-06/doc-iniuiexc5422499.shtml" TargetMode="External"/><Relationship Id="rId25" Type="http://schemas.openxmlformats.org/officeDocument/2006/relationships/hyperlink" Target="https://sputniknews.cn/20261006/1073507178.html" TargetMode="External"/><Relationship Id="rId26" Type="http://schemas.openxmlformats.org/officeDocument/2006/relationships/hyperlink" Target="https://www.fx678.com/C/20261006/202610061036559111.html" TargetMode="External"/><Relationship Id="rId27" Type="http://schemas.openxmlformats.org/officeDocument/2006/relationships/hyperlink" Target="https://finance.sina.com.cn/money/forex/hbfx/2026-10-06/doc-iniuhcmn7128744.shtml" TargetMode="External"/><Relationship Id="rId28" Type="http://schemas.openxmlformats.org/officeDocument/2006/relationships/hyperlink" Target="https://www.yna.co.kr/view/AKR20261006070200530?section=industry/energy-resource" TargetMode="External"/><Relationship Id="rId29" Type="http://schemas.openxmlformats.org/officeDocument/2006/relationships/hyperlink" Target="https://www.pv-magazine.com/2026/10/06/spain-and-portugal-record-europes-highest-number-of-hours-with-negative-electricity-prices-in-q2/" TargetMode="External"/><Relationship Id="rId30" Type="http://schemas.openxmlformats.org/officeDocument/2006/relationships/hyperlink" Target="https://www.neimagazine.com/news/west-virginia-withdraws-from-nuclear-campus/" TargetMode="External"/><Relationship Id="rId31" Type="http://schemas.openxmlformats.org/officeDocument/2006/relationships/hyperlink" Target="https://energy.ec.europa.eu/news/energy-transition-investment-council-call-applications-2026-10-06_en" TargetMode="External"/><Relationship Id="rId32" Type="http://schemas.openxmlformats.org/officeDocument/2006/relationships/hyperlink" Target="https://www.neimagazine.com/news/china-commissions-best-fusion-facility/" TargetMode="External"/><Relationship Id="rId33" Type="http://schemas.openxmlformats.org/officeDocument/2006/relationships/hyperlink" Target="https://www.news.cn/world/20261006/406a4ddf42044b35a9ae162d9ca732ed/c.html" TargetMode="External"/><Relationship Id="rId34" Type="http://schemas.openxmlformats.org/officeDocument/2006/relationships/hyperlink" Target="https://www.gwec.net/news/floating-wind-initiative-sets-out-industry-plan-for-accelerating-commercial-scale-projects" TargetMode="External"/><Relationship Id="rId35" Type="http://schemas.openxmlformats.org/officeDocument/2006/relationships/hyperlink" Target="https://www.thebatterymagazine.com/cea-proposes-new-electrical-safety-standards-for-solar-bess-and-ev-charg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2026年10月6日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