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信息覆盖时段：2026-10-23 00:00 至 2026-10-24 00:00（不含），Asia/Shanghai。</w:t>
      </w:r>
    </w:p>
    <w:p>
      <w:pPr/>
      <w:r>
        <w:rPr>
          <w:rFonts w:ascii="微软雅黑" w:hAnsi="微软雅黑" w:eastAsia="微软雅黑" w:cs="微软雅黑"/>
        </w:rPr>
        <w:t>统计区间：2026-10-23 至 2026-10-24（结束日不含，北京时间）</w:t>
      </w:r>
    </w:p>
    <w:p>
      <w:pPr>
        <w:ind w:firstLine="420"/>
      </w:pPr>
      <w:r>
        <w:rPr>
          <w:rFonts w:ascii="微软雅黑" w:hAnsi="微软雅黑" w:eastAsia="微软雅黑" w:cs="微软雅黑"/>
        </w:rPr>
        <w:t>资料更新截止：2026-10-24 04:10（北京时间）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国家能源局发文推动煤电与新能源融合发展 </w:t>
      </w:r>
      <w:hyperlink w:anchor="source-2678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6272">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沙特阿美称中东局势对能源市场造成前所未见冲击 </w:t>
      </w:r>
      <w:hyperlink w:anchor="source-26707">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印尼能源与矿产资源部第81届采矿与能源日：巴利尔指示选择人民利益 </w:t>
      </w:r>
      <w:hyperlink w:anchor="source-26663">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6664">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胡塞武装袭击沙特多处目标，Shaybah油田遇袭致两人死亡 </w:t>
      </w:r>
      <w:hyperlink w:anchor="source-26368">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6074">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6052">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6567">
        <w:r>
          <w:rPr>
            <w:rFonts w:ascii="微软雅黑" w:hAnsi="微软雅黑" w:eastAsia="微软雅黑" w:cs="微软雅黑"/>
            <w:color w:val="087E89"/>
          </w:rPr>
          <w:t>9</w:t>
        </w:r>
      </w:hyperlink>
      <w:r>
        <w:rPr>
          <w:rFonts w:ascii="微软雅黑" w:hAnsi="微软雅黑" w:eastAsia="微软雅黑" w:cs="微软雅黑"/>
        </w:rPr>
      </w:r>
    </w:p>
    <w:p>
      <w:pPr>
        <w:pStyle w:val="ListBullet"/>
      </w:pPr>
      <w:r>
        <w:rPr>
          <w:rFonts w:ascii="微软雅黑" w:hAnsi="微软雅黑" w:eastAsia="微软雅黑" w:cs="微软雅黑"/>
        </w:rPr>
        <w:t xml:space="preserve">前三季度全社会用电量同比增长3.9% </w:t>
      </w:r>
      <w:hyperlink w:anchor="source-26685">
        <w:r>
          <w:rPr>
            <w:rFonts w:ascii="微软雅黑" w:hAnsi="微软雅黑" w:eastAsia="微软雅黑" w:cs="微软雅黑"/>
            <w:color w:val="087E89"/>
          </w:rPr>
          <w:t>10</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沙特东西输油管道输送能力</w:t>
            </w:r>
          </w:p>
        </w:tc>
        <w:tc>
          <w:tcPr>
            <w:tcW w:type="dxa" w:w="2268"/>
          </w:tcPr>
          <w:p>
            <w:pPr>
              <w:spacing w:after="40"/>
            </w:pPr>
            <w:r>
              <w:rPr>
                <w:rFonts w:ascii="微软雅黑" w:hAnsi="微软雅黑" w:eastAsia="微软雅黑" w:cs="微软雅黑"/>
              </w:rPr>
              <w:t>从每日约200万桶提升至每日700万桶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6707">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危机以来全球原油供应减少量</w:t>
            </w:r>
          </w:p>
        </w:tc>
        <w:tc>
          <w:tcPr>
            <w:tcW w:type="dxa" w:w="2268"/>
          </w:tcPr>
          <w:p>
            <w:pPr>
              <w:spacing w:after="40"/>
            </w:pPr>
            <w:r>
              <w:rPr>
                <w:rFonts w:ascii="微软雅黑" w:hAnsi="微软雅黑" w:eastAsia="微软雅黑" w:cs="微软雅黑"/>
              </w:rPr>
              <w:t>约30亿桶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6707">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12月交割WTI原油期货结算价</w:t>
            </w:r>
          </w:p>
        </w:tc>
        <w:tc>
          <w:tcPr>
            <w:tcW w:type="dxa" w:w="2268"/>
          </w:tcPr>
          <w:p>
            <w:pPr>
              <w:spacing w:after="40"/>
            </w:pPr>
            <w:r>
              <w:rPr>
                <w:rFonts w:ascii="微软雅黑" w:hAnsi="微软雅黑" w:eastAsia="微软雅黑" w:cs="微软雅黑"/>
              </w:rPr>
              <w:t>每桶99.47美元，涨2.4%</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6368">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6074">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6052">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6567">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12月布伦特原油期货收盘价</w:t>
            </w:r>
          </w:p>
        </w:tc>
        <w:tc>
          <w:tcPr>
            <w:tcW w:type="dxa" w:w="2268"/>
          </w:tcPr>
          <w:p>
            <w:pPr>
              <w:spacing w:after="40"/>
            </w:pPr>
            <w:r>
              <w:rPr>
                <w:rFonts w:ascii="微软雅黑" w:hAnsi="微软雅黑" w:eastAsia="微软雅黑" w:cs="微软雅黑"/>
              </w:rPr>
              <w:t>每桶113.17美元，涨4%</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6368">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6074">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6052">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6567">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中国能源保供中长期合同统一制度覆盖范围</w:t>
            </w:r>
          </w:p>
        </w:tc>
        <w:tc>
          <w:tcPr>
            <w:tcW w:type="dxa" w:w="2268"/>
          </w:tcPr>
          <w:p>
            <w:pPr>
              <w:spacing w:after="40"/>
            </w:pPr>
            <w:r>
              <w:rPr>
                <w:rFonts w:ascii="微软雅黑" w:hAnsi="微软雅黑" w:eastAsia="微软雅黑" w:cs="微软雅黑"/>
              </w:rPr>
              <w:t>电煤、电力、天然气三类</w:t>
            </w:r>
          </w:p>
        </w:tc>
        <w:tc>
          <w:tcPr>
            <w:tcW w:type="dxa" w:w="2268"/>
          </w:tcPr>
          <w:p>
            <w:pPr>
              <w:spacing w:after="40"/>
            </w:pPr>
            <w:r>
              <w:rPr>
                <w:rFonts w:ascii="微软雅黑" w:hAnsi="微软雅黑" w:eastAsia="微软雅黑" w:cs="微软雅黑"/>
              </w:rPr>
              <w:t>2026-12-01起施行</w:t>
            </w:r>
          </w:p>
        </w:tc>
        <w:tc>
          <w:tcPr>
            <w:tcW w:type="dxa" w:w="2268"/>
          </w:tcPr>
          <w:p>
            <w:pPr>
              <w:spacing w:after="40"/>
            </w:pPr>
            <w:r>
              <w:rPr>
                <w:rFonts w:ascii="微软雅黑" w:hAnsi="微软雅黑" w:eastAsia="微软雅黑" w:cs="微软雅黑"/>
              </w:rPr>
            </w:r>
            <w:hyperlink w:anchor="source-26513">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26543">
              <w:r>
                <w:rPr>
                  <w:rFonts w:ascii="微软雅黑" w:hAnsi="微软雅黑" w:eastAsia="微软雅黑" w:cs="微软雅黑"/>
                  <w:color w:val="087E89"/>
                </w:rPr>
                <w:t>12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纳米比亚Etango铀项目投产前资本开支</w:t>
            </w:r>
          </w:p>
        </w:tc>
        <w:tc>
          <w:tcPr>
            <w:tcW w:type="dxa" w:w="2268"/>
          </w:tcPr>
          <w:p>
            <w:pPr>
              <w:spacing w:after="40"/>
            </w:pPr>
            <w:r>
              <w:rPr>
                <w:rFonts w:ascii="微软雅黑" w:hAnsi="微软雅黑" w:eastAsia="微软雅黑" w:cs="微软雅黑"/>
              </w:rPr>
              <w:t>约3.53亿美元（其中约6400万美元已通过前期工程发生）</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6712">
              <w:r>
                <w:rPr>
                  <w:rFonts w:ascii="微软雅黑" w:hAnsi="微软雅黑" w:eastAsia="微软雅黑" w:cs="微软雅黑"/>
                  <w:color w:val="087E89"/>
                </w:rPr>
                <w:t>14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中国全国算力中心总用电量及占全社会用电量比重</w:t>
            </w:r>
          </w:p>
        </w:tc>
        <w:tc>
          <w:tcPr>
            <w:tcW w:type="dxa" w:w="2268"/>
          </w:tcPr>
          <w:p>
            <w:pPr>
              <w:spacing w:after="40"/>
            </w:pPr>
            <w:r>
              <w:rPr>
                <w:rFonts w:ascii="微软雅黑" w:hAnsi="微软雅黑" w:eastAsia="微软雅黑" w:cs="微软雅黑"/>
              </w:rPr>
              <w:t>1700亿千瓦时，占1.6%</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26686">
              <w:r>
                <w:rPr>
                  <w:rFonts w:ascii="微软雅黑" w:hAnsi="微软雅黑" w:eastAsia="微软雅黑" w:cs="微软雅黑"/>
                  <w:color w:val="087E89"/>
                </w:rPr>
                <w:t>15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中国全国一体化算力网八大枢纽节点算力用电平均增长率</w:t>
            </w:r>
          </w:p>
        </w:tc>
        <w:tc>
          <w:tcPr>
            <w:tcW w:type="dxa" w:w="2268"/>
          </w:tcPr>
          <w:p>
            <w:pPr>
              <w:spacing w:after="40"/>
            </w:pPr>
            <w:r>
              <w:rPr>
                <w:rFonts w:ascii="微软雅黑" w:hAnsi="微软雅黑" w:eastAsia="微软雅黑" w:cs="微软雅黑"/>
              </w:rPr>
              <w:t>约39.5%</w:t>
            </w:r>
          </w:p>
        </w:tc>
        <w:tc>
          <w:tcPr>
            <w:tcW w:type="dxa" w:w="2268"/>
          </w:tcPr>
          <w:p>
            <w:pPr>
              <w:spacing w:after="40"/>
            </w:pPr>
            <w:r>
              <w:rPr>
                <w:rFonts w:ascii="微软雅黑" w:hAnsi="微软雅黑" w:eastAsia="微软雅黑" w:cs="微软雅黑"/>
              </w:rPr>
              <w:t>近3年</w:t>
            </w:r>
          </w:p>
        </w:tc>
        <w:tc>
          <w:tcPr>
            <w:tcW w:type="dxa" w:w="2268"/>
          </w:tcPr>
          <w:p>
            <w:pPr>
              <w:spacing w:after="40"/>
            </w:pPr>
            <w:r>
              <w:rPr>
                <w:rFonts w:ascii="微软雅黑" w:hAnsi="微软雅黑" w:eastAsia="微软雅黑" w:cs="微软雅黑"/>
              </w:rPr>
            </w:r>
            <w:hyperlink w:anchor="source-26686">
              <w:r>
                <w:rPr>
                  <w:rFonts w:ascii="微软雅黑" w:hAnsi="微软雅黑" w:eastAsia="微软雅黑" w:cs="微软雅黑"/>
                  <w:color w:val="087E89"/>
                </w:rPr>
                <w:t>15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浙江省三年光伏新增装机计划</w:t>
            </w:r>
          </w:p>
        </w:tc>
        <w:tc>
          <w:tcPr>
            <w:tcW w:type="dxa" w:w="2268"/>
          </w:tcPr>
          <w:p>
            <w:pPr>
              <w:spacing w:after="40"/>
            </w:pPr>
            <w:r>
              <w:rPr>
                <w:rFonts w:ascii="微软雅黑" w:hAnsi="微软雅黑" w:eastAsia="微软雅黑" w:cs="微软雅黑"/>
              </w:rPr>
              <w:t>3000万千瓦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6681">
              <w:r>
                <w:rPr>
                  <w:rFonts w:ascii="微软雅黑" w:hAnsi="微软雅黑" w:eastAsia="微软雅黑" w:cs="微软雅黑"/>
                  <w:color w:val="087E89"/>
                </w:rPr>
                <w:t>16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浙江省节能降碳技术改造专项资金今年补助项目数</w:t>
            </w:r>
          </w:p>
        </w:tc>
        <w:tc>
          <w:tcPr>
            <w:tcW w:type="dxa" w:w="2268"/>
          </w:tcPr>
          <w:p>
            <w:pPr>
              <w:spacing w:after="40"/>
            </w:pPr>
            <w:r>
              <w:rPr>
                <w:rFonts w:ascii="微软雅黑" w:hAnsi="微软雅黑" w:eastAsia="微软雅黑" w:cs="微软雅黑"/>
              </w:rPr>
              <w:t>251个</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6681">
              <w:r>
                <w:rPr>
                  <w:rFonts w:ascii="微软雅黑" w:hAnsi="微软雅黑" w:eastAsia="微软雅黑" w:cs="微软雅黑"/>
                  <w:color w:val="087E89"/>
                </w:rPr>
                <w:t>16</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沙特阿美称中东局势对能源市场造成前所未见冲击</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沙特阿美总裁兼首席执行官阿明·纳赛尔表示，当前中东局势对能源市场造成“前所未见”的冲击，全球原油供应和库存均受到严重侵蚀。</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沙特阿美总裁兼首席执行官阿明·纳赛尔表示，自危机爆发以来，全球原油供应比正常情况减少大约30亿桶；沙特东西输油管道对维持市场原油供应作用重要，其输送能力已从每日约200万桶提升至每日700万桶。他称全球原油库存正逼近“极度危险”的低位，可能需要两年时间才能恢复至正常水平，并预计局势恢复正常后，市场日均原油需求将增加约300万桶，用于消费和补充库存；若非全球战略储备释放，油价会远超当前水平。</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全球原油库存逼近“极度危险”低位，可能需要两年时间才能恢复至正常水平。</w:t>
      </w:r>
    </w:p>
    <w:p>
      <w:pPr>
        <w:ind w:firstLine="420"/>
      </w:pPr>
      <w:r>
        <w:rPr>
          <w:rFonts w:ascii="微软雅黑" w:hAnsi="微软雅黑" w:eastAsia="微软雅黑" w:cs="微软雅黑"/>
        </w:rPr>
        <w:t>来源：</w:t>
      </w:r>
      <w:hyperlink w:anchor="source-26707">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2. 霍尔木兹紧张局势与利比亚供应风险推升油价</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霍尔木兹海峡紧张局势加剧，利比亚Zawiya炼厂附近原油管道隔离阀被未经授权人员关闭，供应风险上升，油价上涨。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伊朗伊斯兰革命卫队警告称，如果华盛顿继续鼓励船只通过德黑兰所称“非法”的航线通行霍尔木兹海峡，冲突可能蔓延至地区内的美军基地。利比亚国家石油公司周四声明称，一伙未经授权的人员关闭了利比亚Zawiya炼厂附近一条原油管道的隔离阀，并警告若阀门长期关闭，可能被迫停产、扰乱运营并减少国家石油收入。特朗普在一份总统备忘录中援引冷战时期的《国防生产法》第303条，允许政府为石油生产、管道、储存和海上终端提供财政支持。</w:t>
      </w:r>
    </w:p>
    <w:p>
      <w:pPr>
        <w:ind w:firstLine="420"/>
      </w:pPr>
      <w:r>
        <w:rPr>
          <w:rFonts w:ascii="微软雅黑" w:hAnsi="微软雅黑" w:eastAsia="微软雅黑" w:cs="微软雅黑"/>
        </w:rPr>
        <w:t>来源：</w:t>
      </w:r>
      <w:hyperlink w:anchor="source-26417">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3. 胡塞武装袭击沙特多处目标，Shaybah油田遇袭致两人死亡</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也门胡塞武装过去48小时内对沙特境内多处目标发动四次军事行动，袭击沙特国防部大楼、法赫德国王国际机场、阿美石油公司延布设施及艾卜哈国际机场，沙特阿美Shaybah油田遭无人机袭击造成两人死亡，但油田运营未受影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也门胡塞武装当地时间22日下午声明，过去48小时内对沙特境内目标发动四次军事行动，使用弹道导弹和无人机打击沙特国防部大楼、法赫德国王国际机场、阿美石油公司延布设施及艾卜哈国际机场；胡塞称针对达曼法赫德国王国际机场的袭击导致机场航空交通中断，针对延布沙特阿美相关设施的袭击引发现场火灾。沙特阿美Shaybah油田遭无人机袭击造成两人死亡，但油田运营未受影响。美国要求部分驻沙特人员及家属离境。</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袭击加剧市场对中东冲突升级可能冲击石油供应的担忧，油价大涨，12月布伦特原油收于每桶113.17美元，12月WTI结算价每桶99.47美元。</w:t>
      </w:r>
    </w:p>
    <w:p>
      <w:pPr>
        <w:ind w:firstLine="420"/>
      </w:pPr>
      <w:r>
        <w:rPr>
          <w:rFonts w:ascii="微软雅黑" w:hAnsi="微软雅黑" w:eastAsia="微软雅黑" w:cs="微软雅黑"/>
        </w:rPr>
        <w:t>来源：</w:t>
      </w:r>
      <w:hyperlink w:anchor="source-26368">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6074">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6052">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6567">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4. 美国汽油均价每加仑4.27美元，中期选举前料维持高位</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美国汽车协会数据显示全美汽油均价达每加仑4.27美元，自2月伊朗战争爆发以来上涨近1.30美元、涨幅43%，预计中期选举前将维持高位。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汽车协会（AAA）数据显示，全美汽油均价为每加仑4.27美元，自2月伊朗战争爆发以来上涨近1.30美元，涨幅43%。伊朗伊斯兰革命卫队海军周四宣称在霍尔木兹海峡袭击了四艘船只，指控其走“非法航线”并在海上转运原油，并通报周三晚间有三艘船只在海峡触发水雷。此前也门胡塞武装宣称对沙特发起一轮袭击，目标包括谢巴油田及红海港口城市延布的沙特阿美设施。</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汽油价格居高不下，预计中期选举前维持高位。</w:t>
      </w:r>
    </w:p>
    <w:p>
      <w:pPr>
        <w:ind w:firstLine="420"/>
      </w:pPr>
      <w:r>
        <w:rPr>
          <w:rFonts w:ascii="微软雅黑" w:hAnsi="微软雅黑" w:eastAsia="微软雅黑" w:cs="微软雅黑"/>
        </w:rPr>
        <w:t>来源：</w:t>
      </w:r>
      <w:hyperlink w:anchor="source-26591">
        <w:r>
          <w:rPr>
            <w:rFonts w:ascii="微软雅黑" w:hAnsi="微软雅黑" w:eastAsia="微软雅黑" w:cs="微软雅黑"/>
            <w:color w:val="087E89"/>
          </w:rPr>
          <w:t>23</w:t>
        </w:r>
      </w:hyperlink>
      <w:r>
        <w:rPr>
          <w:rFonts w:ascii="微软雅黑" w:hAnsi="微软雅黑" w:eastAsia="微软雅黑" w:cs="微软雅黑"/>
        </w:rPr>
        <w:t xml:space="preserve"> </w:t>
      </w:r>
      <w:hyperlink w:anchor="source-26567">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5. 中东冲突致土库曼斯坦天然气公司面临物流困难</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土库曼斯坦天然气公司表示，中东冲突正影响公司运营，特别是造成物流困难。</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土库曼斯坦天然气公司董事长马克萨特·巴巴耶夫表示，中东局势正在影响公司运营，特别是造成物流困难。2月28日，美国和以色列开始对伊朗境内目标进行空袭，伊朗随即反击；6月中旬德黑兰与华盛顿签署停火备忘录，但之后双方再次发生空袭，冲突至今仍未解决。局势升级几乎完全阻断了霍尔木兹海峡的航运。</w:t>
      </w:r>
    </w:p>
    <w:p>
      <w:pPr>
        <w:ind w:firstLine="420"/>
      </w:pPr>
      <w:r>
        <w:rPr>
          <w:rFonts w:ascii="微软雅黑" w:hAnsi="微软雅黑" w:eastAsia="微软雅黑" w:cs="微软雅黑"/>
        </w:rPr>
        <w:t>来源：</w:t>
      </w:r>
      <w:hyperlink w:anchor="source-26653">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6. 韩国可再生能源装机容量首次超过煤炭</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韩国可再生能源装机容量首次超过煤炭，成为仅次于液化天然气的第二大装机来源，韩国电力交易所（KPX）称若趋势延续，两到三年内可能超越LNG。</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可再生能源占韩国总装机容量的25.4%，成为仅次于液化天然气（46,788 MW）的第二大装机来源。2020年底至2025年底，可再生能源装机年均增加约3,504 MW，约为LNG年均新增约807 MW的4.3倍。KPX表示若趋势延续，两到三年内可再生能源可能超越LNG，成为韩国最大装机来源。上述数字为装机容量口径，而非实际发电量。</w:t>
      </w:r>
    </w:p>
    <w:p>
      <w:pPr>
        <w:ind w:firstLine="420"/>
      </w:pPr>
      <w:r>
        <w:rPr>
          <w:rFonts w:ascii="微软雅黑" w:hAnsi="微软雅黑" w:eastAsia="微软雅黑" w:cs="微软雅黑"/>
        </w:rPr>
        <w:t>来源：</w:t>
      </w:r>
      <w:hyperlink w:anchor="source-26666">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7. Etango铀项目作出最终投资决定，转入全面施工</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纳米比亚Etango铀项目合资公司作出最终投资决定，项目转入全面施工阶段，调试与投产目标为2028年。</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Etango合资公司（Bannerman持股55%、CNOL持股45%，合计持有项目95%权益）已作出最终投资决定。投产前资本开支预计约3.53亿美元，其中约6400万美元已通过前期工程发生，剩余部分将以合资公司自有现金支付、不新增债务。</w:t>
      </w:r>
    </w:p>
    <w:p>
      <w:pPr>
        <w:ind w:firstLine="420"/>
      </w:pPr>
      <w:r>
        <w:rPr>
          <w:rFonts w:ascii="微软雅黑" w:hAnsi="微软雅黑" w:eastAsia="微软雅黑" w:cs="微软雅黑"/>
        </w:rPr>
        <w:t>来源：</w:t>
      </w:r>
      <w:hyperlink w:anchor="source-26712">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8. 欧盟《工业加速法案》本地化条款引发韩国关切</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韩国对欧盟委员会提出的《工业加速法案》表示关切，认为其本地含量、所有权及技术转让条款可能阻碍非欧盟国家参与欧洲核能产业。</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法案由欧盟委员会提出，目标是将制造业占欧盟GDP的比重从14.3%提高到2035年的20%。韩国方面担心该法中严格的本地含量、所有权以及知识与技术转让条款，会限制非欧盟企业进入公共采购方案。金正官认为，由于欧盟内部核能供应链目前较为脆弱，欧洲国家必须与韩国等成熟的外部伙伴合作，才能在不中断的情况下按期推进核电扩张计划。</w:t>
      </w:r>
    </w:p>
    <w:p>
      <w:pPr>
        <w:ind w:firstLine="420"/>
      </w:pPr>
      <w:r>
        <w:rPr>
          <w:rFonts w:ascii="微软雅黑" w:hAnsi="微软雅黑" w:eastAsia="微软雅黑" w:cs="微软雅黑"/>
        </w:rPr>
        <w:t>来源：</w:t>
      </w:r>
      <w:hyperlink w:anchor="source-26674">
        <w:r>
          <w:rPr>
            <w:rFonts w:ascii="微软雅黑" w:hAnsi="微软雅黑" w:eastAsia="微软雅黑" w:cs="微软雅黑"/>
            <w:color w:val="087E89"/>
          </w:rPr>
          <w:t>26</w:t>
        </w:r>
      </w:hyperlink>
      <w:r>
        <w:rPr>
          <w:rFonts w:ascii="微软雅黑" w:hAnsi="微软雅黑" w:eastAsia="微软雅黑" w:cs="微软雅黑"/>
        </w:rPr>
      </w:r>
    </w:p>
    <w:p>
      <w:pPr>
        <w:pStyle w:val="Heading3"/>
      </w:pPr>
      <w:r>
        <w:rPr>
          <w:rFonts w:ascii="微软雅黑" w:hAnsi="微软雅黑" w:eastAsia="微软雅黑" w:cs="微软雅黑"/>
        </w:rPr>
        <w:t>9. 四部门发文促进算电协同，多地试点加快落地</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四部门印发《关于促进人工智能与能源双向赋能的行动方案》，提出促进算力电力高效经济协同，各地算电协同实践加快落地。</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国家能源局数据，2025年全国算力中心总用电量达1700亿千瓦时，占全社会用电量1.6%；全国一体化算力网八大枢纽节点算力用电近3年平均增长率约39.5%。据国际能源署预测，到2030年仅用电量一项，全球算力中心就要比2025年增长近一倍。国家发展改革委、国家能源局、工业和信息化部、国家数据局印发《关于促进人工智能与能源双向赋能的行动方案》，提出促进算力电力高效经济协同。安徽完成算电协同填谷调度测试，中国电信安徽公司将合肥高新区智算中心实时算力任务转移至淮北电信云计算中心，3分钟后淮北中心完全接手任务，单机用电负荷上升50%，有效提升当地绿电消纳能力。宁夏中卫大规模算电协同绿电直供项目2026年5月2日投运，配套50万千瓦光伏，采用“物理直供+双边交易”双轨模式；河北张家口探索“绿电聚合供应”模式，将150公里左右、三个县区的风光电厂聚合管理。</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算力用电快速增长，算电协同被视为提升绿电消纳能力的重要路径。</w:t>
      </w:r>
    </w:p>
    <w:p>
      <w:pPr>
        <w:ind w:firstLine="420"/>
      </w:pPr>
      <w:r>
        <w:rPr>
          <w:rFonts w:ascii="微软雅黑" w:hAnsi="微软雅黑" w:eastAsia="微软雅黑" w:cs="微软雅黑"/>
        </w:rPr>
        <w:t>来源：</w:t>
      </w:r>
      <w:hyperlink w:anchor="source-26686">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10. 巴尔法·比蒂中标Dogger Bank三风电场变电站合同</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巴尔法·比蒂中标变电站合同，用于连接三座Dogger Bank海上风电场，主要施工预计2027年启动。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合同范围包括早期承包商介入、详细设计与场地准备性工程，主要施工预计2027年启动，准备性工程已在进行中。该变电站将支持三座海上风电场并网，合计预计可提供足以满足约四百万户家庭的可再生电力。Dogger Bank D由SSE Renewables与Equinor开发，规划容量最高1.5吉瓦，已取得王室海床租约。</w:t>
      </w:r>
    </w:p>
    <w:p>
      <w:pPr>
        <w:ind w:firstLine="420"/>
      </w:pPr>
      <w:r>
        <w:rPr>
          <w:rFonts w:ascii="微软雅黑" w:hAnsi="微软雅黑" w:eastAsia="微软雅黑" w:cs="微软雅黑"/>
        </w:rPr>
        <w:t>来源：</w:t>
      </w:r>
      <w:hyperlink w:anchor="source-26647">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11. 印尼能源与矿产资源部第81届采矿与能源日：巴利尔指示选择人民利益</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印尼能源与矿产资源部长Bahlil Lahadalia于10月23日在雅加达主持第81届采矿与能源日庆祝活动，指示ESDM从业人员选择人民利益，并告诫不要停留在纸面上。</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印尼能源与矿产资源部长兼下游工业化与能源转型协调部长Bahlil Lahadalia于10月23日（周五）在雅加达主持第81届采矿与能源日庆祝活动。巴利勒称这些成就是“基础，而非终点”，要求全体ESDM人员诚实工作、敢于决策、完成每项目标，并告诫不要停留在纸面上：“不要只做概念、概念、概念，从不执行概念。”他以矿业RKAB（年度工作计划与预算）审批为例指出，许多大型企业因RKAB未按其意愿获批而提出抗议，并强调矿业必须遵守国内含量（本地化）义务、复垦与闭矿后义务以及工作安全要求。当晚活动包括今年更名的苏布罗托能源奖颁发及“能源守护者”项目启动。</w:t>
      </w:r>
    </w:p>
    <w:p>
      <w:pPr>
        <w:ind w:firstLine="420"/>
      </w:pPr>
      <w:r>
        <w:rPr>
          <w:rFonts w:ascii="微软雅黑" w:hAnsi="微软雅黑" w:eastAsia="微软雅黑" w:cs="微软雅黑"/>
        </w:rPr>
        <w:t>来源：</w:t>
      </w:r>
      <w:hyperlink w:anchor="source-26663">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6664">
        <w:r>
          <w:rPr>
            <w:rFonts w:ascii="微软雅黑" w:hAnsi="微软雅黑" w:eastAsia="微软雅黑" w:cs="微软雅黑"/>
            <w:color w:val="087E89"/>
          </w:rPr>
          <w:t>5</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12. 华中能源监管局赴那曲巴青县7.0级地震现场指导电力应急抢险</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10月22日22时33分西藏那曲巴青县发生7.0级地震后，华中能源监管局立即启动应急响应，指导国网西藏电力公司调派抢修队伍和抢险资源赶赴现场开展抢修复电。</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22日22时33分，西藏那曲巴青县发生7.0级地震。灾情发生后，国家能源局领导第一时间就抢险复电工作做出指示，华中能源监管局立即启动应急响应，指导西藏电网企业开展抢修复电工作。华中能源监管局指导国网西藏电力公司调派237人抢修队伍、23辆抢修车、16台发电车、2184项帐篷接电设施以及照明无人机等抢险资源赶赴现场。截至23日16时，2130户受灾停电用户已恢复供电，各安置点供电设施正逐步通电。</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截至23日16时，2130户受灾停电用户已恢复供电，各安置点供电设施正逐步通电。</w:t>
      </w:r>
    </w:p>
    <w:p>
      <w:pPr>
        <w:ind w:firstLine="420"/>
      </w:pPr>
      <w:r>
        <w:rPr>
          <w:rFonts w:ascii="微软雅黑" w:hAnsi="微软雅黑" w:eastAsia="微软雅黑" w:cs="微软雅黑"/>
        </w:rPr>
        <w:t>来源：</w:t>
      </w:r>
      <w:hyperlink w:anchor="source-26790">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13. 天津：“十五五”新增用电需求全部由本地绿电和外受电解决</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天津提出“十五五”期间新增用电需求全部通过本地绿电和外受电解决，非化石能源发电装机超过2000万千瓦、装机比重超过50%，煤炭消费总量较2025年下降10%、比重降至21%左右。</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十五五”期间，天津新增用电需求全部通过本地绿电和外受电解决，非化石能源发电装机超过2000万千瓦，装机比重超过50%。煤炭消费总量较2025年下降10%、比重降至21%左右，非化石能源消费比重增至22.2%。“十四五”期间天津新能源超过煤电成为第一大电源，煤炭消费比重由34.6%下降至24.6%，非化石能源消费比重由7.1%提高至17%，绿电交易连续三年倍速增长；“十四五”期间渤海油田稳居全国第一大原油生产基地，原油增量占全国总增量的约40%。</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“十四五”期间天津新能源已超过煤电成为第一大电源，煤炭消费比重由34.6%下降至24.6%，非化石能源消费比重由7.1%提高至17%，绿电交易连续三年倍速增长。</w:t>
      </w:r>
    </w:p>
    <w:p>
      <w:pPr>
        <w:ind w:firstLine="420"/>
      </w:pPr>
      <w:r>
        <w:rPr>
          <w:rFonts w:ascii="微软雅黑" w:hAnsi="微软雅黑" w:eastAsia="微软雅黑" w:cs="微软雅黑"/>
        </w:rPr>
        <w:t>来源：</w:t>
      </w:r>
      <w:hyperlink w:anchor="source-26345">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14. 国家发改委将电煤、电力、天然气保供中长期合同纳入统一制度框架</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国家发展改革委印发《能源保供中长期合同管理办法（试行）》，将电煤、电力、天然气三类能源保供中长期合同纳入统一制度规范，办法自2026年12月1日起施行。</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家发展改革委于2026年10月23日印发《能源保供中长期合同管理办法（试行）》，自2026年12月1日起施行。办法将电煤、电力、天然气三类能源保供中长期合同纳入统一制度框架，提升制度化、法治化、规范化水平。办法明确能源企业负有保障安全稳定供应的社会责任，供需各方应按市场化方式协商或交易并依法签订履行保供中长期合同，形成“企业主责、政府监管、分级负责”的责任链条；基于供需总量平衡和民生保障需要，分类别规范签约履约行为；在确保安全稳定供应前提下，经供需双方协商一致可对合同变更调整，兼顾合同刚性与弹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办法明确各方法律责任及追责情形，对能源保供造成严重影响的按规定追究责任，并构建政策激励约束机制提升履约质效，有助于发挥能源保供中长期合同“稳定器”和“压舱石”作用，从制度上保障能源供应链的韧性与安全。</w:t>
      </w:r>
    </w:p>
    <w:p>
      <w:pPr>
        <w:ind w:firstLine="420"/>
      </w:pPr>
      <w:r>
        <w:rPr>
          <w:rFonts w:ascii="微软雅黑" w:hAnsi="微软雅黑" w:eastAsia="微软雅黑" w:cs="微软雅黑"/>
        </w:rPr>
        <w:t>来源：</w:t>
      </w:r>
      <w:hyperlink w:anchor="source-26513">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26543">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15. 中国中煤装备公司信息公司获评国家级专精特新“小巨人”企业</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工业和信息化部优质中小企业梯度培育平台近日公示2026年度第一批专精特新“小巨人”企业名单，中国中煤所属装备公司信息公司入选，获评国家级专精特新“小巨人”企业。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该公司将落实发展新质生产力部署，持续加大研发投入、攻坚关键技术、加速成果转化。</w:t>
      </w:r>
    </w:p>
    <w:p>
      <w:pPr>
        <w:ind w:firstLine="420"/>
      </w:pPr>
      <w:r>
        <w:rPr>
          <w:rFonts w:ascii="微软雅黑" w:hAnsi="微软雅黑" w:eastAsia="微软雅黑" w:cs="微软雅黑"/>
        </w:rPr>
        <w:t>来源：</w:t>
      </w:r>
      <w:hyperlink w:anchor="source-26588">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16. 海南昌江“华龙一号”二期3号机组投产，“玲龙一号”拓展多元应用</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海南昌江核电基地“华龙一号”二期3号机组正式投产商运，“玲龙一号”全球首堆作为全球首个陆上商用模块化小堆，拓展出城市供热、工业供汽、海水淡化等多元应用场景，成为我国核电走出去的“新名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华龙一号”采用“能动与非能动相结合”的安全设计，极端工况下可依靠重力、自然循环等物理规律实现堆芯冷却，抵御台风和地震威胁。基地生产指挥中心部署国内首个集团级全核国产化核电生产管理系统，实现从芯片、操作系统到数据库的全栈适配，摆脱对国外工业软件的依赖。华能昌江核电3、4号机组配备100%国产化全范围模拟机，为核电人才提供实战“练兵场”，并创下投用周期的全国新纪录。</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基地利用温排水突破国家二级保护动物白蝶贝的人工繁育技术，实现工业余热资源化利用与生态保护双赢。</w:t>
      </w:r>
    </w:p>
    <w:p>
      <w:pPr>
        <w:ind w:firstLine="420"/>
      </w:pPr>
      <w:r>
        <w:rPr>
          <w:rFonts w:ascii="微软雅黑" w:hAnsi="微软雅黑" w:eastAsia="微软雅黑" w:cs="微软雅黑"/>
        </w:rPr>
        <w:t>来源：</w:t>
      </w:r>
      <w:hyperlink w:anchor="source-26652">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17. 国家能源局发文推动煤电与新能源融合发展</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国家能源局印发《关于推动煤电与新能源融合发展的实施意见》，提出到“十五五”末融合场景模式成熟应用，融合项目相较改造建设前的年度碳排放水平显著降低，并系统性提出融合的场景模式和技术要求。</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意见提出五类典型融合场景：新能源直接接入近区公用煤电机组协同送出消纳；新能源接入近区公用热电联产煤电机组实现清洁供热；海上风电直接接入沿海公用煤电机组协同送出消纳；近区新能源接入自备煤电机组打捆利用；厂内或近区新能源直连煤电厂用能系统实现绿色替代。技术要求涵盖降碳改造、接网方式、涉网性能、计量方式和技术创新，节能降碳改造通过调节能力改造、增设储能储热系统、送出系统增容、建设厂区或近区新能源等方式为新能源消纳腾挪空间；接网要求融合项目与公用电网形成清晰的物理界面与责任界面，公平承担相关费用。实施意见明确煤电灵活性改造空间决定新能源接入规模，融合项目物理共用送出通道但财务独立计量，弃电量不纳入新能源利用率考核。</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机构研报称容量电价不受影响、绿电属性完整保留，盈利模式从单一发电升级为“基础收益+协同交易+绿证溢价”三维驱动；研报认为华能国际、申能股份等依托存量通道和海上风电布局可快速形成协同送出，受益最直接，福能股份热电联产机组通过电制热/储热替代供热提升新能源消纳效率，浙能电力凭借分布式资源具备厂内直连绿电优势。</w:t>
      </w:r>
    </w:p>
    <w:p>
      <w:pPr>
        <w:ind w:firstLine="420"/>
      </w:pPr>
      <w:r>
        <w:rPr>
          <w:rFonts w:ascii="微软雅黑" w:hAnsi="微软雅黑" w:eastAsia="微软雅黑" w:cs="微软雅黑"/>
        </w:rPr>
        <w:t>来源：</w:t>
      </w:r>
      <w:hyperlink w:anchor="source-2678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6272">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18. 全国首个数据中心绿电直连源网荷储项目REITs获批</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2026年10月21日，上海证券交易所债券项目信息平台披露，“华泰-中金数据持有型不动产资产支持专项计划”正式获批，底层项目为全国首个数据中心绿电直连源网荷储一体化项目。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计划对应的底层项目为全国首个数据中心绿电直连源网荷储一体化项目——中金数据乌兰察布源网荷储一体化项目，于2025年7月15日正式投产，配套建设30万千瓦绿电项目，其中风电20万千瓦、光伏10万千瓦，同步配置4.5万千瓦储能，实现“以荷定源、源随荷动”。本项目发行规模为36.52亿元，通过股权转让方式将底层资产转让至资产支持专项计划，由合格投资者认购份额，并由计划管理人管理。中金数据集团成立于2005年，早期自主规划、投资、建设、运营Tier IV级数据中心，是国内领先的绿色算力基础设施运营服务商。</w:t>
      </w:r>
    </w:p>
    <w:p>
      <w:pPr>
        <w:ind w:firstLine="420"/>
      </w:pPr>
      <w:r>
        <w:rPr>
          <w:rFonts w:ascii="微软雅黑" w:hAnsi="微软雅黑" w:eastAsia="微软雅黑" w:cs="微软雅黑"/>
        </w:rPr>
        <w:t>来源：</w:t>
      </w:r>
      <w:hyperlink w:anchor="source-26234">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19. 浙江“十五五”优化能源结构，三年光伏新增3000万千瓦</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浙江在“十五五”规划新闻发布会上提出优化产业、能源、交通运输结构，明确三年内光伏新增装机3000万千瓦，并推进海上风电前期工作和陆上风电三年行动计划。</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23日杭州召开《美丽浙江建设（生态环境保护）“十五五”规划》新闻发布会，浙江省委、省政府明确提出“十五五”期间优化产业、能源、交通运输结构。浙江省发展改革委副主任闫西安表示，浙江已完成全省可开发光伏资源摸排，明确三年内全省光伏装机新增3000万千瓦；正全力推进海上风电项目前期工作，加快建设华东深远海风电母港，打造海上风电设备生产运维高地；编制全省陆上风电三年行动计划，形成一批储备项目，同时坚决守住生态保护红线。</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浙江设立省级节能降碳技术改造专项资金，今年已有251个省级项目获得补助资金超5亿元，实现降碳244万吨。</w:t>
      </w:r>
    </w:p>
    <w:p>
      <w:pPr>
        <w:ind w:firstLine="420"/>
      </w:pPr>
      <w:r>
        <w:rPr>
          <w:rFonts w:ascii="微软雅黑" w:hAnsi="微软雅黑" w:eastAsia="微软雅黑" w:cs="微软雅黑"/>
        </w:rPr>
        <w:t>来源：</w:t>
      </w:r>
      <w:hyperlink w:anchor="source-26681">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20. 前三季度全社会用电量同比增长3.9%</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1—9月全社会用电量累计80734亿千瓦时，同比增长3.9%；9月当月用电量8997亿千瓦时，同比增长1.2%。</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9月全社会用电量累计80734亿千瓦时，同比增长3.9%；9月当月8997亿千瓦时，同比增长1.2%。工业用电量50632亿千瓦时，同比增长4.3%；高技术及装备制造业用电量9619亿千瓦时，同比增长8.7%。城乡居民生活用电量12346亿千瓦时，同比下降0.3%。</w:t>
      </w:r>
    </w:p>
    <w:p>
      <w:pPr>
        <w:ind w:firstLine="420"/>
      </w:pPr>
      <w:r>
        <w:rPr>
          <w:rFonts w:ascii="微软雅黑" w:hAnsi="微软雅黑" w:eastAsia="微软雅黑" w:cs="微软雅黑"/>
        </w:rPr>
        <w:t>来源：</w:t>
      </w:r>
      <w:hyperlink w:anchor="source-26685">
        <w:r>
          <w:rPr>
            <w:rFonts w:ascii="微软雅黑" w:hAnsi="微软雅黑" w:eastAsia="微软雅黑" w:cs="微软雅黑"/>
            <w:color w:val="087E89"/>
          </w:rPr>
          <w:t>10</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到“十五五”末融合场景模式成熟应用、融合项目年度碳排放水平显著降低的目标尚待落实。 </w:t>
      </w:r>
      <w:hyperlink w:anchor="source-2678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6272">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局势恢复正常后市场日均原油需求预计增加约300万桶用于消费和补充库存，库存恢复时间存在不确定性。 </w:t>
      </w:r>
      <w:hyperlink w:anchor="source-26707">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中东冲突是否进一步升级及其对区域石油供应的影响。 </w:t>
      </w:r>
      <w:hyperlink w:anchor="source-26368">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6074">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6052">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6567">
        <w:r>
          <w:rPr>
            <w:rFonts w:ascii="微软雅黑" w:hAnsi="微软雅黑" w:eastAsia="微软雅黑" w:cs="微软雅黑"/>
            <w:color w:val="087E89"/>
          </w:rPr>
          <w:t>9</w:t>
        </w:r>
      </w:hyperlink>
      <w:r>
        <w:rPr>
          <w:rFonts w:ascii="微软雅黑" w:hAnsi="微软雅黑" w:eastAsia="微软雅黑" w:cs="微软雅黑"/>
        </w:rPr>
      </w:r>
    </w:p>
    <w:p>
      <w:pPr>
        <w:pStyle w:val="ListBullet"/>
      </w:pPr>
      <w:r>
        <w:rPr>
          <w:rFonts w:ascii="微软雅黑" w:hAnsi="微软雅黑" w:eastAsia="微软雅黑" w:cs="微软雅黑"/>
        </w:rPr>
        <w:t xml:space="preserve">办法施行后的签约履约落实情况及监督管理执行效果有待观察。 </w:t>
      </w:r>
      <w:hyperlink w:anchor="source-26513">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26543">
        <w:r>
          <w:rPr>
            <w:rFonts w:ascii="微软雅黑" w:hAnsi="微软雅黑" w:eastAsia="微软雅黑" w:cs="微软雅黑"/>
            <w:color w:val="087E89"/>
          </w:rPr>
          <w:t>12</w:t>
        </w:r>
      </w:hyperlink>
      <w:r>
        <w:rPr>
          <w:rFonts w:ascii="微软雅黑" w:hAnsi="微软雅黑" w:eastAsia="微软雅黑" w:cs="微软雅黑"/>
        </w:rPr>
      </w:r>
    </w:p>
    <w:p>
      <w:pPr>
        <w:pStyle w:val="ListBullet"/>
      </w:pPr>
      <w:r>
        <w:rPr>
          <w:rFonts w:ascii="微软雅黑" w:hAnsi="微软雅黑" w:eastAsia="微软雅黑" w:cs="微软雅黑"/>
        </w:rPr>
        <w:t xml:space="preserve">华中能源监管局将按照抗震救灾工作组统一部署，紧盯震后抢修复电、重要用户接电保电和民生保供等重点，并做好信息报送。 </w:t>
      </w:r>
      <w:hyperlink w:anchor="source-26790">
        <w:r>
          <w:rPr>
            <w:rFonts w:ascii="微软雅黑" w:hAnsi="微软雅黑" w:eastAsia="微软雅黑" w:cs="微软雅黑"/>
            <w:color w:val="087E89"/>
          </w:rPr>
          <w:t>13</w:t>
        </w:r>
      </w:hyperlink>
      <w:r>
        <w:rPr>
          <w:rFonts w:ascii="微软雅黑" w:hAnsi="微软雅黑" w:eastAsia="微软雅黑" w:cs="微软雅黑"/>
        </w:rPr>
      </w:r>
    </w:p>
    <w:p>
      <w:pPr>
        <w:pStyle w:val="ListBullet"/>
      </w:pPr>
      <w:r>
        <w:rPr>
          <w:rFonts w:ascii="微软雅黑" w:hAnsi="微软雅黑" w:eastAsia="微软雅黑" w:cs="微软雅黑"/>
        </w:rPr>
        <w:t xml:space="preserve">项目调试与投产目标为2028年，进展有待跟踪。 </w:t>
      </w:r>
      <w:hyperlink w:anchor="source-26712">
        <w:r>
          <w:rPr>
            <w:rFonts w:ascii="微软雅黑" w:hAnsi="微软雅黑" w:eastAsia="微软雅黑" w:cs="微软雅黑"/>
            <w:color w:val="087E89"/>
          </w:rPr>
          <w:t>14</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330 篇文章，形成 327 篇有效能源材料；正文引用 26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26789"/>
      <w:bookmarkEnd w:id="1" w:name="source-26789"/>
    </w:p>
    <w:p>
      <w:pPr>
        <w:pStyle w:val="ListBullet"/>
      </w:pPr>
      <w:r>
        <w:rPr>
          <w:rFonts w:ascii="微软雅黑" w:hAnsi="微软雅黑" w:eastAsia="微软雅黑" w:cs="微软雅黑"/>
        </w:rPr>
        <w:t>[1] 国家能源局｜</w:t>
      </w:r>
      <w:hyperlink r:id="rId11">
        <w:r>
          <w:rPr>
            <w:rFonts w:ascii="微软雅黑" w:hAnsi="微软雅黑" w:eastAsia="微软雅黑" w:cs="微软雅黑"/>
            <w:color w:val="087E89"/>
          </w:rPr>
          <w:t>国家能源局发文推动煤电与新能源融合发展</w:t>
        </w:r>
      </w:hyperlink>
      <w:r>
        <w:rPr>
          <w:rFonts w:ascii="微软雅黑" w:hAnsi="微软雅黑" w:eastAsia="微软雅黑" w:cs="微软雅黑"/>
        </w:rPr>
      </w:r>
    </w:p>
    <w:p>
      <w:pPr>
        <w:spacing w:after="0" w:line="20" w:lineRule="exact"/>
      </w:pPr>
      <w:bookmarkStart w:id="2" w:name="source-26272"/>
      <w:bookmarkEnd w:id="2" w:name="source-26272"/>
    </w:p>
    <w:p>
      <w:pPr>
        <w:pStyle w:val="ListBullet"/>
      </w:pPr>
      <w:r>
        <w:rPr>
          <w:rFonts w:ascii="微软雅黑" w:hAnsi="微软雅黑" w:eastAsia="微软雅黑" w:cs="微软雅黑"/>
        </w:rPr>
        <w:t>[2] 中财网｜</w:t>
      </w:r>
      <w:hyperlink r:id="rId12">
        <w:r>
          <w:rPr>
            <w:rFonts w:ascii="微软雅黑" w:hAnsi="微软雅黑" w:eastAsia="微软雅黑" w:cs="微软雅黑"/>
            <w:color w:val="087E89"/>
          </w:rPr>
          <w:t>煤电与新能源融合落地 火绿协同重塑估值逻辑</w:t>
        </w:r>
      </w:hyperlink>
      <w:r>
        <w:rPr>
          <w:rFonts w:ascii="微软雅黑" w:hAnsi="微软雅黑" w:eastAsia="微软雅黑" w:cs="微软雅黑"/>
        </w:rPr>
      </w:r>
    </w:p>
    <w:p>
      <w:pPr>
        <w:spacing w:after="0" w:line="20" w:lineRule="exact"/>
      </w:pPr>
      <w:bookmarkStart w:id="3" w:name="source-26707"/>
      <w:bookmarkEnd w:id="3" w:name="source-26707"/>
    </w:p>
    <w:p>
      <w:pPr>
        <w:pStyle w:val="ListBullet"/>
      </w:pPr>
      <w:r>
        <w:rPr>
          <w:rFonts w:ascii="微软雅黑" w:hAnsi="微软雅黑" w:eastAsia="微软雅黑" w:cs="微软雅黑"/>
        </w:rPr>
        <w:t>[3] 中国能源新闻网｜</w:t>
      </w:r>
      <w:hyperlink r:id="rId13">
        <w:r>
          <w:rPr>
            <w:rFonts w:ascii="微软雅黑" w:hAnsi="微软雅黑" w:eastAsia="微软雅黑" w:cs="微软雅黑"/>
            <w:color w:val="087E89"/>
          </w:rPr>
          <w:t>沙特阿美称能源市场遭遇前所未见冲击</w:t>
        </w:r>
      </w:hyperlink>
      <w:r>
        <w:rPr>
          <w:rFonts w:ascii="微软雅黑" w:hAnsi="微软雅黑" w:eastAsia="微软雅黑" w:cs="微软雅黑"/>
        </w:rPr>
      </w:r>
    </w:p>
    <w:p>
      <w:pPr>
        <w:spacing w:after="0" w:line="20" w:lineRule="exact"/>
      </w:pPr>
      <w:bookmarkStart w:id="4" w:name="source-26663"/>
      <w:bookmarkEnd w:id="4" w:name="source-26663"/>
    </w:p>
    <w:p>
      <w:pPr>
        <w:pStyle w:val="ListBullet"/>
      </w:pPr>
      <w:r>
        <w:rPr>
          <w:rFonts w:ascii="微软雅黑" w:hAnsi="微软雅黑" w:eastAsia="微软雅黑" w:cs="微软雅黑"/>
        </w:rPr>
        <w:t>[4] 印度尼西亚能源与矿产资源部官网｜</w:t>
      </w:r>
      <w:hyperlink r:id="rId14">
        <w:r>
          <w:rPr>
            <w:rFonts w:ascii="微软雅黑" w:hAnsi="微软雅黑" w:eastAsia="微软雅黑" w:cs="微软雅黑"/>
            <w:color w:val="087E89"/>
          </w:rPr>
          <w:t>2025年超额完成目标后，印尼能源与矿产资源部PNBP目标定为165万亿印尼盾</w:t>
        </w:r>
      </w:hyperlink>
      <w:r>
        <w:rPr>
          <w:rFonts w:ascii="微软雅黑" w:hAnsi="微软雅黑" w:eastAsia="微软雅黑" w:cs="微软雅黑"/>
        </w:rPr>
      </w:r>
    </w:p>
    <w:p>
      <w:pPr>
        <w:spacing w:after="0" w:line="20" w:lineRule="exact"/>
      </w:pPr>
      <w:bookmarkStart w:id="5" w:name="source-26664"/>
      <w:bookmarkEnd w:id="5" w:name="source-26664"/>
    </w:p>
    <w:p>
      <w:pPr>
        <w:pStyle w:val="ListBullet"/>
      </w:pPr>
      <w:r>
        <w:rPr>
          <w:rFonts w:ascii="微软雅黑" w:hAnsi="微软雅黑" w:eastAsia="微软雅黑" w:cs="微软雅黑"/>
        </w:rPr>
        <w:t>[5] 印度尼西亚能源与矿产资源部官网｜</w:t>
      </w:r>
      <w:hyperlink r:id="rId15">
        <w:r>
          <w:rPr>
            <w:rFonts w:ascii="微软雅黑" w:hAnsi="微软雅黑" w:eastAsia="微软雅黑" w:cs="微软雅黑"/>
            <w:color w:val="087E89"/>
          </w:rPr>
          <w:t>第81届矿产与能源（HUT Pertambangan dan Energi）大会：巴利尔（Bahlil）指示能源与矿产资源（ESDM）从业人员选择人民利益</w:t>
        </w:r>
      </w:hyperlink>
      <w:r>
        <w:rPr>
          <w:rFonts w:ascii="微软雅黑" w:hAnsi="微软雅黑" w:eastAsia="微软雅黑" w:cs="微软雅黑"/>
        </w:rPr>
      </w:r>
    </w:p>
    <w:p>
      <w:pPr>
        <w:spacing w:after="0" w:line="20" w:lineRule="exact"/>
      </w:pPr>
      <w:bookmarkStart w:id="6" w:name="source-26368"/>
      <w:bookmarkEnd w:id="6" w:name="source-26368"/>
    </w:p>
    <w:p>
      <w:pPr>
        <w:pStyle w:val="ListBullet"/>
      </w:pPr>
      <w:r>
        <w:rPr>
          <w:rFonts w:ascii="微软雅黑" w:hAnsi="微软雅黑" w:eastAsia="微软雅黑" w:cs="微软雅黑"/>
        </w:rPr>
        <w:t>[6] 新浪财经｜</w:t>
      </w:r>
      <w:hyperlink r:id="rId16">
        <w:r>
          <w:rPr>
            <w:rFonts w:ascii="微软雅黑" w:hAnsi="微软雅黑" w:eastAsia="微软雅黑" w:cs="微软雅黑"/>
            <w:color w:val="087E89"/>
          </w:rPr>
          <w:t>突发！沙特国防部和原油设施遇袭！刚刚，黄金、白银、纳指暴跌，油价大涨！恐慌情绪蔓延！普京重磅发声</w:t>
        </w:r>
      </w:hyperlink>
      <w:r>
        <w:rPr>
          <w:rFonts w:ascii="微软雅黑" w:hAnsi="微软雅黑" w:eastAsia="微软雅黑" w:cs="微软雅黑"/>
        </w:rPr>
      </w:r>
    </w:p>
    <w:p>
      <w:pPr>
        <w:spacing w:after="0" w:line="20" w:lineRule="exact"/>
      </w:pPr>
      <w:bookmarkStart w:id="7" w:name="source-26074"/>
      <w:bookmarkEnd w:id="7" w:name="source-26074"/>
    </w:p>
    <w:p>
      <w:pPr>
        <w:pStyle w:val="ListBullet"/>
      </w:pPr>
      <w:r>
        <w:rPr>
          <w:rFonts w:ascii="微软雅黑" w:hAnsi="微软雅黑" w:eastAsia="微软雅黑" w:cs="微软雅黑"/>
        </w:rPr>
        <w:t>[7] 新浪财经｜</w:t>
      </w:r>
      <w:hyperlink r:id="rId17">
        <w:r>
          <w:rPr>
            <w:rFonts w:ascii="微软雅黑" w:hAnsi="微软雅黑" w:eastAsia="微软雅黑" w:cs="微软雅黑"/>
            <w:color w:val="087E89"/>
          </w:rPr>
          <w:t>大宗商品综述：油价上涨 铜价金价走低</w:t>
        </w:r>
      </w:hyperlink>
      <w:r>
        <w:rPr>
          <w:rFonts w:ascii="微软雅黑" w:hAnsi="微软雅黑" w:eastAsia="微软雅黑" w:cs="微软雅黑"/>
        </w:rPr>
      </w:r>
    </w:p>
    <w:p>
      <w:pPr>
        <w:spacing w:after="0" w:line="20" w:lineRule="exact"/>
      </w:pPr>
      <w:bookmarkStart w:id="8" w:name="source-26052"/>
      <w:bookmarkEnd w:id="8" w:name="source-26052"/>
    </w:p>
    <w:p>
      <w:pPr>
        <w:pStyle w:val="ListBullet"/>
      </w:pPr>
      <w:r>
        <w:rPr>
          <w:rFonts w:ascii="微软雅黑" w:hAnsi="微软雅黑" w:eastAsia="微软雅黑" w:cs="微软雅黑"/>
        </w:rPr>
        <w:t>[8] 新浪财经美股市场（经济）｜</w:t>
      </w:r>
      <w:hyperlink r:id="rId18">
        <w:r>
          <w:rPr>
            <w:rFonts w:ascii="微软雅黑" w:hAnsi="微软雅黑" w:eastAsia="微软雅黑" w:cs="微软雅黑"/>
            <w:color w:val="087E89"/>
          </w:rPr>
          <w:t>原油：油价上涨 沙特遭袭加剧中东供应担忧</w:t>
        </w:r>
      </w:hyperlink>
      <w:r>
        <w:rPr>
          <w:rFonts w:ascii="微软雅黑" w:hAnsi="微软雅黑" w:eastAsia="微软雅黑" w:cs="微软雅黑"/>
        </w:rPr>
      </w:r>
    </w:p>
    <w:p>
      <w:pPr>
        <w:spacing w:after="0" w:line="20" w:lineRule="exact"/>
      </w:pPr>
      <w:bookmarkStart w:id="9" w:name="source-26567"/>
      <w:bookmarkEnd w:id="9" w:name="source-26567"/>
    </w:p>
    <w:p>
      <w:pPr>
        <w:pStyle w:val="ListBullet"/>
      </w:pPr>
      <w:r>
        <w:rPr>
          <w:rFonts w:ascii="微软雅黑" w:hAnsi="微软雅黑" w:eastAsia="微软雅黑" w:cs="微软雅黑"/>
        </w:rPr>
        <w:t>[9] Anadolu Agency｜</w:t>
      </w:r>
      <w:hyperlink r:id="rId19">
        <w:r>
          <w:rPr>
            <w:rFonts w:ascii="微软雅黑" w:hAnsi="微软雅黑" w:eastAsia="微软雅黑" w:cs="微软雅黑"/>
            <w:color w:val="087E89"/>
          </w:rPr>
          <w:t>中东局势紧张，布伦特原油周涨幅有望超过4%</w:t>
        </w:r>
      </w:hyperlink>
      <w:r>
        <w:rPr>
          <w:rFonts w:ascii="微软雅黑" w:hAnsi="微软雅黑" w:eastAsia="微软雅黑" w:cs="微软雅黑"/>
        </w:rPr>
      </w:r>
    </w:p>
    <w:p>
      <w:pPr>
        <w:spacing w:after="0" w:line="20" w:lineRule="exact"/>
      </w:pPr>
      <w:bookmarkStart w:id="10" w:name="source-26685"/>
      <w:bookmarkEnd w:id="10" w:name="source-26685"/>
    </w:p>
    <w:p>
      <w:pPr>
        <w:pStyle w:val="ListBullet"/>
      </w:pPr>
      <w:r>
        <w:rPr>
          <w:rFonts w:ascii="微软雅黑" w:hAnsi="微软雅黑" w:eastAsia="微软雅黑" w:cs="微软雅黑"/>
        </w:rPr>
        <w:t>[10] 国家能源局｜</w:t>
      </w:r>
      <w:hyperlink r:id="rId20">
        <w:r>
          <w:rPr>
            <w:rFonts w:ascii="微软雅黑" w:hAnsi="微软雅黑" w:eastAsia="微软雅黑" w:cs="微软雅黑"/>
            <w:color w:val="087E89"/>
          </w:rPr>
          <w:t>前三季度全社会用电量同比增长3.9%</w:t>
        </w:r>
      </w:hyperlink>
      <w:r>
        <w:rPr>
          <w:rFonts w:ascii="微软雅黑" w:hAnsi="微软雅黑" w:eastAsia="微软雅黑" w:cs="微软雅黑"/>
        </w:rPr>
      </w:r>
    </w:p>
    <w:p>
      <w:pPr>
        <w:spacing w:after="0" w:line="20" w:lineRule="exact"/>
      </w:pPr>
      <w:bookmarkStart w:id="11" w:name="source-26513"/>
      <w:bookmarkEnd w:id="11" w:name="source-26513"/>
    </w:p>
    <w:p>
      <w:pPr>
        <w:pStyle w:val="ListBullet"/>
      </w:pPr>
      <w:r>
        <w:rPr>
          <w:rFonts w:ascii="微软雅黑" w:hAnsi="微软雅黑" w:eastAsia="微软雅黑" w:cs="微软雅黑"/>
        </w:rPr>
        <w:t>[11] 财联社｜</w:t>
      </w:r>
      <w:hyperlink r:id="rId21">
        <w:r>
          <w:rPr>
            <w:rFonts w:ascii="微软雅黑" w:hAnsi="微软雅黑" w:eastAsia="微软雅黑" w:cs="微软雅黑"/>
            <w:color w:val="087E89"/>
          </w:rPr>
          <w:t>国家发改委：将电煤、电力、天然气三类能源保供中长期合同纳入统一制度框架</w:t>
        </w:r>
      </w:hyperlink>
      <w:r>
        <w:rPr>
          <w:rFonts w:ascii="微软雅黑" w:hAnsi="微软雅黑" w:eastAsia="微软雅黑" w:cs="微软雅黑"/>
        </w:rPr>
      </w:r>
    </w:p>
    <w:p>
      <w:pPr>
        <w:spacing w:after="0" w:line="20" w:lineRule="exact"/>
      </w:pPr>
      <w:bookmarkStart w:id="12" w:name="source-26543"/>
      <w:bookmarkEnd w:id="12" w:name="source-26543"/>
    </w:p>
    <w:p>
      <w:pPr>
        <w:pStyle w:val="ListBullet"/>
      </w:pPr>
      <w:r>
        <w:rPr>
          <w:rFonts w:ascii="微软雅黑" w:hAnsi="微软雅黑" w:eastAsia="微软雅黑" w:cs="微软雅黑"/>
        </w:rPr>
        <w:t>[12] 中国新闻网｜</w:t>
      </w:r>
      <w:hyperlink r:id="rId22">
        <w:r>
          <w:rPr>
            <w:rFonts w:ascii="微软雅黑" w:hAnsi="微软雅黑" w:eastAsia="微软雅黑" w:cs="微软雅黑"/>
            <w:color w:val="087E89"/>
          </w:rPr>
          <w:t>我国加强能源保供中长期合同管理</w:t>
        </w:r>
      </w:hyperlink>
      <w:r>
        <w:rPr>
          <w:rFonts w:ascii="微软雅黑" w:hAnsi="微软雅黑" w:eastAsia="微软雅黑" w:cs="微软雅黑"/>
        </w:rPr>
      </w:r>
    </w:p>
    <w:p>
      <w:pPr>
        <w:spacing w:after="0" w:line="20" w:lineRule="exact"/>
      </w:pPr>
      <w:bookmarkStart w:id="13" w:name="source-26790"/>
      <w:bookmarkEnd w:id="13" w:name="source-26790"/>
    </w:p>
    <w:p>
      <w:pPr>
        <w:pStyle w:val="ListBullet"/>
      </w:pPr>
      <w:r>
        <w:rPr>
          <w:rFonts w:ascii="微软雅黑" w:hAnsi="微软雅黑" w:eastAsia="微软雅黑" w:cs="微软雅黑"/>
        </w:rPr>
        <w:t>[13] 国家能源局｜</w:t>
      </w:r>
      <w:hyperlink r:id="rId23">
        <w:r>
          <w:rPr>
            <w:rFonts w:ascii="微软雅黑" w:hAnsi="微软雅黑" w:eastAsia="微软雅黑" w:cs="微软雅黑"/>
            <w:color w:val="087E89"/>
          </w:rPr>
          <w:t>华中能源监管局闻灾而动 赴那曲巴青县7.0级地震现场指导电力应急抢险救灾</w:t>
        </w:r>
      </w:hyperlink>
      <w:r>
        <w:rPr>
          <w:rFonts w:ascii="微软雅黑" w:hAnsi="微软雅黑" w:eastAsia="微软雅黑" w:cs="微软雅黑"/>
        </w:rPr>
      </w:r>
    </w:p>
    <w:p>
      <w:pPr>
        <w:spacing w:after="0" w:line="20" w:lineRule="exact"/>
      </w:pPr>
      <w:bookmarkStart w:id="14" w:name="source-26712"/>
      <w:bookmarkEnd w:id="14" w:name="source-26712"/>
    </w:p>
    <w:p>
      <w:pPr>
        <w:pStyle w:val="ListBullet"/>
      </w:pPr>
      <w:r>
        <w:rPr>
          <w:rFonts w:ascii="微软雅黑" w:hAnsi="微软雅黑" w:eastAsia="微软雅黑" w:cs="微软雅黑"/>
        </w:rPr>
        <w:t>[14] 世界核新闻｜</w:t>
      </w:r>
      <w:hyperlink r:id="rId24">
        <w:r>
          <w:rPr>
            <w:rFonts w:ascii="微软雅黑" w:hAnsi="微软雅黑" w:eastAsia="微软雅黑" w:cs="微软雅黑"/>
            <w:color w:val="087E89"/>
          </w:rPr>
          <w:t>最终投资决定推动Etango进入全面施工阶段</w:t>
        </w:r>
      </w:hyperlink>
      <w:r>
        <w:rPr>
          <w:rFonts w:ascii="微软雅黑" w:hAnsi="微软雅黑" w:eastAsia="微软雅黑" w:cs="微软雅黑"/>
        </w:rPr>
      </w:r>
    </w:p>
    <w:p>
      <w:pPr>
        <w:spacing w:after="0" w:line="20" w:lineRule="exact"/>
      </w:pPr>
      <w:bookmarkStart w:id="15" w:name="source-26686"/>
      <w:bookmarkEnd w:id="15" w:name="source-26686"/>
    </w:p>
    <w:p>
      <w:pPr>
        <w:pStyle w:val="ListBullet"/>
      </w:pPr>
      <w:r>
        <w:rPr>
          <w:rFonts w:ascii="微软雅黑" w:hAnsi="微软雅黑" w:eastAsia="微软雅黑" w:cs="微软雅黑"/>
        </w:rPr>
        <w:t>[15] 国家能源局｜</w:t>
      </w:r>
      <w:hyperlink r:id="rId25">
        <w:r>
          <w:rPr>
            <w:rFonts w:ascii="微软雅黑" w:hAnsi="微软雅黑" w:eastAsia="微软雅黑" w:cs="微软雅黑"/>
            <w:color w:val="087E89"/>
          </w:rPr>
          <w:t>算电协同为何越来越重要</w:t>
        </w:r>
      </w:hyperlink>
      <w:r>
        <w:rPr>
          <w:rFonts w:ascii="微软雅黑" w:hAnsi="微软雅黑" w:eastAsia="微软雅黑" w:cs="微软雅黑"/>
        </w:rPr>
      </w:r>
    </w:p>
    <w:p>
      <w:pPr>
        <w:spacing w:after="0" w:line="20" w:lineRule="exact"/>
      </w:pPr>
      <w:bookmarkStart w:id="16" w:name="source-26681"/>
      <w:bookmarkEnd w:id="16" w:name="source-26681"/>
    </w:p>
    <w:p>
      <w:pPr>
        <w:pStyle w:val="ListBullet"/>
      </w:pPr>
      <w:r>
        <w:rPr>
          <w:rFonts w:ascii="微软雅黑" w:hAnsi="微软雅黑" w:eastAsia="微软雅黑" w:cs="微软雅黑"/>
        </w:rPr>
        <w:t>[16] 中国新闻网｜</w:t>
      </w:r>
      <w:hyperlink r:id="rId26">
        <w:r>
          <w:rPr>
            <w:rFonts w:ascii="微软雅黑" w:hAnsi="微软雅黑" w:eastAsia="微软雅黑" w:cs="微软雅黑"/>
            <w:color w:val="087E89"/>
          </w:rPr>
          <w:t>优化产业、能源、交通结构 浙江何以打造更高水平生态省？</w:t>
        </w:r>
      </w:hyperlink>
      <w:r>
        <w:rPr>
          <w:rFonts w:ascii="微软雅黑" w:hAnsi="微软雅黑" w:eastAsia="微软雅黑" w:cs="微软雅黑"/>
        </w:rPr>
      </w:r>
    </w:p>
    <w:p>
      <w:pPr>
        <w:spacing w:after="0" w:line="20" w:lineRule="exact"/>
      </w:pPr>
      <w:bookmarkStart w:id="17" w:name="source-26666"/>
      <w:bookmarkEnd w:id="17" w:name="source-26666"/>
    </w:p>
    <w:p>
      <w:pPr>
        <w:pStyle w:val="ListBullet"/>
      </w:pPr>
      <w:r>
        <w:rPr>
          <w:rFonts w:ascii="微软雅黑" w:hAnsi="微软雅黑" w:eastAsia="微软雅黑" w:cs="微软雅黑"/>
        </w:rPr>
        <w:t>[17] 光伏杂志国际版｜</w:t>
      </w:r>
      <w:hyperlink r:id="rId27">
        <w:r>
          <w:rPr>
            <w:rFonts w:ascii="微软雅黑" w:hAnsi="微软雅黑" w:eastAsia="微软雅黑" w:cs="微软雅黑"/>
            <w:color w:val="087E89"/>
          </w:rPr>
          <w:t>韩国可再生能源装机容量首次超过煤炭</w:t>
        </w:r>
      </w:hyperlink>
      <w:r>
        <w:rPr>
          <w:rFonts w:ascii="微软雅黑" w:hAnsi="微软雅黑" w:eastAsia="微软雅黑" w:cs="微软雅黑"/>
        </w:rPr>
      </w:r>
    </w:p>
    <w:p>
      <w:pPr>
        <w:spacing w:after="0" w:line="20" w:lineRule="exact"/>
      </w:pPr>
      <w:bookmarkStart w:id="18" w:name="source-26653"/>
      <w:bookmarkEnd w:id="18" w:name="source-26653"/>
    </w:p>
    <w:p>
      <w:pPr>
        <w:pStyle w:val="ListBullet"/>
      </w:pPr>
      <w:r>
        <w:rPr>
          <w:rFonts w:ascii="微软雅黑" w:hAnsi="微软雅黑" w:eastAsia="微软雅黑" w:cs="微软雅黑"/>
        </w:rPr>
        <w:t>[18] 俄罗斯卫星通讯社｜</w:t>
      </w:r>
      <w:hyperlink r:id="rId28">
        <w:r>
          <w:rPr>
            <w:rFonts w:ascii="微软雅黑" w:hAnsi="微软雅黑" w:eastAsia="微软雅黑" w:cs="微软雅黑"/>
            <w:color w:val="087E89"/>
          </w:rPr>
          <w:t>土库曼斯坦天然气公司因中东冲突面临物流困难的问题</w:t>
        </w:r>
      </w:hyperlink>
      <w:r>
        <w:rPr>
          <w:rFonts w:ascii="微软雅黑" w:hAnsi="微软雅黑" w:eastAsia="微软雅黑" w:cs="微软雅黑"/>
        </w:rPr>
      </w:r>
    </w:p>
    <w:p>
      <w:pPr>
        <w:spacing w:after="0" w:line="20" w:lineRule="exact"/>
      </w:pPr>
      <w:bookmarkStart w:id="19" w:name="source-26647"/>
      <w:bookmarkEnd w:id="19" w:name="source-26647"/>
    </w:p>
    <w:p>
      <w:pPr>
        <w:pStyle w:val="ListBullet"/>
      </w:pPr>
      <w:r>
        <w:rPr>
          <w:rFonts w:ascii="微软雅黑" w:hAnsi="微软雅黑" w:eastAsia="微软雅黑" w:cs="微软雅黑"/>
        </w:rPr>
        <w:t>[19] OffshoreWIND.biz｜</w:t>
      </w:r>
      <w:hyperlink r:id="rId29">
        <w:r>
          <w:rPr>
            <w:rFonts w:ascii="微软雅黑" w:hAnsi="微软雅黑" w:eastAsia="微软雅黑" w:cs="微软雅黑"/>
            <w:color w:val="087E89"/>
          </w:rPr>
          <w:t>巴尔法·比蒂中标变电站合同，用于连接三座 Dogger Bank 风电场</w:t>
        </w:r>
      </w:hyperlink>
      <w:r>
        <w:rPr>
          <w:rFonts w:ascii="微软雅黑" w:hAnsi="微软雅黑" w:eastAsia="微软雅黑" w:cs="微软雅黑"/>
        </w:rPr>
      </w:r>
    </w:p>
    <w:p>
      <w:pPr>
        <w:spacing w:after="0" w:line="20" w:lineRule="exact"/>
      </w:pPr>
      <w:bookmarkStart w:id="20" w:name="source-26345"/>
      <w:bookmarkEnd w:id="20" w:name="source-26345"/>
    </w:p>
    <w:p>
      <w:pPr>
        <w:pStyle w:val="ListBullet"/>
      </w:pPr>
      <w:r>
        <w:rPr>
          <w:rFonts w:ascii="微软雅黑" w:hAnsi="微软雅黑" w:eastAsia="微软雅黑" w:cs="微软雅黑"/>
        </w:rPr>
        <w:t>[20] Solarbe(光伏网)｜</w:t>
      </w:r>
      <w:hyperlink r:id="rId30">
        <w:r>
          <w:rPr>
            <w:rFonts w:ascii="微软雅黑" w:hAnsi="微软雅黑" w:eastAsia="微软雅黑" w:cs="微软雅黑"/>
            <w:color w:val="087E89"/>
          </w:rPr>
          <w:t>天津：“十五五”时期新增用电需求全部通过本地绿电和外受电解决</w:t>
        </w:r>
      </w:hyperlink>
      <w:r>
        <w:rPr>
          <w:rFonts w:ascii="微软雅黑" w:hAnsi="微软雅黑" w:eastAsia="微软雅黑" w:cs="微软雅黑"/>
        </w:rPr>
      </w:r>
    </w:p>
    <w:p>
      <w:pPr>
        <w:spacing w:after="0" w:line="20" w:lineRule="exact"/>
      </w:pPr>
      <w:bookmarkStart w:id="21" w:name="source-26652"/>
      <w:bookmarkEnd w:id="21" w:name="source-26652"/>
    </w:p>
    <w:p>
      <w:pPr>
        <w:pStyle w:val="ListBullet"/>
      </w:pPr>
      <w:r>
        <w:rPr>
          <w:rFonts w:ascii="微软雅黑" w:hAnsi="微软雅黑" w:eastAsia="微软雅黑" w:cs="微软雅黑"/>
        </w:rPr>
        <w:t>[21] 科技日报｜</w:t>
      </w:r>
      <w:hyperlink r:id="rId31">
        <w:r>
          <w:rPr>
            <w:rFonts w:ascii="微软雅黑" w:hAnsi="微软雅黑" w:eastAsia="微软雅黑" w:cs="微软雅黑"/>
            <w:color w:val="087E89"/>
          </w:rPr>
          <w:t>活力中国调研行丨“双龙”共舞，铸就海南自贸港清洁能源硬核引擎</w:t>
        </w:r>
      </w:hyperlink>
      <w:r>
        <w:rPr>
          <w:rFonts w:ascii="微软雅黑" w:hAnsi="微软雅黑" w:eastAsia="微软雅黑" w:cs="微软雅黑"/>
        </w:rPr>
      </w:r>
    </w:p>
    <w:p>
      <w:pPr>
        <w:spacing w:after="0" w:line="20" w:lineRule="exact"/>
      </w:pPr>
      <w:bookmarkStart w:id="22" w:name="source-26588"/>
      <w:bookmarkEnd w:id="22" w:name="source-26588"/>
    </w:p>
    <w:p>
      <w:pPr>
        <w:pStyle w:val="ListBullet"/>
      </w:pPr>
      <w:r>
        <w:rPr>
          <w:rFonts w:ascii="微软雅黑" w:hAnsi="微软雅黑" w:eastAsia="微软雅黑" w:cs="微软雅黑"/>
        </w:rPr>
        <w:t>[22] 中国中煤能源集团｜</w:t>
      </w:r>
      <w:hyperlink r:id="rId32">
        <w:r>
          <w:rPr>
            <w:rFonts w:ascii="微软雅黑" w:hAnsi="微软雅黑" w:eastAsia="微软雅黑" w:cs="微软雅黑"/>
            <w:color w:val="087E89"/>
          </w:rPr>
          <w:t>中国中煤所属装备公司信息公司获评国家级专精特新“小巨人”企业</w:t>
        </w:r>
      </w:hyperlink>
      <w:r>
        <w:rPr>
          <w:rFonts w:ascii="微软雅黑" w:hAnsi="微软雅黑" w:eastAsia="微软雅黑" w:cs="微软雅黑"/>
        </w:rPr>
      </w:r>
    </w:p>
    <w:p>
      <w:pPr>
        <w:spacing w:after="0" w:line="20" w:lineRule="exact"/>
      </w:pPr>
      <w:bookmarkStart w:id="23" w:name="source-26591"/>
      <w:bookmarkEnd w:id="23" w:name="source-26591"/>
    </w:p>
    <w:p>
      <w:pPr>
        <w:pStyle w:val="ListBullet"/>
      </w:pPr>
      <w:r>
        <w:rPr>
          <w:rFonts w:ascii="微软雅黑" w:hAnsi="微软雅黑" w:eastAsia="微软雅黑" w:cs="微软雅黑"/>
        </w:rPr>
        <w:t>[23] 新浪财经美股市场（经济）｜</w:t>
      </w:r>
      <w:hyperlink r:id="rId33">
        <w:r>
          <w:rPr>
            <w:rFonts w:ascii="微软雅黑" w:hAnsi="微软雅黑" w:eastAsia="微软雅黑" w:cs="微软雅黑"/>
            <w:color w:val="087E89"/>
          </w:rPr>
          <w:t>美国汽油价格居高不下 中期选举前将维持高位</w:t>
        </w:r>
      </w:hyperlink>
      <w:r>
        <w:rPr>
          <w:rFonts w:ascii="微软雅黑" w:hAnsi="微软雅黑" w:eastAsia="微软雅黑" w:cs="微软雅黑"/>
        </w:rPr>
      </w:r>
    </w:p>
    <w:p>
      <w:pPr>
        <w:spacing w:after="0" w:line="20" w:lineRule="exact"/>
      </w:pPr>
      <w:bookmarkStart w:id="24" w:name="source-26417"/>
      <w:bookmarkEnd w:id="24" w:name="source-26417"/>
    </w:p>
    <w:p>
      <w:pPr>
        <w:pStyle w:val="ListBullet"/>
      </w:pPr>
      <w:r>
        <w:rPr>
          <w:rFonts w:ascii="微软雅黑" w:hAnsi="微软雅黑" w:eastAsia="微软雅黑" w:cs="微软雅黑"/>
        </w:rPr>
        <w:t>[24] Anadolu Agency｜</w:t>
      </w:r>
      <w:hyperlink r:id="rId34">
        <w:r>
          <w:rPr>
            <w:rFonts w:ascii="微软雅黑" w:hAnsi="微软雅黑" w:eastAsia="微软雅黑" w:cs="微软雅黑"/>
            <w:color w:val="087E89"/>
          </w:rPr>
          <w:t>随着霍尔木兹海峡紧张局势加剧、利比亚供应风险上升，人们的担忧情绪升温，油价上涨</w:t>
        </w:r>
      </w:hyperlink>
      <w:r>
        <w:rPr>
          <w:rFonts w:ascii="微软雅黑" w:hAnsi="微软雅黑" w:eastAsia="微软雅黑" w:cs="微软雅黑"/>
        </w:rPr>
      </w:r>
    </w:p>
    <w:p>
      <w:pPr>
        <w:spacing w:after="0" w:line="20" w:lineRule="exact"/>
      </w:pPr>
      <w:bookmarkStart w:id="25" w:name="source-26234"/>
      <w:bookmarkEnd w:id="25" w:name="source-26234"/>
    </w:p>
    <w:p>
      <w:pPr>
        <w:pStyle w:val="ListBullet"/>
      </w:pPr>
      <w:r>
        <w:rPr>
          <w:rFonts w:ascii="微软雅黑" w:hAnsi="微软雅黑" w:eastAsia="微软雅黑" w:cs="微软雅黑"/>
        </w:rPr>
        <w:t>[25] 中关村储能产业技术联盟｜</w:t>
      </w:r>
      <w:hyperlink r:id="rId35">
        <w:r>
          <w:rPr>
            <w:rFonts w:ascii="微软雅黑" w:hAnsi="微软雅黑" w:eastAsia="微软雅黑" w:cs="微软雅黑"/>
            <w:color w:val="087E89"/>
          </w:rPr>
          <w:t>算力首单！源网荷储一体化算力基础设施机构间REITs获批</w:t>
        </w:r>
      </w:hyperlink>
      <w:r>
        <w:rPr>
          <w:rFonts w:ascii="微软雅黑" w:hAnsi="微软雅黑" w:eastAsia="微软雅黑" w:cs="微软雅黑"/>
        </w:rPr>
      </w:r>
    </w:p>
    <w:p>
      <w:pPr>
        <w:spacing w:after="0" w:line="20" w:lineRule="exact"/>
      </w:pPr>
      <w:bookmarkStart w:id="26" w:name="source-26674"/>
      <w:bookmarkEnd w:id="26" w:name="source-26674"/>
    </w:p>
    <w:p>
      <w:pPr>
        <w:pStyle w:val="ListBullet"/>
      </w:pPr>
      <w:r>
        <w:rPr>
          <w:rFonts w:ascii="微软雅黑" w:hAnsi="微软雅黑" w:eastAsia="微软雅黑" w:cs="微软雅黑"/>
        </w:rPr>
        <w:t>[26] Nuclear Engineering International｜</w:t>
      </w:r>
      <w:hyperlink r:id="rId36">
        <w:r>
          <w:rPr>
            <w:rFonts w:ascii="微软雅黑" w:hAnsi="微软雅黑" w:eastAsia="微软雅黑" w:cs="微软雅黑"/>
            <w:color w:val="087E89"/>
          </w:rPr>
          <w:t>欧盟本地化计划考验核能伙伴关系</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nea.gov.cn/20261023/5882d7befb6e4915b8ef4659de603dea/c.html" TargetMode="External"/><Relationship Id="rId12" Type="http://schemas.openxmlformats.org/officeDocument/2006/relationships/hyperlink" Target="https://industry.cfi.cn/p20261023000337.html" TargetMode="External"/><Relationship Id="rId13" Type="http://schemas.openxmlformats.org/officeDocument/2006/relationships/hyperlink" Target="https://www.cpnn.com.cn/news/gj/202610/t20261023_1922103.html" TargetMode="External"/><Relationship Id="rId14" Type="http://schemas.openxmlformats.org/officeDocument/2006/relationships/hyperlink" Target="https://www.esdm.go.id/id/media-center/arsip-berita/lampaui-target-pada-2025-pnbp-esdm-kini-dipatok-rp165-triliun" TargetMode="External"/><Relationship Id="rId15" Type="http://schemas.openxmlformats.org/officeDocument/2006/relationships/hyperlink" Target="https://www.esdm.go.id/id/media-center/arsip-berita/hut-pertambangan-dan-energi-ke-81-bahlil-perintahkan-insan-esdm-pilih-kepentingan-rakyat" TargetMode="External"/><Relationship Id="rId16" Type="http://schemas.openxmlformats.org/officeDocument/2006/relationships/hyperlink" Target="https://finance.sina.com.cn/money/future/fmnews/2026-10-23/doc-iniwecst4991282.shtml" TargetMode="External"/><Relationship Id="rId17" Type="http://schemas.openxmlformats.org/officeDocument/2006/relationships/hyperlink" Target="https://finance.sina.com.cn/stock/usstock/c/2026-10-23/doc-iniwecsv5663154.shtml" TargetMode="External"/><Relationship Id="rId18" Type="http://schemas.openxmlformats.org/officeDocument/2006/relationships/hyperlink" Target="https://finance.sina.com.cn/stock/usstock/c/2026-10-23/doc-iniwcxkv5021673.shtml" TargetMode="External"/><Relationship Id="rId19" Type="http://schemas.openxmlformats.org/officeDocument/2006/relationships/hyperlink" Target="https://www.aa.com.tr/en/energy/oil/brent-heads-for-over-4-weekly-gain-amid-middle-east-tensions/60467" TargetMode="External"/><Relationship Id="rId20" Type="http://schemas.openxmlformats.org/officeDocument/2006/relationships/hyperlink" Target="https://www.nea.gov.cn/20261023/b1ac9a8faea04deebf4c43a7dcfeef61/c.html" TargetMode="External"/><Relationship Id="rId21" Type="http://schemas.openxmlformats.org/officeDocument/2006/relationships/hyperlink" Target="https://www.cls.cn/detail/2513752" TargetMode="External"/><Relationship Id="rId22" Type="http://schemas.openxmlformats.org/officeDocument/2006/relationships/hyperlink" Target="https://www.chinanews.com.cn/cj/2026/10-23/10719925.shtml" TargetMode="External"/><Relationship Id="rId23" Type="http://schemas.openxmlformats.org/officeDocument/2006/relationships/hyperlink" Target="https://www.nea.gov.cn/20261023/7d99ee6bb0c6489fa8742819ddae7eb2/c.html" TargetMode="External"/><Relationship Id="rId24" Type="http://schemas.openxmlformats.org/officeDocument/2006/relationships/hyperlink" Target="https://www.world-nuclear-news.org/articles/fid-sees-etango-enter-full-scale-construction" TargetMode="External"/><Relationship Id="rId25" Type="http://schemas.openxmlformats.org/officeDocument/2006/relationships/hyperlink" Target="https://www.nea.gov.cn/20261023/975015cebc4c41cfb1171e8c4e5945f4/c.html" TargetMode="External"/><Relationship Id="rId26" Type="http://schemas.openxmlformats.org/officeDocument/2006/relationships/hyperlink" Target="https://www.chinanews.com.cn/sh/2026/10-23/10720132.shtml" TargetMode="External"/><Relationship Id="rId27" Type="http://schemas.openxmlformats.org/officeDocument/2006/relationships/hyperlink" Target="https://www.pv-magazine.com/2026/10/23/south-koreas-renewable-energy-capacity-overtakes-coal-for-first-time/" TargetMode="External"/><Relationship Id="rId28" Type="http://schemas.openxmlformats.org/officeDocument/2006/relationships/hyperlink" Target="https://sputniknews.cn/20261023/1073762480.html" TargetMode="External"/><Relationship Id="rId29" Type="http://schemas.openxmlformats.org/officeDocument/2006/relationships/hyperlink" Target="https://www.offshorewind.biz/2026/10/23/balfour-beatty-wins-contract-for-substation-to-connect-three-dogger-bank-wind-farms" TargetMode="External"/><Relationship Id="rId30" Type="http://schemas.openxmlformats.org/officeDocument/2006/relationships/hyperlink" Target="https://news.solarbe.com/202610/23/50030851.html" TargetMode="External"/><Relationship Id="rId31" Type="http://schemas.openxmlformats.org/officeDocument/2006/relationships/hyperlink" Target="https://www.stdaily.com/web/gdxw/2026-10/23/content_601419.html" TargetMode="External"/><Relationship Id="rId32" Type="http://schemas.openxmlformats.org/officeDocument/2006/relationships/hyperlink" Target="https://www.chinacoal.com/col/col34/art/2026/art_818ddd60f8d3417f89de05524612044e.html" TargetMode="External"/><Relationship Id="rId33" Type="http://schemas.openxmlformats.org/officeDocument/2006/relationships/hyperlink" Target="https://finance.sina.com.cn/stock/usstock/c/2026-10-23/doc-iniweyws1912184.shtml" TargetMode="External"/><Relationship Id="rId34" Type="http://schemas.openxmlformats.org/officeDocument/2006/relationships/hyperlink" Target="https://www.aa.com.tr/en/energy/oil/oil-prices-rise-as-hormuz-tensions-libya-supply-risks-heighten-concerns/60443" TargetMode="External"/><Relationship Id="rId35" Type="http://schemas.openxmlformats.org/officeDocument/2006/relationships/hyperlink" Target="https://www.cnesa.org/information/detail/?column_id=2&amp;id=8718" TargetMode="External"/><Relationship Id="rId36" Type="http://schemas.openxmlformats.org/officeDocument/2006/relationships/hyperlink" Target="https://www.neimagazine.com/news/eu-localisation-plans-test-nuclear-partnersh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2026年10月23日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