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信息覆盖时段：2026-10-07 00:00 至 2026-10-08 00:00（不含），Asia/Shanghai。</w:t>
      </w:r>
    </w:p>
    <w:p>
      <w:pPr/>
      <w:r>
        <w:rPr>
          <w:rFonts w:ascii="微软雅黑" w:hAnsi="微软雅黑" w:eastAsia="微软雅黑" w:cs="微软雅黑"/>
        </w:rPr>
        <w:t>统计区间：2026-10-07 至 2026-10-08（结束日不含，北京时间）</w:t>
      </w:r>
    </w:p>
    <w:p>
      <w:pPr>
        <w:ind w:firstLine="420"/>
      </w:pPr>
      <w:r>
        <w:rPr>
          <w:rFonts w:ascii="微软雅黑" w:hAnsi="微软雅黑" w:eastAsia="微软雅黑" w:cs="微软雅黑"/>
        </w:rPr>
        <w:t>资料更新截止：2026-10-08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万斯称伊朗必须“实质性”削减核浓缩以结束战争 </w:t>
      </w:r>
      <w:hyperlink w:anchor="source-13591">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Johan Sverdrup原油对布伦特溢价创纪录达24美元/桶 </w:t>
      </w:r>
      <w:hyperlink w:anchor="source-13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349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巴西ANEEL就电池储能Ercap-SAE融资机制启动公共咨询 </w:t>
      </w:r>
      <w:hyperlink w:anchor="source-1360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Neoen启动南澳州346兆瓦Goyder North风电场一阶段建设 </w:t>
      </w:r>
      <w:hyperlink w:anchor="source-13579">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法德协议进一步削弱欧盟内燃机淘汰计划 </w:t>
      </w:r>
      <w:hyperlink w:anchor="source-13496">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Johan Sverdrup原油相对布伦特原油溢价</w:t>
            </w:r>
          </w:p>
        </w:tc>
        <w:tc>
          <w:tcPr>
            <w:tcW w:type="dxa" w:w="2268"/>
          </w:tcPr>
          <w:p>
            <w:pPr>
              <w:spacing w:after="40"/>
            </w:pPr>
            <w:r>
              <w:rPr>
                <w:rFonts w:ascii="微软雅黑" w:hAnsi="微软雅黑" w:eastAsia="微软雅黑" w:cs="微软雅黑"/>
              </w:rPr>
              <w:t>24美元/桶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3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349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南澳州Goyder North风电场装机容量</w:t>
            </w:r>
          </w:p>
        </w:tc>
        <w:tc>
          <w:tcPr>
            <w:tcW w:type="dxa" w:w="2268"/>
          </w:tcPr>
          <w:p>
            <w:pPr>
              <w:spacing w:after="40"/>
            </w:pPr>
            <w:r>
              <w:rPr>
                <w:rFonts w:ascii="微软雅黑" w:hAnsi="微软雅黑" w:eastAsia="微软雅黑" w:cs="微软雅黑"/>
              </w:rPr>
              <w:t>346兆瓦（一阶段）</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357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Goyder可再生能源区总装机容量</w:t>
            </w:r>
          </w:p>
        </w:tc>
        <w:tc>
          <w:tcPr>
            <w:tcW w:type="dxa" w:w="2268"/>
          </w:tcPr>
          <w:p>
            <w:pPr>
              <w:spacing w:after="40"/>
            </w:pPr>
            <w:r>
              <w:rPr>
                <w:rFonts w:ascii="微软雅黑" w:hAnsi="微软雅黑" w:eastAsia="微软雅黑" w:cs="微软雅黑"/>
              </w:rPr>
              <w:t>1.2吉瓦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357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Goyder风电场群预计年发电量</w:t>
            </w:r>
          </w:p>
        </w:tc>
        <w:tc>
          <w:tcPr>
            <w:tcW w:type="dxa" w:w="2268"/>
          </w:tcPr>
          <w:p>
            <w:pPr>
              <w:spacing w:after="40"/>
            </w:pPr>
            <w:r>
              <w:rPr>
                <w:rFonts w:ascii="微软雅黑" w:hAnsi="微软雅黑" w:eastAsia="微软雅黑" w:cs="微软雅黑"/>
              </w:rPr>
              <w:t>约2.5太瓦时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3579">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长寿命锂电池循环寿命目标</w:t>
            </w:r>
          </w:p>
        </w:tc>
        <w:tc>
          <w:tcPr>
            <w:tcW w:type="dxa" w:w="2268"/>
          </w:tcPr>
          <w:p>
            <w:pPr>
              <w:spacing w:after="40"/>
            </w:pPr>
            <w:r>
              <w:rPr>
                <w:rFonts w:ascii="微软雅黑" w:hAnsi="微软雅黑" w:eastAsia="微软雅黑" w:cs="微软雅黑"/>
              </w:rPr>
              <w:t>15000次</w:t>
            </w:r>
          </w:p>
        </w:tc>
        <w:tc>
          <w:tcPr>
            <w:tcW w:type="dxa" w:w="2268"/>
          </w:tcPr>
          <w:p>
            <w:pPr>
              <w:spacing w:after="40"/>
            </w:pPr>
            <w:r>
              <w:rPr>
                <w:rFonts w:ascii="微软雅黑" w:hAnsi="微软雅黑" w:eastAsia="微软雅黑" w:cs="微软雅黑"/>
              </w:rPr>
              <w:t>2030年</w:t>
            </w:r>
          </w:p>
        </w:tc>
        <w:tc>
          <w:tcPr>
            <w:tcW w:type="dxa" w:w="2268"/>
          </w:tcPr>
          <w:p>
            <w:pPr>
              <w:spacing w:after="40"/>
            </w:pPr>
            <w:r>
              <w:rPr>
                <w:rFonts w:ascii="微软雅黑" w:hAnsi="微软雅黑" w:eastAsia="微软雅黑" w:cs="微软雅黑"/>
              </w:rPr>
            </w:r>
            <w:hyperlink w:anchor="source-1287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新型电池产业规模</w:t>
            </w:r>
          </w:p>
        </w:tc>
        <w:tc>
          <w:tcPr>
            <w:tcW w:type="dxa" w:w="2268"/>
          </w:tcPr>
          <w:p>
            <w:pPr>
              <w:spacing w:after="40"/>
            </w:pPr>
            <w:r>
              <w:rPr>
                <w:rFonts w:ascii="微软雅黑" w:hAnsi="微软雅黑" w:eastAsia="微软雅黑" w:cs="微软雅黑"/>
              </w:rPr>
              <w:t>稳步增长</w:t>
            </w:r>
          </w:p>
        </w:tc>
        <w:tc>
          <w:tcPr>
            <w:tcW w:type="dxa" w:w="2268"/>
          </w:tcPr>
          <w:p>
            <w:pPr>
              <w:spacing w:after="40"/>
            </w:pPr>
            <w:r>
              <w:rPr>
                <w:rFonts w:ascii="微软雅黑" w:hAnsi="微软雅黑" w:eastAsia="微软雅黑" w:cs="微软雅黑"/>
              </w:rPr>
              <w:t>2030年</w:t>
            </w:r>
          </w:p>
        </w:tc>
        <w:tc>
          <w:tcPr>
            <w:tcW w:type="dxa" w:w="2268"/>
          </w:tcPr>
          <w:p>
            <w:pPr>
              <w:spacing w:after="40"/>
            </w:pPr>
            <w:r>
              <w:rPr>
                <w:rFonts w:ascii="微软雅黑" w:hAnsi="微软雅黑" w:eastAsia="微软雅黑" w:cs="微软雅黑"/>
              </w:rPr>
            </w:r>
            <w:hyperlink w:anchor="source-1287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华北油田巴彦油田日产原油量</w:t>
            </w:r>
          </w:p>
        </w:tc>
        <w:tc>
          <w:tcPr>
            <w:tcW w:type="dxa" w:w="2268"/>
          </w:tcPr>
          <w:p>
            <w:pPr>
              <w:spacing w:after="40"/>
            </w:pPr>
            <w:r>
              <w:rPr>
                <w:rFonts w:ascii="微软雅黑" w:hAnsi="微软雅黑" w:eastAsia="微软雅黑" w:cs="微软雅黑"/>
              </w:rPr>
              <w:t>5080吨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871">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华北油田巴彦油田原油产量同比增幅</w:t>
            </w:r>
          </w:p>
        </w:tc>
        <w:tc>
          <w:tcPr>
            <w:tcW w:type="dxa" w:w="2268"/>
          </w:tcPr>
          <w:p>
            <w:pPr>
              <w:spacing w:after="40"/>
            </w:pPr>
            <w:r>
              <w:rPr>
                <w:rFonts w:ascii="微软雅黑" w:hAnsi="微软雅黑" w:eastAsia="微软雅黑" w:cs="微软雅黑"/>
              </w:rPr>
              <w:t>14%</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871">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华北油田巴彦油田日产占华北油田日产比重</w:t>
            </w:r>
          </w:p>
        </w:tc>
        <w:tc>
          <w:tcPr>
            <w:tcW w:type="dxa" w:w="2268"/>
          </w:tcPr>
          <w:p>
            <w:pPr>
              <w:spacing w:after="40"/>
            </w:pPr>
            <w:r>
              <w:rPr>
                <w:rFonts w:ascii="微软雅黑" w:hAnsi="微软雅黑" w:eastAsia="微软雅黑" w:cs="微软雅黑"/>
              </w:rPr>
              <w:t>近三分之一</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871">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全球AI投资占GDP比重</w:t>
            </w:r>
          </w:p>
        </w:tc>
        <w:tc>
          <w:tcPr>
            <w:tcW w:type="dxa" w:w="2268"/>
          </w:tcPr>
          <w:p>
            <w:pPr>
              <w:spacing w:after="40"/>
            </w:pPr>
            <w:r>
              <w:rPr>
                <w:rFonts w:ascii="微软雅黑" w:hAnsi="微软雅黑" w:eastAsia="微软雅黑" w:cs="微软雅黑"/>
              </w:rPr>
              <w:t>已达到并可能超过铁路、电力网络和电信网络建设投资的历史水平</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3207">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3478">
              <w:r>
                <w:rPr>
                  <w:rFonts w:ascii="微软雅黑" w:hAnsi="微软雅黑" w:eastAsia="微软雅黑" w:cs="微软雅黑"/>
                  <w:color w:val="087E89"/>
                </w:rPr>
                <w:t>14</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万斯称伊朗必须“实质性”削减核浓缩以结束战争</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美国副总统万斯表示，伊朗必须“实质性”削减核浓缩能力才能结束战争，仅承诺未来减产不够，并质疑伊朗为何需要60%浓缩燃料，美方不会“以言辞换行动”。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高级官员表示，美方对伊朗浓缩权利的承认是德黑兰的“红线”，伊方“不会以任何方式展示灵活性”，但浓缩细节可稍后讨论。万斯称美方不清楚德黑兰谁在决策，因为美以联合打击在战争初期已致最高领袖哈梅内伊身亡；伊朗外交部发言人巴盖伊反驳称美方完全了解伊朗决策体系，问题在于美方自身立场矛盾且信息混乱。</w:t>
      </w:r>
    </w:p>
    <w:p>
      <w:pPr>
        <w:ind w:firstLine="420"/>
      </w:pPr>
      <w:r>
        <w:rPr>
          <w:rFonts w:ascii="微软雅黑" w:hAnsi="微软雅黑" w:eastAsia="微软雅黑" w:cs="微软雅黑"/>
        </w:rPr>
        <w:t>来源：</w:t>
      </w:r>
      <w:hyperlink w:anchor="source-13591">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伊朗革命卫队称将关闭霍尔木兹海峡内“非法航道”</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伊斯兰革命卫队总司令高级顾问穆罕默德·礼萨·纳格迪表示，霍尔木兹海峡内少数“非法航道”即将被关闭，伊朗武装部队对该海峡拥有完全控制权，并称除非伊朗“正当”诉求得到满足，否则这种局面将持续。</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据新华社德黑兰10月7日电（沙达提，来源为伊朗法尔斯通讯社），纳格迪指出，仍有人利用小型船只“走私”石油并转运至油轮，不法者通过炸毁或破坏海峡内岩石开辟的少数航道很快将被关闭。</w:t>
      </w:r>
    </w:p>
    <w:p>
      <w:pPr>
        <w:ind w:firstLine="420"/>
      </w:pPr>
      <w:r>
        <w:rPr>
          <w:rFonts w:ascii="微软雅黑" w:hAnsi="微软雅黑" w:eastAsia="微软雅黑" w:cs="微软雅黑"/>
        </w:rPr>
        <w:t>来源：</w:t>
      </w:r>
      <w:hyperlink w:anchor="source-13622">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3. 鲁比奥称伊朗已“完全失去”霍尔木兹海峡控制权</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务卿鲁比奥在雅典访问期间表示，伊朗已“完全失去”对霍尔木兹海峡的控制，并称该海峡目前开放，原油外流量已接近冲突前水平。鲁比奥同时表示伊朗不能拥有核武器，任何可接受的协议必须确保伊朗永远无法获得核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鲁比奥称制裁使伊朗经济处于“全面自由落体”状态，伊朗资金被用于支持真主党和哈马斯，并指控伊朗试图建立大规模常规军力以变得“不可触及”。</w:t>
      </w:r>
    </w:p>
    <w:p>
      <w:pPr>
        <w:ind w:firstLine="420"/>
      </w:pPr>
      <w:r>
        <w:rPr>
          <w:rFonts w:ascii="微软雅黑" w:hAnsi="微软雅黑" w:eastAsia="微软雅黑" w:cs="微软雅黑"/>
        </w:rPr>
        <w:t>来源：</w:t>
      </w:r>
      <w:hyperlink w:anchor="source-13476">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12794">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4. Johan Sverdrup原油对布伦特溢价创纪录达24美元/桶</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伍德麦肯兹披露，因沙特暂停东西输油管道后中含硫原油价格突破140美元/桶，Johan Sverdrup原油对布伦特溢价飙升至创纪录的24美元/桶。该油田原油硫含量仅0.8%，被视为中东中含硫原油的自然替代品。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Johan Sverdrup是西欧最大在产油田，产量约占挪威全国三分之一。伍德麦肯兹指出，2H26关键在于中东供应中断后该原油溢价能否持续。股权结构方面，Aker BP持股31.72%、Equinor持股42.63%、Petoro直接持股16.94%、TotalEnergies持股8.72%。</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Aker BP原预计2026年因Yggdrasil项目资本开支现金流转为略负，按当前价格预计可实现15亿美元净现金流入；挪威政府税收收入预计将比1Q26预测的120亿美元高出30亿至40亿美元，约50%税款于次年缴纳。</w:t>
      </w:r>
    </w:p>
    <w:p>
      <w:pPr>
        <w:ind w:firstLine="420"/>
      </w:pPr>
      <w:r>
        <w:rPr>
          <w:rFonts w:ascii="微软雅黑" w:hAnsi="微软雅黑" w:eastAsia="微软雅黑" w:cs="微软雅黑"/>
        </w:rPr>
        <w:t>来源：</w:t>
      </w:r>
      <w:hyperlink w:anchor="source-13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349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5. IMF警告高油价、创纪录国债与AI投资过热构成全球经济风险</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货币基金组织总裁格奥尔基耶娃表示，全球经济正同时受到能源供给冲击和人工智能需求激增两种方向相反的力量影响，各国所受冲击差异显著，并将高能源价格、创纪录的国家债务以及AI投资过热列为三大风险。</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格奥尔基耶娃指出，受军事冲突影响最严重的国家增长受损最大，IMF特别提及乌克兰和海湾地区。全球AI投资占GDP的比重已达到并可能超过铁路、电力网络和电信网络建设投资的历史水平；AI设备及相关技术产品已占全球商品贸易的逾十分之一，且比重仍在上升。油价仍维持在每桶约100美元，高能源价格正推高通胀、利率和国债收益率。</w:t>
      </w:r>
    </w:p>
    <w:p>
      <w:pPr>
        <w:ind w:firstLine="420"/>
      </w:pPr>
      <w:r>
        <w:rPr>
          <w:rFonts w:ascii="微软雅黑" w:hAnsi="微软雅黑" w:eastAsia="微软雅黑" w:cs="微软雅黑"/>
        </w:rPr>
        <w:t>来源：</w:t>
      </w:r>
      <w:hyperlink w:anchor="source-13207">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3478">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6. 扎瑙津天然气处理厂储罐安装启动设备持续运往哈萨克斯坦</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哈萨克斯坦国家油气公司董事会主席Ashat Khassenov赴曼吉斯套州视察扎瑙岑天然气处理厂建设现场，储罐安装工作已经启动，设备运往哈萨克斯坦的运输工作仍在继续。</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哈油气董事会主席Ashat Khassenov在访问曼吉斯套州期间赴扎瑙岑天然气处理厂建设现场，重点查看储罐安装进展以及设备运输情况。该设施是公司天然气加工板块的项目之一。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暂无直接证据。</w:t>
      </w:r>
    </w:p>
    <w:p>
      <w:pPr>
        <w:ind w:firstLine="420"/>
      </w:pPr>
      <w:r>
        <w:rPr>
          <w:rFonts w:ascii="微软雅黑" w:hAnsi="微软雅黑" w:eastAsia="微软雅黑" w:cs="微软雅黑"/>
        </w:rPr>
        <w:t>来源：</w:t>
      </w:r>
      <w:hyperlink w:anchor="source-13440">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7. 黑山公司拟投18亿美元建燃气发电服务谷歌数据中心</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Black Hills计划在2027至2029年间投资18亿美元建设新的天然气发电容量，用于支持位于怀俄明州夏延的谷歌规划数据中心。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依据其披露，Black Hills拟建的新增天然气发电容量将专门对接位于怀俄明州夏延的谷歌规划数据中心，项目投资额18亿美元，时间窗口为2027至2029年。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数据中心用电需求正直接驱动美国天然气发电新订单落地。</w:t>
      </w:r>
    </w:p>
    <w:p>
      <w:pPr>
        <w:ind w:firstLine="420"/>
      </w:pPr>
      <w:r>
        <w:rPr>
          <w:rFonts w:ascii="微软雅黑" w:hAnsi="微软雅黑" w:eastAsia="微软雅黑" w:cs="微软雅黑"/>
        </w:rPr>
        <w:t>来源：</w:t>
      </w:r>
      <w:hyperlink w:anchor="source-13489">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8. 澳高院以气候影响驳回Mount Pleasant煤矿扩产申请</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澳大利亚高等法院驳回MACH能源公司位于猎人谷的Mount Pleasant动力煤矿扩产申请，认定新州独立规划委员会未充分考虑出口煤炭范围三排放对当地气候的影响。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该案件由猎人谷社区团体DAMS HEG发起，Johnson Legal代理，历时四年经三级法院审理，是澳大利亚最高法院审理的首例气候变化诉讼。法院援引前澳大利亚首席科学家Penny Sackett的估计，将Mount Pleasant扩产定性为全球650个最大温室气体排放项目或人类活动集合之一，并要求决策者考虑下游燃烧对猎人谷林火、降雨模式和极端高温的具体影响。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判决为澳大利亚资源项目审批中纳入气候考量确立判例，可能影响后续动力煤及化石燃料出口项目的环评与审批。</w:t>
      </w:r>
    </w:p>
    <w:p>
      <w:pPr>
        <w:ind w:firstLine="420"/>
      </w:pPr>
      <w:r>
        <w:rPr>
          <w:rFonts w:ascii="微软雅黑" w:hAnsi="微软雅黑" w:eastAsia="微软雅黑" w:cs="微软雅黑"/>
        </w:rPr>
        <w:t>来源：</w:t>
      </w:r>
      <w:hyperlink w:anchor="source-1243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9. NETL用煤炭衍生碳点制备超薄二维材料栅极介电层</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NETL联合伊利诺伊大学利用煤炭衍生的石墨烯类碳点，在二维半导体表面组装单层介电薄膜，用于下一代纳米电子器件中超薄高质量绝缘层的制造。</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团队展示其碳点方法可制备等效氧化物厚度仅0.6纳米的介电层，达到甚至超越国际半导体行业路线图设定目标；采用该介电薄膜所制器件呈低能耗、高可靠性，并在基于先进二维材料的晶体管中表现出近乎完美的开关特性。研究成果近日发表于《Nature Communications》，被认为可支撑面向超级智能（SI）工作负载的二维材料逻辑芯片。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该工作凸显联邦科研投入在推动美国下一代电子与超级智能领域保持竞争力方面的作用，并为煤炭高值化利用提供纳米电子路径。</w:t>
      </w:r>
    </w:p>
    <w:p>
      <w:pPr>
        <w:ind w:firstLine="420"/>
      </w:pPr>
      <w:r>
        <w:rPr>
          <w:rFonts w:ascii="微软雅黑" w:hAnsi="微软雅黑" w:eastAsia="微软雅黑" w:cs="微软雅黑"/>
        </w:rPr>
        <w:t>来源：</w:t>
      </w:r>
      <w:hyperlink w:anchor="source-13646">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10. 韩国修订对美核电SA仅放行2台APR1400</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政府与西屋修订战略协议，仅就2台APR1400核电机组例外允许进入美国市场，并对技术使用费、服务及核燃料费用设置上限，具体金额未公开。韩国官员表示，该项目预计在2028年前后落地，将配合美国大选前美方推进节奏。</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韩美修订SA条款仅针对2台APR1400例外放行，对技术使用费、服务及核燃料费用设置上限，但具体金额未公开。产业部官员表示项目预计在2028年前后落地，韩国将配合2028年美国大选前美方的推进速度。事件性质为政府间协议修订，尚未涉及具体合同签订或开工信息。</w:t>
      </w:r>
    </w:p>
    <w:p>
      <w:pPr>
        <w:ind w:firstLine="420"/>
      </w:pPr>
      <w:r>
        <w:rPr>
          <w:rFonts w:ascii="微软雅黑" w:hAnsi="微软雅黑" w:eastAsia="微软雅黑" w:cs="微软雅黑"/>
        </w:rPr>
        <w:t>来源：</w:t>
      </w:r>
      <w:hyperlink w:anchor="source-13198">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11. 波兰修订PPEJ推迟反应堆建设并提高本土化目标</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波兰更新版PPEJ规划两座核电站、合计6–9 GWe的三代+大型反应堆。能源部长Motyka表示更新版PPEJ同步着眼于建立本土核工业，后续机组本地化参与比例目标最高可达70%。</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更新版PPEJ确认建设两座核电站，合计装机6–9 GWe，采用三代+大型反应堆技术。波兰能源部长Motyka指出，规划同时强调本土核工业建设，后续机组本地化参与比例目标最高可达70%。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更新版规划首次明确最高70%的本土化目标，将影响后续机组供应链分配。</w:t>
      </w:r>
    </w:p>
    <w:p>
      <w:pPr>
        <w:ind w:firstLine="420"/>
      </w:pPr>
      <w:r>
        <w:rPr>
          <w:rFonts w:ascii="微软雅黑" w:hAnsi="微软雅黑" w:eastAsia="微软雅黑" w:cs="微软雅黑"/>
        </w:rPr>
        <w:t>来源：</w:t>
      </w:r>
      <w:hyperlink w:anchor="source-13212">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12. 巴西ANEEL就电池储能Ercap-SAE融资机制启动公共咨询</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巴西ANEEL就电池储能系统Ercap-SAE的征收基数和分摊方法启动第37/2026号公共咨询，并附研讨会安排；提案仅涉及Ercap-SAE，不涉及Ercap-Geral。</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咨询期为30天，自2026年10月8日至2026年11月6日，意见可发送至指定邮箱。分摊对象限于作为电力交易商会（CCEE）会员的发电许可/登记主体，不含MMGD和自主储能。Ercap-SAE费用基数按每个发电主体在核算期内实际关联的电量计算，ONS将每年公布用于次年的项目分类。Ercap-SAE将纳入CONCAP容量储备账户的资金结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材料未提供额外影响评估。</w:t>
      </w:r>
    </w:p>
    <w:p>
      <w:pPr>
        <w:ind w:firstLine="420"/>
      </w:pPr>
      <w:r>
        <w:rPr>
          <w:rFonts w:ascii="微软雅黑" w:hAnsi="微软雅黑" w:eastAsia="微软雅黑" w:cs="微软雅黑"/>
        </w:rPr>
        <w:t>来源：</w:t>
      </w:r>
      <w:hyperlink w:anchor="source-13600">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13. 法国Cernay-lès-Reims 240 MW/480 MWh电池储能项目投运</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TagEnergy在法国东北部Cernay-lès-Reims投运240 MW/480 MWh电池储能系统，为目前法国已投运的最大电池储能项目，亦为TagEnergy在法国的首个投运储能资产。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该设施已完成相关仿真、测试和认证，可提供频率containment reserve、自动频率恢复储备及电压调节服务。运营前四个月，该电站向电网回送70.5 GWh电力，在125天内完成145次完整循环。Banque des Territoires于2025年收购该项目49%股权，TagEnergy仍为大股东；这是双方三年合作框架下的首笔投资。Banque des Territoires指出电池储能商业模式尚不成熟，融资获取仍是挑战。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Banque des Territoires表示其目前运营电池容量超250 MW，在建150 MW，并有数百兆瓦在开发中；该机构同时提示电池储能商业模式不成熟、融资仍是挑战。</w:t>
      </w:r>
    </w:p>
    <w:p>
      <w:pPr>
        <w:ind w:firstLine="420"/>
      </w:pPr>
      <w:r>
        <w:rPr>
          <w:rFonts w:ascii="微软雅黑" w:hAnsi="微软雅黑" w:eastAsia="微软雅黑" w:cs="微软雅黑"/>
        </w:rPr>
        <w:t>来源：</w:t>
      </w:r>
      <w:hyperlink w:anchor="source-13209">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14. Neoen启动南澳州346兆瓦Goyder North风电场一阶段建设</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法国可再生能源公司Neoen已在南澳大利亚州中北部Ngadjuri Nation土地上启动Goyder North风电场一阶段建设。该项目2024年获南澳州政府批准，将接入ElectraNet的Bundey变电站。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装机346兆瓦，Neoen已向Vestas发出48台V172-7.2兆瓦风电机组的开工通知，并向Downer发出输电连接基础设施设计与施工的开工通知。项目依托与必和必拓签订的100兆瓦可再生能源基荷协议，为必和必拓在南澳州的Olympic Dam、Carrapateena和Prominent Hill矿山供电。Goyder North所属的Neoen Goyder可再生能源区目前总装机容量为1.2吉瓦，整个风电场群预计年发电量约2.5太瓦时，可为超过50万户家庭供电。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风电场群年发电量约2.5太瓦时，约占全州总年需求的五分之一。</w:t>
      </w:r>
    </w:p>
    <w:p>
      <w:pPr>
        <w:ind w:firstLine="420"/>
      </w:pPr>
      <w:r>
        <w:rPr>
          <w:rFonts w:ascii="微软雅黑" w:hAnsi="微软雅黑" w:eastAsia="微软雅黑" w:cs="微软雅黑"/>
        </w:rPr>
        <w:t>来源：</w:t>
      </w:r>
      <w:hyperlink w:anchor="source-13579">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15. ANEEL批准规则规范巴西发电削减</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巴西国家电力能源局（ANEEL）批准新规以规范电力系统发电削减，结束始于2019年第45号公开咨询、历经三个阶段为期七年的行业讨论。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针对能源性供应过剩造成的削减，新规为ONS提供操作指引，原则是优先实现系统成本最大缓解，并在不同电源间分配削减、按渐进方式实施。水电成分中可倾泄水力发电（EVT）参与按四年渐进过渡，分别为25%、50%、75%、100%四档。规则保留对ONS事件认定的常设独立审计，并通过ONS与CCEE定期报告及影子期月度结果披露强化治理。</w:t>
      </w:r>
    </w:p>
    <w:p>
      <w:pPr>
        <w:ind w:firstLine="420"/>
      </w:pPr>
      <w:r>
        <w:rPr>
          <w:rFonts w:ascii="微软雅黑" w:hAnsi="微软雅黑" w:eastAsia="微软雅黑" w:cs="微软雅黑"/>
        </w:rPr>
        <w:t>来源：</w:t>
      </w:r>
      <w:hyperlink w:anchor="source-12378">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16. 法德协议进一步削弱欧盟内燃机淘汰计划</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法国和德国就欧盟气候与产业政策达成妥协，德国支持法国提出的“购买欧洲货”规则，要求公共补贴和招标优待欧盟产品；同时2030年中期减排目标的合规期延长至五年（较2021年降55%），而非欧委会提议的2030—2032三年窗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德国支持法国提出的“购买欧洲货”规则，要求公共补贴和招标优待欧盟产品。在2030年中期减排目标方面，合规期被延长至五年，相较2021年水平下降55%，这与欧委会此前提议的2030—2032年三年窗口不同。媒体披露的协议显示两国在内燃机淘汰议题上立场有所软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新规为欧盟制造产品提供市场倾斜，可能抬升非欧盟供应商的成本与准入门槛；合规期延长则增加了汽车与工业部门达标的时间余地。</w:t>
      </w:r>
    </w:p>
    <w:p>
      <w:pPr>
        <w:ind w:firstLine="420"/>
      </w:pPr>
      <w:r>
        <w:rPr>
          <w:rFonts w:ascii="微软雅黑" w:hAnsi="微软雅黑" w:eastAsia="微软雅黑" w:cs="微软雅黑"/>
        </w:rPr>
        <w:t>来源：</w:t>
      </w:r>
      <w:hyperlink w:anchor="source-1349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17. EIA预计2026年冬季馏分燃料库存低于五年均值</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美国能源信息署发布冬季能源展望，预计2026年四季度美国馏分燃料库存将比五年平均水平低约11%；同时假设冬季全国平均气温与去年相近，但东北部较去年偏暖，西部较去年偏冷，中西部和南部与去年相似。</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IA在最新展望中对气温和库存作出明确假设：2026年四季度馏分燃料库存将比五年平均水平低约11%。冬季全国平均气温假设与去年接近；分区域看，东北部较去年偏暖，西部较去年偏冷，中西部和南部与去年相似。报道同时指出冬季能源支出前景喜忧参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馏分燃料库存低于五年均值约11%可能在中西部和南部气温与去年相近的背景下，对取暖油及柴油供需平衡构成压力。</w:t>
      </w:r>
    </w:p>
    <w:p>
      <w:pPr>
        <w:ind w:firstLine="420"/>
      </w:pPr>
      <w:r>
        <w:rPr>
          <w:rFonts w:ascii="微软雅黑" w:hAnsi="微软雅黑" w:eastAsia="微软雅黑" w:cs="微软雅黑"/>
        </w:rPr>
        <w:t>来源：</w:t>
      </w:r>
      <w:hyperlink w:anchor="source-13542">
        <w:r>
          <w:rPr>
            <w:rFonts w:ascii="微软雅黑" w:hAnsi="微软雅黑" w:eastAsia="微软雅黑" w:cs="微软雅黑"/>
            <w:color w:val="087E89"/>
          </w:rPr>
          <w:t>17</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18. 华北油田巴彦油田日产原油首破5000吨创新高</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华北油田位于内蒙古西部河套盆地的巴彦油田日产原油达到5080吨，首次突破5000吨大关，创历史新高；其产量同比增长14%，日产水平已占华北油田日产量的近三分之一。</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巴彦油田主力油藏平均埋深超过5000米，是我国埋藏最深的整装陆相碎屑岩油藏。自2018年钻获首口高产工业油流井以来，华北油田在河套盆地先后落实两个亿吨级整装优质储量，储量替换率连续多年大于1，并在河套盆地建成内蒙古西部首个年产百万吨油田，同时在保定凹陷实现亿吨级效益储量突破。</w:t>
      </w:r>
    </w:p>
    <w:p>
      <w:pPr>
        <w:ind w:firstLine="420"/>
      </w:pPr>
      <w:r>
        <w:rPr>
          <w:rFonts w:ascii="微软雅黑" w:hAnsi="微软雅黑" w:eastAsia="微软雅黑" w:cs="微软雅黑"/>
        </w:rPr>
        <w:t>来源：</w:t>
      </w:r>
      <w:hyperlink w:anchor="source-12871">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19. 七部门联合印发新型电池产业发展“十五五”规划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工业和信息化部、国家发展改革委等七部门近日联合印发《新型电池产业发展“十五五”规划》，提出到2030年中国新型电池产业规模稳步增长，并明确产业全链条创新能力持续增强的方向。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设定的关键量化目标包括：到2030年新型电池产业规模实现稳步增长；产业全链条创新能力持续增强；全固态电池初步实现规模化应用；长寿命锂电池循环寿命达到15000次。规划由工信部与国家发改委等七部门联合发布，确立“十五五”期间新型电池产业发展框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规划首次将全固态电池初步规模化应用与长寿命锂电池15000次循环寿命写入官方目标，为产业链投资与研发提供政策锚点。</w:t>
      </w:r>
    </w:p>
    <w:p>
      <w:pPr>
        <w:ind w:firstLine="420"/>
      </w:pPr>
      <w:r>
        <w:rPr>
          <w:rFonts w:ascii="微软雅黑" w:hAnsi="微软雅黑" w:eastAsia="微软雅黑" w:cs="微软雅黑"/>
        </w:rPr>
        <w:t>来源：</w:t>
      </w:r>
      <w:hyperlink w:anchor="source-1287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20. 中国风电渗透率超过22%，煤电退出成本引关注</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据报道，2025年中国风电和光伏年发电量均超过1万亿千瓦时，合计达2.3万亿千瓦时；截至2026年7月底，光伏累计装机超过煤电。当前电力系统灵活调节主要依靠煤电，国合会研究建议设立国家公正转型基金。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2025年风电和光伏年发电量合计达2.3万亿千瓦时，风电渗透率超过22%。截至2026年7月底光伏累计装机超过煤电。当前电力系统灵活调节主要依靠煤电，国合会研究指出过度依赖煤电使灵活调节资源供应结构单一，难以满足多时间尺度需求；该研究建议设立国家公正转型基金，并援引欧盟2021—2027年公正转型机制投入550亿欧元用于低碳经济、补贴、再培训和基础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研究指出煤电在提供灵活调节方面承担过重负担，单一供应结构难以匹配高比例新能源的多时间尺度需求，公正转型基金被建议用于分担煤电退出的社会经济成本。</w:t>
      </w:r>
    </w:p>
    <w:p>
      <w:pPr>
        <w:ind w:firstLine="420"/>
      </w:pPr>
      <w:r>
        <w:rPr>
          <w:rFonts w:ascii="微软雅黑" w:hAnsi="微软雅黑" w:eastAsia="微软雅黑" w:cs="微软雅黑"/>
        </w:rPr>
        <w:t>来源：</w:t>
      </w:r>
      <w:hyperlink w:anchor="source-12442">
        <w:r>
          <w:rPr>
            <w:rFonts w:ascii="微软雅黑" w:hAnsi="微软雅黑" w:eastAsia="微软雅黑" w:cs="微软雅黑"/>
            <w:color w:val="087E89"/>
          </w:rPr>
          <w:t>21</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美伊围绕浓缩权利“红线”的立场差异能否通过谈判弥合，以及浓缩细节谈判的具体启动时间。 </w:t>
      </w:r>
      <w:hyperlink w:anchor="source-13591">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上述数字未包括Petoro直接持股16.94%以及通过持有Equinor 67%股权所获得的收益；中东供应中断后溢价持续性仍待观察。 </w:t>
      </w:r>
      <w:hyperlink w:anchor="source-13508">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349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咨询期意见征询结果及最终规则文本有待后续披露。 </w:t>
      </w:r>
      <w:hyperlink w:anchor="source-1360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项目尚处于一阶段建设阶段，后续投运与并网时间需持续关注。 </w:t>
      </w:r>
      <w:hyperlink w:anchor="source-13579">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协议仍需提交欧盟理事会与议会确认，正式立法文本及实施细则尚未公布。 </w:t>
      </w:r>
      <w:hyperlink w:anchor="source-1349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储罐安装与设备运输的完成节点尚未披露。 </w:t>
      </w:r>
      <w:hyperlink w:anchor="source-13440">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242 篇文章，形成 235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7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3591"/>
      <w:bookmarkEnd w:id="1" w:name="source-13591"/>
    </w:p>
    <w:p>
      <w:pPr>
        <w:pStyle w:val="ListBullet"/>
      </w:pPr>
      <w:r>
        <w:rPr>
          <w:rFonts w:ascii="微软雅黑" w:hAnsi="微软雅黑" w:eastAsia="微软雅黑" w:cs="微软雅黑"/>
        </w:rPr>
        <w:t>[1] Business Day｜</w:t>
      </w:r>
      <w:hyperlink r:id="rId11">
        <w:r>
          <w:rPr>
            <w:rFonts w:ascii="微软雅黑" w:hAnsi="微软雅黑" w:eastAsia="微软雅黑" w:cs="微软雅黑"/>
            <w:color w:val="087E89"/>
          </w:rPr>
          <w:t>美国副总统坚称伊朗必须削减核浓缩以结束战争</w:t>
        </w:r>
      </w:hyperlink>
      <w:r>
        <w:rPr>
          <w:rFonts w:ascii="微软雅黑" w:hAnsi="微软雅黑" w:eastAsia="微软雅黑" w:cs="微软雅黑"/>
        </w:rPr>
      </w:r>
    </w:p>
    <w:p>
      <w:pPr>
        <w:spacing w:after="0" w:line="20" w:lineRule="exact"/>
      </w:pPr>
      <w:bookmarkStart w:id="2" w:name="source-13508"/>
      <w:bookmarkEnd w:id="2" w:name="source-13508"/>
    </w:p>
    <w:p>
      <w:pPr>
        <w:pStyle w:val="ListBullet"/>
      </w:pPr>
      <w:r>
        <w:rPr>
          <w:rFonts w:ascii="微软雅黑" w:hAnsi="微软雅黑" w:eastAsia="微软雅黑" w:cs="微软雅黑"/>
        </w:rPr>
        <w:t>[2] 《油气工程》｜</w:t>
      </w:r>
      <w:hyperlink r:id="rId12">
        <w:r>
          <w:rPr>
            <w:rFonts w:ascii="微软雅黑" w:hAnsi="微软雅黑" w:eastAsia="微软雅黑" w:cs="微软雅黑"/>
            <w:color w:val="087E89"/>
          </w:rPr>
          <w:t>伍德麦肯兹：Johan Sverdrup 原油对布伦特溢价创纪录达 24 美元/桶</w:t>
        </w:r>
      </w:hyperlink>
      <w:r>
        <w:rPr>
          <w:rFonts w:ascii="微软雅黑" w:hAnsi="微软雅黑" w:eastAsia="微软雅黑" w:cs="微软雅黑"/>
        </w:rPr>
      </w:r>
    </w:p>
    <w:p>
      <w:pPr>
        <w:spacing w:after="0" w:line="20" w:lineRule="exact"/>
      </w:pPr>
      <w:bookmarkStart w:id="3" w:name="source-13497"/>
      <w:bookmarkEnd w:id="3" w:name="source-13497"/>
    </w:p>
    <w:p>
      <w:pPr>
        <w:pStyle w:val="ListBullet"/>
      </w:pPr>
      <w:r>
        <w:rPr>
          <w:rFonts w:ascii="微软雅黑" w:hAnsi="微软雅黑" w:eastAsia="微软雅黑" w:cs="微软雅黑"/>
        </w:rPr>
        <w:t>[3] 《世界管线》｜</w:t>
      </w:r>
      <w:hyperlink r:id="rId13">
        <w:r>
          <w:rPr>
            <w:rFonts w:ascii="微软雅黑" w:hAnsi="微软雅黑" w:eastAsia="微软雅黑" w:cs="微软雅黑"/>
            <w:color w:val="087E89"/>
          </w:rPr>
          <w:t>伍德麦肯兹：Johan Sverdrup 原油溢价创下 24 美元/桶的历史新高</w:t>
        </w:r>
      </w:hyperlink>
      <w:r>
        <w:rPr>
          <w:rFonts w:ascii="微软雅黑" w:hAnsi="微软雅黑" w:eastAsia="微软雅黑" w:cs="微软雅黑"/>
        </w:rPr>
      </w:r>
    </w:p>
    <w:p>
      <w:pPr>
        <w:spacing w:after="0" w:line="20" w:lineRule="exact"/>
      </w:pPr>
      <w:bookmarkStart w:id="4" w:name="source-13600"/>
      <w:bookmarkEnd w:id="4" w:name="source-13600"/>
    </w:p>
    <w:p>
      <w:pPr>
        <w:pStyle w:val="ListBullet"/>
      </w:pPr>
      <w:r>
        <w:rPr>
          <w:rFonts w:ascii="微软雅黑" w:hAnsi="微软雅黑" w:eastAsia="微软雅黑" w:cs="微软雅黑"/>
        </w:rPr>
        <w:t>[4] 巴西国家电力监管局｜</w:t>
      </w:r>
      <w:hyperlink r:id="rId14">
        <w:r>
          <w:rPr>
            <w:rFonts w:ascii="微软雅黑" w:hAnsi="微软雅黑" w:eastAsia="微软雅黑" w:cs="微软雅黑"/>
            <w:color w:val="087E89"/>
          </w:rPr>
          <w:t>电池储能系统融资进入征求意见阶段</w:t>
        </w:r>
      </w:hyperlink>
      <w:r>
        <w:rPr>
          <w:rFonts w:ascii="微软雅黑" w:hAnsi="微软雅黑" w:eastAsia="微软雅黑" w:cs="微软雅黑"/>
        </w:rPr>
      </w:r>
    </w:p>
    <w:p>
      <w:pPr>
        <w:spacing w:after="0" w:line="20" w:lineRule="exact"/>
      </w:pPr>
      <w:bookmarkStart w:id="5" w:name="source-13579"/>
      <w:bookmarkEnd w:id="5" w:name="source-13579"/>
    </w:p>
    <w:p>
      <w:pPr>
        <w:pStyle w:val="ListBullet"/>
      </w:pPr>
      <w:r>
        <w:rPr>
          <w:rFonts w:ascii="微软雅黑" w:hAnsi="微软雅黑" w:eastAsia="微软雅黑" w:cs="微软雅黑"/>
        </w:rPr>
        <w:t>[5] Power Technology｜</w:t>
      </w:r>
      <w:hyperlink r:id="rId15">
        <w:r>
          <w:rPr>
            <w:rFonts w:ascii="微软雅黑" w:hAnsi="微软雅黑" w:eastAsia="微软雅黑" w:cs="微软雅黑"/>
            <w:color w:val="087E89"/>
          </w:rPr>
          <w:t>Neoen启动澳大利亚346兆瓦Goyder North风电场建设</w:t>
        </w:r>
      </w:hyperlink>
      <w:r>
        <w:rPr>
          <w:rFonts w:ascii="微软雅黑" w:hAnsi="微软雅黑" w:eastAsia="微软雅黑" w:cs="微软雅黑"/>
        </w:rPr>
      </w:r>
    </w:p>
    <w:p>
      <w:pPr>
        <w:spacing w:after="0" w:line="20" w:lineRule="exact"/>
      </w:pPr>
      <w:bookmarkStart w:id="6" w:name="source-13496"/>
      <w:bookmarkEnd w:id="6" w:name="source-13496"/>
    </w:p>
    <w:p>
      <w:pPr>
        <w:pStyle w:val="ListBullet"/>
      </w:pPr>
      <w:r>
        <w:rPr>
          <w:rFonts w:ascii="微软雅黑" w:hAnsi="微软雅黑" w:eastAsia="微软雅黑" w:cs="微软雅黑"/>
        </w:rPr>
        <w:t>[6] 清洁能源通讯社｜</w:t>
      </w:r>
      <w:hyperlink r:id="rId16">
        <w:r>
          <w:rPr>
            <w:rFonts w:ascii="微软雅黑" w:hAnsi="微软雅黑" w:eastAsia="微软雅黑" w:cs="微软雅黑"/>
            <w:color w:val="087E89"/>
          </w:rPr>
          <w:t>法国和德国达成协议，进一步削弱欧盟内燃机淘汰计划——媒体报道</w:t>
        </w:r>
      </w:hyperlink>
      <w:r>
        <w:rPr>
          <w:rFonts w:ascii="微软雅黑" w:hAnsi="微软雅黑" w:eastAsia="微软雅黑" w:cs="微软雅黑"/>
        </w:rPr>
      </w:r>
    </w:p>
    <w:p>
      <w:pPr>
        <w:spacing w:after="0" w:line="20" w:lineRule="exact"/>
      </w:pPr>
      <w:bookmarkStart w:id="7" w:name="source-13440"/>
      <w:bookmarkEnd w:id="7" w:name="source-13440"/>
    </w:p>
    <w:p>
      <w:pPr>
        <w:pStyle w:val="ListBullet"/>
      </w:pPr>
      <w:r>
        <w:rPr>
          <w:rFonts w:ascii="微软雅黑" w:hAnsi="微软雅黑" w:eastAsia="微软雅黑" w:cs="微软雅黑"/>
        </w:rPr>
        <w:t>[7] 哈萨克斯坦国家油气公司｜</w:t>
      </w:r>
      <w:hyperlink r:id="rId17">
        <w:r>
          <w:rPr>
            <w:rFonts w:ascii="微软雅黑" w:hAnsi="微软雅黑" w:eastAsia="微软雅黑" w:cs="微软雅黑"/>
            <w:color w:val="087E89"/>
          </w:rPr>
          <w:t>扎瑙津天然气处理厂建设：储罐安装工作已启动，设备运往哈萨克斯坦的运输工作仍在继续</w:t>
        </w:r>
      </w:hyperlink>
      <w:r>
        <w:rPr>
          <w:rFonts w:ascii="微软雅黑" w:hAnsi="微软雅黑" w:eastAsia="微软雅黑" w:cs="微软雅黑"/>
        </w:rPr>
      </w:r>
    </w:p>
    <w:p>
      <w:pPr>
        <w:spacing w:after="0" w:line="20" w:lineRule="exact"/>
      </w:pPr>
      <w:bookmarkStart w:id="8" w:name="source-13198"/>
      <w:bookmarkEnd w:id="8" w:name="source-13198"/>
    </w:p>
    <w:p>
      <w:pPr>
        <w:pStyle w:val="ListBullet"/>
      </w:pPr>
      <w:r>
        <w:rPr>
          <w:rFonts w:ascii="微软雅黑" w:hAnsi="微软雅黑" w:eastAsia="微软雅黑" w:cs="微软雅黑"/>
        </w:rPr>
        <w:t>[8] 韩国联合通讯社｜</w:t>
      </w:r>
      <w:hyperlink r:id="rId18">
        <w:r>
          <w:rPr>
            <w:rFonts w:ascii="微软雅黑" w:hAnsi="微软雅黑" w:eastAsia="微软雅黑" w:cs="微软雅黑"/>
            <w:color w:val="087E89"/>
          </w:rPr>
          <w:t>韩美核电 2028 年启动……摆脱奴役契约枷锁的政府加速战</w:t>
        </w:r>
      </w:hyperlink>
      <w:r>
        <w:rPr>
          <w:rFonts w:ascii="微软雅黑" w:hAnsi="微软雅黑" w:eastAsia="微软雅黑" w:cs="微软雅黑"/>
        </w:rPr>
      </w:r>
    </w:p>
    <w:p>
      <w:pPr>
        <w:spacing w:after="0" w:line="20" w:lineRule="exact"/>
      </w:pPr>
      <w:bookmarkStart w:id="9" w:name="source-12430"/>
      <w:bookmarkEnd w:id="9" w:name="source-12430"/>
    </w:p>
    <w:p>
      <w:pPr>
        <w:pStyle w:val="ListBullet"/>
      </w:pPr>
      <w:r>
        <w:rPr>
          <w:rFonts w:ascii="微软雅黑" w:hAnsi="微软雅黑" w:eastAsia="微软雅黑" w:cs="微软雅黑"/>
        </w:rPr>
        <w:t>[9] 澳大利亚可再生能源新闻｜</w:t>
      </w:r>
      <w:hyperlink r:id="rId19">
        <w:r>
          <w:rPr>
            <w:rFonts w:ascii="微软雅黑" w:hAnsi="微软雅黑" w:eastAsia="微软雅黑" w:cs="微软雅黑"/>
            <w:color w:val="087E89"/>
          </w:rPr>
          <w:t>最高法院以气候变化影响为由驳回大型煤矿扩建项目，做出“具有里程碑意义的判决”</w:t>
        </w:r>
      </w:hyperlink>
      <w:r>
        <w:rPr>
          <w:rFonts w:ascii="微软雅黑" w:hAnsi="微软雅黑" w:eastAsia="微软雅黑" w:cs="微软雅黑"/>
        </w:rPr>
      </w:r>
    </w:p>
    <w:p>
      <w:pPr>
        <w:spacing w:after="0" w:line="20" w:lineRule="exact"/>
      </w:pPr>
      <w:bookmarkStart w:id="10" w:name="source-12873"/>
      <w:bookmarkEnd w:id="10" w:name="source-12873"/>
    </w:p>
    <w:p>
      <w:pPr>
        <w:pStyle w:val="ListBullet"/>
      </w:pPr>
      <w:r>
        <w:rPr>
          <w:rFonts w:ascii="微软雅黑" w:hAnsi="微软雅黑" w:eastAsia="微软雅黑" w:cs="微软雅黑"/>
        </w:rPr>
        <w:t>[10] 央视新闻等｜</w:t>
      </w:r>
      <w:hyperlink r:id="rId20">
        <w:r>
          <w:rPr>
            <w:rFonts w:ascii="微软雅黑" w:hAnsi="微软雅黑" w:eastAsia="微软雅黑" w:cs="微软雅黑"/>
            <w:color w:val="087E89"/>
          </w:rPr>
          <w:t>2030年中国新型电池产业规模将实现稳步增长</w:t>
        </w:r>
      </w:hyperlink>
      <w:r>
        <w:rPr>
          <w:rFonts w:ascii="微软雅黑" w:hAnsi="微软雅黑" w:eastAsia="微软雅黑" w:cs="微软雅黑"/>
        </w:rPr>
      </w:r>
    </w:p>
    <w:p>
      <w:pPr>
        <w:spacing w:after="0" w:line="20" w:lineRule="exact"/>
      </w:pPr>
      <w:bookmarkStart w:id="11" w:name="source-12871"/>
      <w:bookmarkEnd w:id="11" w:name="source-12871"/>
    </w:p>
    <w:p>
      <w:pPr>
        <w:pStyle w:val="ListBullet"/>
      </w:pPr>
      <w:r>
        <w:rPr>
          <w:rFonts w:ascii="微软雅黑" w:hAnsi="微软雅黑" w:eastAsia="微软雅黑" w:cs="微软雅黑"/>
        </w:rPr>
        <w:t>[11] 央视新闻等｜</w:t>
      </w:r>
      <w:hyperlink r:id="rId21">
        <w:r>
          <w:rPr>
            <w:rFonts w:ascii="微软雅黑" w:hAnsi="微软雅黑" w:eastAsia="微软雅黑" w:cs="微软雅黑"/>
            <w:color w:val="087E89"/>
          </w:rPr>
          <w:t>华北油田实现储量高峰增长 能源保障再添“硬核”实力支撑</w:t>
        </w:r>
      </w:hyperlink>
      <w:r>
        <w:rPr>
          <w:rFonts w:ascii="微软雅黑" w:hAnsi="微软雅黑" w:eastAsia="微软雅黑" w:cs="微软雅黑"/>
        </w:rPr>
      </w:r>
    </w:p>
    <w:p>
      <w:pPr>
        <w:spacing w:after="0" w:line="20" w:lineRule="exact"/>
      </w:pPr>
      <w:bookmarkStart w:id="12" w:name="source-13622"/>
      <w:bookmarkEnd w:id="12" w:name="source-13622"/>
    </w:p>
    <w:p>
      <w:pPr>
        <w:pStyle w:val="ListBullet"/>
      </w:pPr>
      <w:r>
        <w:rPr>
          <w:rFonts w:ascii="微软雅黑" w:hAnsi="微软雅黑" w:eastAsia="微软雅黑" w:cs="微软雅黑"/>
        </w:rPr>
        <w:t>[12] 新华社国际要闻（战略与能源）｜</w:t>
      </w:r>
      <w:hyperlink r:id="rId22">
        <w:r>
          <w:rPr>
            <w:rFonts w:ascii="微软雅黑" w:hAnsi="微软雅黑" w:eastAsia="微软雅黑" w:cs="微软雅黑"/>
            <w:color w:val="087E89"/>
          </w:rPr>
          <w:t>伊朗革命卫队称将关闭霍尔木兹海峡“非法航道”</w:t>
        </w:r>
      </w:hyperlink>
      <w:r>
        <w:rPr>
          <w:rFonts w:ascii="微软雅黑" w:hAnsi="微软雅黑" w:eastAsia="微软雅黑" w:cs="微软雅黑"/>
        </w:rPr>
      </w:r>
    </w:p>
    <w:p>
      <w:pPr>
        <w:spacing w:after="0" w:line="20" w:lineRule="exact"/>
      </w:pPr>
      <w:bookmarkStart w:id="13" w:name="source-13207"/>
      <w:bookmarkEnd w:id="13" w:name="source-13207"/>
    </w:p>
    <w:p>
      <w:pPr>
        <w:pStyle w:val="ListBullet"/>
      </w:pPr>
      <w:r>
        <w:rPr>
          <w:rFonts w:ascii="微软雅黑" w:hAnsi="微软雅黑" w:eastAsia="微软雅黑" w:cs="微软雅黑"/>
        </w:rPr>
        <w:t>[13] Interfax｜</w:t>
      </w:r>
      <w:hyperlink r:id="rId23">
        <w:r>
          <w:rPr>
            <w:rFonts w:ascii="微软雅黑" w:hAnsi="微软雅黑" w:eastAsia="微软雅黑" w:cs="微软雅黑"/>
            <w:color w:val="087E89"/>
          </w:rPr>
          <w:t>在IMF看来，昂贵的石油、创纪录的国债以及人工智能热潮构成全球经济的风险</w:t>
        </w:r>
      </w:hyperlink>
      <w:r>
        <w:rPr>
          <w:rFonts w:ascii="微软雅黑" w:hAnsi="微软雅黑" w:eastAsia="微软雅黑" w:cs="微软雅黑"/>
        </w:rPr>
      </w:r>
    </w:p>
    <w:p>
      <w:pPr>
        <w:spacing w:after="0" w:line="20" w:lineRule="exact"/>
      </w:pPr>
      <w:bookmarkStart w:id="14" w:name="source-13478"/>
      <w:bookmarkEnd w:id="14" w:name="source-13478"/>
    </w:p>
    <w:p>
      <w:pPr>
        <w:pStyle w:val="ListBullet"/>
      </w:pPr>
      <w:r>
        <w:rPr>
          <w:rFonts w:ascii="微软雅黑" w:hAnsi="微软雅黑" w:eastAsia="微软雅黑" w:cs="微软雅黑"/>
        </w:rPr>
        <w:t>[14] Vanguard News｜</w:t>
      </w:r>
      <w:hyperlink r:id="rId24">
        <w:r>
          <w:rPr>
            <w:rFonts w:ascii="微软雅黑" w:hAnsi="微软雅黑" w:eastAsia="微软雅黑" w:cs="微软雅黑"/>
            <w:color w:val="087E89"/>
          </w:rPr>
          <w:t>国际货币基金组织负责人警告，人工智能正在“加剧经济不平等”</w:t>
        </w:r>
      </w:hyperlink>
      <w:r>
        <w:rPr>
          <w:rFonts w:ascii="微软雅黑" w:hAnsi="微软雅黑" w:eastAsia="微软雅黑" w:cs="微软雅黑"/>
        </w:rPr>
      </w:r>
    </w:p>
    <w:p>
      <w:pPr>
        <w:spacing w:after="0" w:line="20" w:lineRule="exact"/>
      </w:pPr>
      <w:bookmarkStart w:id="15" w:name="source-12378"/>
      <w:bookmarkEnd w:id="15" w:name="source-12378"/>
    </w:p>
    <w:p>
      <w:pPr>
        <w:pStyle w:val="ListBullet"/>
      </w:pPr>
      <w:r>
        <w:rPr>
          <w:rFonts w:ascii="微软雅黑" w:hAnsi="微软雅黑" w:eastAsia="微软雅黑" w:cs="微软雅黑"/>
        </w:rPr>
        <w:t>[15] 巴西国家电力监管局｜</w:t>
      </w:r>
      <w:hyperlink r:id="rId25">
        <w:r>
          <w:rPr>
            <w:rFonts w:ascii="微软雅黑" w:hAnsi="微软雅黑" w:eastAsia="微软雅黑" w:cs="微软雅黑"/>
            <w:color w:val="087E89"/>
          </w:rPr>
          <w:t>ANEEL批准规则以规范发电削减</w:t>
        </w:r>
      </w:hyperlink>
      <w:r>
        <w:rPr>
          <w:rFonts w:ascii="微软雅黑" w:hAnsi="微软雅黑" w:eastAsia="微软雅黑" w:cs="微软雅黑"/>
        </w:rPr>
      </w:r>
    </w:p>
    <w:p>
      <w:pPr>
        <w:spacing w:after="0" w:line="20" w:lineRule="exact"/>
      </w:pPr>
      <w:bookmarkStart w:id="16" w:name="source-13646"/>
      <w:bookmarkEnd w:id="16" w:name="source-13646"/>
    </w:p>
    <w:p>
      <w:pPr>
        <w:pStyle w:val="ListBullet"/>
      </w:pPr>
      <w:r>
        <w:rPr>
          <w:rFonts w:ascii="微软雅黑" w:hAnsi="微软雅黑" w:eastAsia="微软雅黑" w:cs="微软雅黑"/>
        </w:rPr>
        <w:t>[16] 美国国家能源技术实验室｜</w:t>
      </w:r>
      <w:hyperlink r:id="rId26">
        <w:r>
          <w:rPr>
            <w:rFonts w:ascii="微软雅黑" w:hAnsi="微软雅黑" w:eastAsia="微软雅黑" w:cs="微软雅黑"/>
            <w:color w:val="087E89"/>
          </w:rPr>
          <w:t>NETL 研究利用煤炭为更快、更高效的纳米电子器件开辟新路径</w:t>
        </w:r>
      </w:hyperlink>
      <w:r>
        <w:rPr>
          <w:rFonts w:ascii="微软雅黑" w:hAnsi="微软雅黑" w:eastAsia="微软雅黑" w:cs="微软雅黑"/>
        </w:rPr>
      </w:r>
    </w:p>
    <w:p>
      <w:pPr>
        <w:spacing w:after="0" w:line="20" w:lineRule="exact"/>
      </w:pPr>
      <w:bookmarkStart w:id="17" w:name="source-13542"/>
      <w:bookmarkEnd w:id="17" w:name="source-13542"/>
    </w:p>
    <w:p>
      <w:pPr>
        <w:pStyle w:val="ListBullet"/>
      </w:pPr>
      <w:r>
        <w:rPr>
          <w:rFonts w:ascii="微软雅黑" w:hAnsi="微软雅黑" w:eastAsia="微软雅黑" w:cs="微软雅黑"/>
        </w:rPr>
        <w:t>[17] 美国能源信息署｜</w:t>
      </w:r>
      <w:hyperlink r:id="rId27">
        <w:r>
          <w:rPr>
            <w:rFonts w:ascii="微软雅黑" w:hAnsi="微软雅黑" w:eastAsia="微软雅黑" w:cs="微软雅黑"/>
            <w:color w:val="087E89"/>
          </w:rPr>
          <w:t>今年冬季能源支出前景喜忧参半</w:t>
        </w:r>
      </w:hyperlink>
      <w:r>
        <w:rPr>
          <w:rFonts w:ascii="微软雅黑" w:hAnsi="微软雅黑" w:eastAsia="微软雅黑" w:cs="微软雅黑"/>
        </w:rPr>
      </w:r>
    </w:p>
    <w:p>
      <w:pPr>
        <w:spacing w:after="0" w:line="20" w:lineRule="exact"/>
      </w:pPr>
      <w:bookmarkStart w:id="18" w:name="source-13489"/>
      <w:bookmarkEnd w:id="18" w:name="source-13489"/>
    </w:p>
    <w:p>
      <w:pPr>
        <w:pStyle w:val="ListBullet"/>
      </w:pPr>
      <w:r>
        <w:rPr>
          <w:rFonts w:ascii="微软雅黑" w:hAnsi="微软雅黑" w:eastAsia="微软雅黑" w:cs="微软雅黑"/>
        </w:rPr>
        <w:t>[18] Power Technology｜</w:t>
      </w:r>
      <w:hyperlink r:id="rId28">
        <w:r>
          <w:rPr>
            <w:rFonts w:ascii="微软雅黑" w:hAnsi="微软雅黑" w:eastAsia="微软雅黑" w:cs="微软雅黑"/>
            <w:color w:val="087E89"/>
          </w:rPr>
          <w:t>黑山公司将在谷歌数据中心投资18亿美元建设燃气发电</w:t>
        </w:r>
      </w:hyperlink>
      <w:r>
        <w:rPr>
          <w:rFonts w:ascii="微软雅黑" w:hAnsi="微软雅黑" w:eastAsia="微软雅黑" w:cs="微软雅黑"/>
        </w:rPr>
      </w:r>
    </w:p>
    <w:p>
      <w:pPr>
        <w:spacing w:after="0" w:line="20" w:lineRule="exact"/>
      </w:pPr>
      <w:bookmarkStart w:id="19" w:name="source-13212"/>
      <w:bookmarkEnd w:id="19" w:name="source-13212"/>
    </w:p>
    <w:p>
      <w:pPr>
        <w:pStyle w:val="ListBullet"/>
      </w:pPr>
      <w:r>
        <w:rPr>
          <w:rFonts w:ascii="微软雅黑" w:hAnsi="微软雅黑" w:eastAsia="微软雅黑" w:cs="微软雅黑"/>
        </w:rPr>
        <w:t>[19] Nuclear Engineering International｜</w:t>
      </w:r>
      <w:hyperlink r:id="rId29">
        <w:r>
          <w:rPr>
            <w:rFonts w:ascii="微软雅黑" w:hAnsi="微软雅黑" w:eastAsia="微软雅黑" w:cs="微软雅黑"/>
            <w:color w:val="087E89"/>
          </w:rPr>
          <w:t>修订后的计划推迟波兰反应堆建设</w:t>
        </w:r>
      </w:hyperlink>
      <w:r>
        <w:rPr>
          <w:rFonts w:ascii="微软雅黑" w:hAnsi="微软雅黑" w:eastAsia="微软雅黑" w:cs="微软雅黑"/>
        </w:rPr>
      </w:r>
    </w:p>
    <w:p>
      <w:pPr>
        <w:spacing w:after="0" w:line="20" w:lineRule="exact"/>
      </w:pPr>
      <w:bookmarkStart w:id="20" w:name="source-13209"/>
      <w:bookmarkEnd w:id="20" w:name="source-13209"/>
    </w:p>
    <w:p>
      <w:pPr>
        <w:pStyle w:val="ListBullet"/>
      </w:pPr>
      <w:r>
        <w:rPr>
          <w:rFonts w:ascii="微软雅黑" w:hAnsi="微软雅黑" w:eastAsia="微软雅黑" w:cs="微软雅黑"/>
        </w:rPr>
        <w:t>[20] 光伏杂志国际版｜</w:t>
      </w:r>
      <w:hyperlink r:id="rId30">
        <w:r>
          <w:rPr>
            <w:rFonts w:ascii="微软雅黑" w:hAnsi="微软雅黑" w:eastAsia="微软雅黑" w:cs="微软雅黑"/>
            <w:color w:val="087E89"/>
          </w:rPr>
          <w:t>法国最大电池项目上线</w:t>
        </w:r>
      </w:hyperlink>
      <w:r>
        <w:rPr>
          <w:rFonts w:ascii="微软雅黑" w:hAnsi="微软雅黑" w:eastAsia="微软雅黑" w:cs="微软雅黑"/>
        </w:rPr>
      </w:r>
    </w:p>
    <w:p>
      <w:pPr>
        <w:spacing w:after="0" w:line="20" w:lineRule="exact"/>
      </w:pPr>
      <w:bookmarkStart w:id="21" w:name="source-12442"/>
      <w:bookmarkEnd w:id="21" w:name="source-12442"/>
    </w:p>
    <w:p>
      <w:pPr>
        <w:pStyle w:val="ListBullet"/>
      </w:pPr>
      <w:r>
        <w:rPr>
          <w:rFonts w:ascii="微软雅黑" w:hAnsi="微软雅黑" w:eastAsia="微软雅黑" w:cs="微软雅黑"/>
        </w:rPr>
        <w:t>[21] 新浪财经｜</w:t>
      </w:r>
      <w:hyperlink r:id="rId31">
        <w:r>
          <w:rPr>
            <w:rFonts w:ascii="微软雅黑" w:hAnsi="微软雅黑" w:eastAsia="微软雅黑" w:cs="微软雅黑"/>
            <w:color w:val="087E89"/>
          </w:rPr>
          <w:t>中国新能源正在从"补充能源"转向"主力能源"，谁来承担煤电退出的代价？</w:t>
        </w:r>
      </w:hyperlink>
      <w:r>
        <w:rPr>
          <w:rFonts w:ascii="微软雅黑" w:hAnsi="微软雅黑" w:eastAsia="微软雅黑" w:cs="微软雅黑"/>
        </w:rPr>
      </w:r>
    </w:p>
    <w:p>
      <w:pPr>
        <w:spacing w:after="0" w:line="20" w:lineRule="exact"/>
      </w:pPr>
      <w:bookmarkStart w:id="22" w:name="source-13476"/>
      <w:bookmarkEnd w:id="22" w:name="source-13476"/>
    </w:p>
    <w:p>
      <w:pPr>
        <w:pStyle w:val="ListBullet"/>
      </w:pPr>
      <w:r>
        <w:rPr>
          <w:rFonts w:ascii="微软雅黑" w:hAnsi="微软雅黑" w:eastAsia="微软雅黑" w:cs="微软雅黑"/>
        </w:rPr>
        <w:t>[22] Vanguard News｜</w:t>
      </w:r>
      <w:hyperlink r:id="rId32">
        <w:r>
          <w:rPr>
            <w:rFonts w:ascii="微软雅黑" w:hAnsi="微软雅黑" w:eastAsia="微软雅黑" w:cs="微软雅黑"/>
            <w:color w:val="087E89"/>
          </w:rPr>
          <w:t>伊朗已“完全失去”霍尔木兹海峡控制权——鲁比奥</w:t>
        </w:r>
      </w:hyperlink>
      <w:r>
        <w:rPr>
          <w:rFonts w:ascii="微软雅黑" w:hAnsi="微软雅黑" w:eastAsia="微软雅黑" w:cs="微软雅黑"/>
        </w:rPr>
      </w:r>
    </w:p>
    <w:p>
      <w:pPr>
        <w:spacing w:after="0" w:line="20" w:lineRule="exact"/>
      </w:pPr>
      <w:bookmarkStart w:id="23" w:name="source-12794"/>
      <w:bookmarkEnd w:id="23" w:name="source-12794"/>
    </w:p>
    <w:p>
      <w:pPr>
        <w:pStyle w:val="ListBullet"/>
      </w:pPr>
      <w:r>
        <w:rPr>
          <w:rFonts w:ascii="微软雅黑" w:hAnsi="微软雅黑" w:eastAsia="微软雅黑" w:cs="微软雅黑"/>
        </w:rPr>
        <w:t>[23] 新浪财经｜</w:t>
      </w:r>
      <w:hyperlink r:id="rId33">
        <w:r>
          <w:rPr>
            <w:rFonts w:ascii="微软雅黑" w:hAnsi="微软雅黑" w:eastAsia="微软雅黑" w:cs="微软雅黑"/>
            <w:color w:val="087E89"/>
          </w:rPr>
          <w:t>欧洲天然气维持两周高位附近 霍尔木兹海峡船舶袭击事件叠加冬季供应担忧</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businessday.co.za/world/americas/2026-10-07-us-vice-president-insists-iran-must-cut-nuclear-enrichment-to-end-war/" TargetMode="External"/><Relationship Id="rId12" Type="http://schemas.openxmlformats.org/officeDocument/2006/relationships/hyperlink" Target="https://www.hydrocarbonengineering.com/special-reports/07102026/wood-mackenzie-johan-sverdrup-crude-hits-record-us24bbl-premium/" TargetMode="External"/><Relationship Id="rId13" Type="http://schemas.openxmlformats.org/officeDocument/2006/relationships/hyperlink" Target="https://www.worldpipelines.com/special-reports/07102026/wood-mackenzie-johan-sverdrup-crude-hits-record-us24bbl-premium/" TargetMode="External"/><Relationship Id="rId14" Type="http://schemas.openxmlformats.org/officeDocument/2006/relationships/hyperlink" Target="https://www.gov.br/aneel/pt-br/assuntos/noticias/2026-defeso-eleitoral/custeio-de-sistemas-de-armazenamento-de-energia-em-baterias-entra-em-consulta" TargetMode="External"/><Relationship Id="rId15" Type="http://schemas.openxmlformats.org/officeDocument/2006/relationships/hyperlink" Target="https://www.power-technology.com/news/neoen-346mw-goyder-north-wind-farm/" TargetMode="External"/><Relationship Id="rId16" Type="http://schemas.openxmlformats.org/officeDocument/2006/relationships/hyperlink" Target="https://www.cleanenergywire.org/news/france-and-germany-strike-deal-further-weaken-eu-combustion-engine-phaseout-media" TargetMode="External"/><Relationship Id="rId17" Type="http://schemas.openxmlformats.org/officeDocument/2006/relationships/hyperlink" Target="https://www.kmg.kz/press-center/press-releases/n-gpz/" TargetMode="External"/><Relationship Id="rId18" Type="http://schemas.openxmlformats.org/officeDocument/2006/relationships/hyperlink" Target="https://www.yna.co.kr/view/AKR20261007143900003?section=industry/energy-resource" TargetMode="External"/><Relationship Id="rId19" Type="http://schemas.openxmlformats.org/officeDocument/2006/relationships/hyperlink" Target="https://reneweconomy.com.au/high-court-rejects-major-coal-mine-extension-in-landmark-decision-based-on-climate-change-impacts/?utm_source=rss&amp;utm_medium=rss&amp;utm_campaign=high-court-rejects-major-coal-mine-extension-in-landmark-decision-based-on-climate-change-impacts" TargetMode="External"/><Relationship Id="rId20" Type="http://schemas.openxmlformats.org/officeDocument/2006/relationships/hyperlink" Target="https://news.cctv.com/2026/10/07/ARTI6mByuE8JTb1YHHc89Ka8261007.shtml" TargetMode="External"/><Relationship Id="rId21" Type="http://schemas.openxmlformats.org/officeDocument/2006/relationships/hyperlink" Target="https://news.cctv.com/2026/10/07/ARTI38YzuQoewEtg0fSEPxSi261007.shtml" TargetMode="External"/><Relationship Id="rId22" Type="http://schemas.openxmlformats.org/officeDocument/2006/relationships/hyperlink" Target="https://www.news.cn/world/20261007/59916514978244f7bfe7dff5482bad20/c.html" TargetMode="External"/><Relationship Id="rId23" Type="http://schemas.openxmlformats.org/officeDocument/2006/relationships/hyperlink" Target="https://www.interfax.ru/business/1120795" TargetMode="External"/><Relationship Id="rId24" Type="http://schemas.openxmlformats.org/officeDocument/2006/relationships/hyperlink" Target="https://www.vanguardngr.com/2026/10/ai-widening-economic-inequality-imf-boss-warns/" TargetMode="External"/><Relationship Id="rId25" Type="http://schemas.openxmlformats.org/officeDocument/2006/relationships/hyperlink" Target="https://www.gov.br/aneel/pt-br/assuntos/noticias/2026-defeso-eleitoral/aneel-aprova-regra-para-organizar-cortes-de-geracao" TargetMode="External"/><Relationship Id="rId26" Type="http://schemas.openxmlformats.org/officeDocument/2006/relationships/hyperlink" Target="https://netl.doe.gov/node/15657" TargetMode="External"/><Relationship Id="rId27" Type="http://schemas.openxmlformats.org/officeDocument/2006/relationships/hyperlink" Target="https://www.eia.gov/todayinenergy/detail.php?id=68264" TargetMode="External"/><Relationship Id="rId28" Type="http://schemas.openxmlformats.org/officeDocument/2006/relationships/hyperlink" Target="https://www.power-technology.com/news/black-hills-invest-power-google-data-centre/" TargetMode="External"/><Relationship Id="rId29" Type="http://schemas.openxmlformats.org/officeDocument/2006/relationships/hyperlink" Target="https://www.neimagazine.com/news/updated-plan-delays-polish-reactors/" TargetMode="External"/><Relationship Id="rId30" Type="http://schemas.openxmlformats.org/officeDocument/2006/relationships/hyperlink" Target="https://www.pv-magazine.com/2026/10/07/frances-largest-battery-goes-online/" TargetMode="External"/><Relationship Id="rId31" Type="http://schemas.openxmlformats.org/officeDocument/2006/relationships/hyperlink" Target="https://finance.sina.com.cn/jjxw/2026-10-07/doc-iniukhkn6180623.shtml" TargetMode="External"/><Relationship Id="rId32" Type="http://schemas.openxmlformats.org/officeDocument/2006/relationships/hyperlink" Target="https://www.vanguardngr.com/2026/10/iran-has-lost-complete-control-of-hormuz-strait-rubio/" TargetMode="External"/><Relationship Id="rId33" Type="http://schemas.openxmlformats.org/officeDocument/2006/relationships/hyperlink" Target="https://finance.sina.com.cn/stock/usstock/c/2026-10-07/doc-iniuksyc8182372.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2026年10月7日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