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信息覆盖时段：2026-10-05 00:00 至 2026-10-06 00:00（不含），Asia/Shanghai。</w:t>
      </w:r>
    </w:p>
    <w:p>
      <w:pPr/>
      <w:r>
        <w:rPr>
          <w:rFonts w:ascii="微软雅黑" w:hAnsi="微软雅黑" w:eastAsia="微软雅黑" w:cs="微软雅黑"/>
        </w:rPr>
        <w:t>统计区间：2026-10-05 至 2026-10-06（结束日不含，北京时间）</w:t>
      </w:r>
    </w:p>
    <w:p>
      <w:pPr>
        <w:ind w:firstLine="420"/>
      </w:pPr>
      <w:r>
        <w:rPr>
          <w:rFonts w:ascii="微软雅黑" w:hAnsi="微软雅黑" w:eastAsia="微软雅黑" w:cs="微软雅黑"/>
        </w:rPr>
        <w:t>资料更新截止：2026-10-06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第三季度原油价格突破100美元/桶，炼厂利润大幅上升 </w:t>
      </w:r>
      <w:hyperlink w:anchor="source-1204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Rezolv Energy在罗马尼亚启动VIFOR风电场一期192MW </w:t>
      </w:r>
      <w:hyperlink w:anchor="source-1199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霍尔木兹海峡油轮再遭袭，伊朗坚持七项条件方开海 </w:t>
      </w:r>
      <w:hyperlink w:anchor="source-119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948">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186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欧洲交付最后一个ITER真空室扇区 </w:t>
      </w:r>
      <w:hyperlink w:anchor="source-1207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Al Morjan 获25亿美元融资推进沙特拉比格2号IPP扩建 </w:t>
      </w:r>
      <w:hyperlink w:anchor="source-12033">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罗马尼亚VIFOR风电场一期装机</w:t>
            </w:r>
          </w:p>
        </w:tc>
        <w:tc>
          <w:tcPr>
            <w:tcW w:type="dxa" w:w="2268"/>
          </w:tcPr>
          <w:p>
            <w:pPr>
              <w:spacing w:after="40"/>
            </w:pPr>
            <w:r>
              <w:rPr>
                <w:rFonts w:ascii="微软雅黑" w:hAnsi="微软雅黑" w:eastAsia="微软雅黑" w:cs="微软雅黑"/>
              </w:rPr>
              <w:t>192MW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99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VIFOR风电场总装机（含二期）</w:t>
            </w:r>
          </w:p>
        </w:tc>
        <w:tc>
          <w:tcPr>
            <w:tcW w:type="dxa" w:w="2268"/>
          </w:tcPr>
          <w:p>
            <w:pPr>
              <w:spacing w:after="40"/>
            </w:pPr>
            <w:r>
              <w:rPr>
                <w:rFonts w:ascii="微软雅黑" w:hAnsi="微软雅黑" w:eastAsia="微软雅黑" w:cs="微软雅黑"/>
              </w:rPr>
              <w:t>461MW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99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罗马尼亚风电装机（现状）</w:t>
            </w:r>
          </w:p>
        </w:tc>
        <w:tc>
          <w:tcPr>
            <w:tcW w:type="dxa" w:w="2268"/>
          </w:tcPr>
          <w:p>
            <w:pPr>
              <w:spacing w:after="40"/>
            </w:pPr>
            <w:r>
              <w:rPr>
                <w:rFonts w:ascii="微软雅黑" w:hAnsi="微软雅黑" w:eastAsia="微软雅黑" w:cs="微软雅黑"/>
              </w:rPr>
              <w:t>略高于3GW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990">
              <w:r>
                <w:rPr>
                  <w:rFonts w:ascii="微软雅黑" w:hAnsi="微软雅黑" w:eastAsia="微软雅黑" w:cs="微软雅黑"/>
                  <w:color w:val="087E89"/>
                </w:rPr>
                <w:t>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ITER真空室（含包层与偏滤器等内部部件）总重</w:t>
            </w:r>
          </w:p>
        </w:tc>
        <w:tc>
          <w:tcPr>
            <w:tcW w:type="dxa" w:w="2268"/>
          </w:tcPr>
          <w:p>
            <w:pPr>
              <w:spacing w:after="40"/>
            </w:pPr>
            <w:r>
              <w:rPr>
                <w:rFonts w:ascii="微软雅黑" w:hAnsi="微软雅黑" w:eastAsia="微软雅黑" w:cs="微软雅黑"/>
              </w:rPr>
              <w:t>8500吨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07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ITER聚变输出目标功率</w:t>
            </w:r>
          </w:p>
        </w:tc>
        <w:tc>
          <w:tcPr>
            <w:tcW w:type="dxa" w:w="2268"/>
          </w:tcPr>
          <w:p>
            <w:pPr>
              <w:spacing w:after="40"/>
            </w:pPr>
            <w:r>
              <w:rPr>
                <w:rFonts w:ascii="微软雅黑" w:hAnsi="微软雅黑" w:eastAsia="微软雅黑" w:cs="微软雅黑"/>
              </w:rPr>
              <w:t>500MW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07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ITER等离子体加热功率输入</w:t>
            </w:r>
          </w:p>
        </w:tc>
        <w:tc>
          <w:tcPr>
            <w:tcW w:type="dxa" w:w="2268"/>
          </w:tcPr>
          <w:p>
            <w:pPr>
              <w:spacing w:after="40"/>
            </w:pPr>
            <w:r>
              <w:rPr>
                <w:rFonts w:ascii="微软雅黑" w:hAnsi="微软雅黑" w:eastAsia="微软雅黑" w:cs="微软雅黑"/>
              </w:rPr>
              <w:t>50MW</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07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沙特拉比格2号IPP扩建项目融资</w:t>
            </w:r>
          </w:p>
        </w:tc>
        <w:tc>
          <w:tcPr>
            <w:tcW w:type="dxa" w:w="2268"/>
          </w:tcPr>
          <w:p>
            <w:pPr>
              <w:spacing w:after="40"/>
            </w:pPr>
            <w:r>
              <w:rPr>
                <w:rFonts w:ascii="微软雅黑" w:hAnsi="微软雅黑" w:eastAsia="微软雅黑" w:cs="微软雅黑"/>
              </w:rPr>
              <w:t>25亿美元（约96.9亿沙特里亚尔）</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033">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沙特拉比格2号IPP扩建项目新增发电容量</w:t>
            </w:r>
          </w:p>
        </w:tc>
        <w:tc>
          <w:tcPr>
            <w:tcW w:type="dxa" w:w="2268"/>
          </w:tcPr>
          <w:p>
            <w:pPr>
              <w:spacing w:after="40"/>
            </w:pPr>
            <w:r>
              <w:rPr>
                <w:rFonts w:ascii="微软雅黑" w:hAnsi="微软雅黑" w:eastAsia="微软雅黑" w:cs="微软雅黑"/>
              </w:rPr>
              <w:t>2.3吉瓦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2033">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印度乘用车车队平均油耗基准（2027—28年）</w:t>
            </w:r>
          </w:p>
        </w:tc>
        <w:tc>
          <w:tcPr>
            <w:tcW w:type="dxa" w:w="2268"/>
          </w:tcPr>
          <w:p>
            <w:pPr>
              <w:spacing w:after="40"/>
            </w:pPr>
            <w:r>
              <w:rPr>
                <w:rFonts w:ascii="微软雅黑" w:hAnsi="微软雅黑" w:eastAsia="微软雅黑" w:cs="微软雅黑"/>
              </w:rPr>
              <w:t>3.996升/百公里</w:t>
            </w:r>
          </w:p>
        </w:tc>
        <w:tc>
          <w:tcPr>
            <w:tcW w:type="dxa" w:w="2268"/>
          </w:tcPr>
          <w:p>
            <w:pPr>
              <w:spacing w:after="40"/>
            </w:pPr>
            <w:r>
              <w:rPr>
                <w:rFonts w:ascii="微软雅黑" w:hAnsi="微软雅黑" w:eastAsia="微软雅黑" w:cs="微软雅黑"/>
              </w:rPr>
              <w:t>2027—28年</w:t>
            </w:r>
          </w:p>
        </w:tc>
        <w:tc>
          <w:tcPr>
            <w:tcW w:type="dxa" w:w="2268"/>
          </w:tcPr>
          <w:p>
            <w:pPr>
              <w:spacing w:after="40"/>
            </w:pPr>
            <w:r>
              <w:rPr>
                <w:rFonts w:ascii="微软雅黑" w:hAnsi="微软雅黑" w:eastAsia="微软雅黑" w:cs="微软雅黑"/>
              </w:rPr>
            </w:r>
            <w:hyperlink w:anchor="source-12010">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印度乘用车车队平均油耗基准（2031—32年）</w:t>
            </w:r>
          </w:p>
        </w:tc>
        <w:tc>
          <w:tcPr>
            <w:tcW w:type="dxa" w:w="2268"/>
          </w:tcPr>
          <w:p>
            <w:pPr>
              <w:spacing w:after="40"/>
            </w:pPr>
            <w:r>
              <w:rPr>
                <w:rFonts w:ascii="微软雅黑" w:hAnsi="微软雅黑" w:eastAsia="微软雅黑" w:cs="微软雅黑"/>
              </w:rPr>
              <w:t>3.3273升/百公里</w:t>
            </w:r>
          </w:p>
        </w:tc>
        <w:tc>
          <w:tcPr>
            <w:tcW w:type="dxa" w:w="2268"/>
          </w:tcPr>
          <w:p>
            <w:pPr>
              <w:spacing w:after="40"/>
            </w:pPr>
            <w:r>
              <w:rPr>
                <w:rFonts w:ascii="微软雅黑" w:hAnsi="微软雅黑" w:eastAsia="微软雅黑" w:cs="微软雅黑"/>
              </w:rPr>
              <w:t>2031—32年</w:t>
            </w:r>
          </w:p>
        </w:tc>
        <w:tc>
          <w:tcPr>
            <w:tcW w:type="dxa" w:w="2268"/>
          </w:tcPr>
          <w:p>
            <w:pPr>
              <w:spacing w:after="40"/>
            </w:pPr>
            <w:r>
              <w:rPr>
                <w:rFonts w:ascii="微软雅黑" w:hAnsi="微软雅黑" w:eastAsia="微软雅黑" w:cs="微软雅黑"/>
              </w:rPr>
            </w:r>
            <w:hyperlink w:anchor="source-12010">
              <w:r>
                <w:rPr>
                  <w:rFonts w:ascii="微软雅黑" w:hAnsi="微软雅黑" w:eastAsia="微软雅黑" w:cs="微软雅黑"/>
                  <w:color w:val="087E89"/>
                </w:rPr>
                <w:t>8</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霍尔木兹海峡油轮再遭袭，伊朗坚持七项条件方开海</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海上贸易行动办公室通报一艘油轮在霍尔木兹海峡遭不明抛射物击中、机舱受损，船员安全；伊朗议会议长卡利巴夫表示在满足伊斯兰堡谅解备忘录七项条件前海峡不会开放。Kpler数据显示海峡原油日流量介于1950万至2250万桶，约为一个月前的两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UKMTO通报油轮遭不明抛射物击中，机舱受损，未报告环境污染，船员安全。卡利巴夫强调在七项条件满足前不会开放海峡。Kpler初步数据显示9月27-29日海峡原油日流量介于1950万至2250万桶，约为一个月前两倍。伊朗外交部称现阶段重点是霍尔木兹海峡问题。战前海峡承担全球约五分之一石油和LNG贸易。</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航运风险与供给不确定性持续，Kpler数据显示流量恢复至战前水平以上，但船只袭击与封锁表态加剧市场波动。</w:t>
      </w:r>
    </w:p>
    <w:p>
      <w:pPr>
        <w:ind w:firstLine="420"/>
      </w:pPr>
      <w:r>
        <w:rPr>
          <w:rFonts w:ascii="微软雅黑" w:hAnsi="微软雅黑" w:eastAsia="微软雅黑" w:cs="微软雅黑"/>
        </w:rPr>
        <w:t>来源：</w:t>
      </w:r>
      <w:hyperlink w:anchor="source-119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948">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1868">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CERC延长印度DSM赤字结算机制至2027年4月</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印度电力监管委员会CERC以监管准备不足为由，援引《条例》第12条“消除困难”条款，将DSM赤字永久机制的实施期限延长，临时机制继续适用至2027年4月4日。</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裁定由主席Jishnu Barua及成员Ramesh Babu V.、Harish Dudani和Ravinder Singh Dhillon组成的合议庭作出，涉及Petition No. 16/SM/2026。临时机制下，跨区域盈余资金调整后的剩余赤字由被引电网人型ISTS用户（DICs）承担，其中50%按其在外网地区STS浇注系统（ISTS）外围的取电量计算，剩余50%按一般网络接入（GNA）计算。CERC指令Grid-India加快准备工作，在2027年4月4日前提交详尽程序文件，覆盖赤字期间费用回收、储备缺口计算及向DICs分摊费用的方法。</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实施延期给予电网运营商与监管更多准备时间，但赤字期间费用分摊方式维持临时安排，跨区电力交易结算存在过渡期不确定性。</w:t>
      </w:r>
    </w:p>
    <w:p>
      <w:pPr>
        <w:ind w:firstLine="420"/>
      </w:pPr>
      <w:r>
        <w:rPr>
          <w:rFonts w:ascii="微软雅黑" w:hAnsi="微软雅黑" w:eastAsia="微软雅黑" w:cs="微软雅黑"/>
        </w:rPr>
        <w:t>来源：</w:t>
      </w:r>
      <w:hyperlink w:anchor="source-11919">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3. 第三季度原油价格突破100美元/桶，炼厂利润大幅上升</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9月9日，因美伊互袭油轮、美国封锁伊朗出口、沙特东西管道与曼德海峡沙特油轮遇袭、以及乌克兰无人机袭击俄罗斯新罗西斯克港，原油期货再次突破100美元/桶；第三季度原油价格和炼厂利润普遍上升。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美国炼厂三季度开工率均值95%，为2019年以来同期最高，当时炼能高出4%。汽油裂解差季均同比翻倍以上，柴油与航空煤油裂解差约为上年三倍。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炼厂开工率与裂解差同步走高，炼油环节盈利能力大幅增强，成品油供应紧张推升下游价格。</w:t>
      </w:r>
    </w:p>
    <w:p>
      <w:pPr>
        <w:ind w:firstLine="420"/>
      </w:pPr>
      <w:r>
        <w:rPr>
          <w:rFonts w:ascii="微软雅黑" w:hAnsi="微软雅黑" w:eastAsia="微软雅黑" w:cs="微软雅黑"/>
        </w:rPr>
        <w:t>来源：</w:t>
      </w:r>
      <w:hyperlink w:anchor="source-12044">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4. 马石油总裁预计石油市场混乱可能持续至2027年</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马来西亚国家石油总裁Taufik在伦敦会议上预计，石油市场将在年底前陷入混乱，并可能延续至2027年。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他认为，伊朗战争及霍尔木兹海峡封锁造成的航运瓶颈、炼厂减产和库存动用，将使全球油价高位运行持续多年。该判断与沙特阿美CEO关于全球库存缓冲薄弱、补库可能需要长达两年的警告相互呼应。</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高层预警叠加，凸显供应紧张的中期持续性预期，对炼油与下游定价形成长期支撑。</w:t>
      </w:r>
    </w:p>
    <w:p>
      <w:pPr>
        <w:ind w:firstLine="420"/>
      </w:pPr>
      <w:r>
        <w:rPr>
          <w:rFonts w:ascii="微软雅黑" w:hAnsi="微软雅黑" w:eastAsia="微软雅黑" w:cs="微软雅黑"/>
        </w:rPr>
        <w:t>来源：</w:t>
      </w:r>
      <w:hyperlink w:anchor="source-12073">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5. Al Morjan 获25亿美元融资推进沙特拉比格2号IPP扩建</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Al Morjan Two Electricity Company完成25亿美元（约96.9亿沙特里亚尔）融资，用于沙特拉比格2号IPP扩建项目。该项目位于吉达以北约130公里，采用联合循环燃气轮机系统，计划新增发电容量2.3吉瓦，并预留未来安装碳捕集单元的能力。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融资由Al Morjan Two Electricity Company完成，金额25亿美元，约合96.9亿沙特里亚尔，用于沙特拉比格2号IPP扩建。厂址位于吉达以北约130公里的拉比格，采用联合循环燃气轮机（CCGT）系统，新增发电容量2.3吉瓦，并预留未来安装碳捕集单元的能力。原文未披露融资完成日期以外的更多时间细节和股东结构。</w:t>
      </w:r>
    </w:p>
    <w:p>
      <w:pPr>
        <w:ind w:firstLine="420"/>
      </w:pPr>
      <w:r>
        <w:rPr>
          <w:rFonts w:ascii="微软雅黑" w:hAnsi="微软雅黑" w:eastAsia="微软雅黑" w:cs="微软雅黑"/>
        </w:rPr>
        <w:t>来源：</w:t>
      </w:r>
      <w:hyperlink w:anchor="source-12033">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6. Höegh Evi与PETROS签约共建砂拉越古晋LNG接收终端</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Höegh Evi与砂拉越州属油气公司PETROS签署协议，共同开发位于马来西亚砂拉越的古晋LNG接收终端，作为KLCH低碳开发项目的一部分。双方将共同开发、持有并运营该终端，目标在2029年底前实现首次供气。</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设施包括一座FSRU浮式储存再气化装置、系泊基础设施、海底与陆上管道以及陆上接收设施。终端将为古晋发电供应天然气，并提供小型LNG分销、槽车加注、船舶加注、储存及再装船服务。PETROS担任KLCH主开发商，Höegh Evi负责FSRU及海事能源基础设施的开发、持有与运营。项目目标在2029年底前实现首次供气，并将根据需求增长评估加快交付进度。</w:t>
      </w:r>
    </w:p>
    <w:p>
      <w:pPr>
        <w:ind w:firstLine="420"/>
      </w:pPr>
      <w:r>
        <w:rPr>
          <w:rFonts w:ascii="微软雅黑" w:hAnsi="微软雅黑" w:eastAsia="微软雅黑" w:cs="微软雅黑"/>
        </w:rPr>
        <w:t>来源：</w:t>
      </w:r>
      <w:hyperlink w:anchor="source-12054">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7. “洁净煤炭—绿色库兹巴斯”项目进入实施阶段</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能源部、教育科学部、库兹巴斯州政府和“库兹巴斯—顿巴斯”科教中心共同发起的“清洁煤炭—绿色库兹巴斯”计划进入实施阶段。库兹巴斯州长谢列久克表示，煤炭工业前景在于深度加工，打造高附加值新产品。</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清洁煤炭—绿色库兹巴斯”计划由俄能源部、教育科学部、库兹巴斯州政府和“库兹巴斯—顿巴斯”科教中心共同发起，自2022年以来开发了34项面向工业企业的创新成果。该计划将选煤厂尾矿从废弃物转化为能源、冶金和建筑行业的新原料。</w:t>
      </w:r>
    </w:p>
    <w:p>
      <w:pPr>
        <w:ind w:firstLine="420"/>
      </w:pPr>
      <w:r>
        <w:rPr>
          <w:rFonts w:ascii="微软雅黑" w:hAnsi="微软雅黑" w:eastAsia="微软雅黑" w:cs="微软雅黑"/>
        </w:rPr>
        <w:t>来源：</w:t>
      </w:r>
      <w:hyperlink w:anchor="source-1190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8. 兖煤澳大利亚完成收购Kestrel煤矿80%权益</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兖煤澳大利亚宣布完成对Kestrel煤矿80%权益的收购。Kestrel资产位于澳大利亚昆士兰州博文盆地，为大型长寿炼焦煤资产。交割时支付的首期现金对价为18.5亿美元，受惯常交割调整影响。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兖煤澳大利亚完成对Kestrel煤矿80%权益的收购，资产位于昆士兰州博文盆地，为大型长寿炼焦煤资产。交割时支付的首期现金对价为18.5亿美元，受惯常交割调整影响。</w:t>
      </w:r>
    </w:p>
    <w:p>
      <w:pPr>
        <w:ind w:firstLine="420"/>
      </w:pPr>
      <w:r>
        <w:rPr>
          <w:rFonts w:ascii="微软雅黑" w:hAnsi="微软雅黑" w:eastAsia="微软雅黑" w:cs="微软雅黑"/>
        </w:rPr>
        <w:t>来源：</w:t>
      </w:r>
      <w:hyperlink w:anchor="source-12047">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9. 欧洲交付最后一个ITER真空室扇区</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欧洲制造的五扇区真空室最后一件已交付ITER项目现场，全部真空室扇区到齐后将进入装配阶段，用于验证聚变能源可行性。</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真空室装入包层和偏滤器等内部部件后总重将达8500吨；欧洲五个扇区的制造共耗费逾200万工时，焊接总长度累计750公里。ITER目标以50MW等离子体加热功率输入实现500MW聚变输出，持续运行至少400秒，以验证聚变作为大规模、零碳能源的可行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ITER主体真空室制造完成将推进聚变实验装置装配，是国际热核聚变实验堆由制造转向装配的关键节点。</w:t>
      </w:r>
    </w:p>
    <w:p>
      <w:pPr>
        <w:ind w:firstLine="420"/>
      </w:pPr>
      <w:r>
        <w:rPr>
          <w:rFonts w:ascii="微软雅黑" w:hAnsi="微软雅黑" w:eastAsia="微软雅黑" w:cs="微软雅黑"/>
        </w:rPr>
        <w:t>来源：</w:t>
      </w:r>
      <w:hyperlink w:anchor="source-12071">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10. 韩国自主堆型核电半个世纪后首次反向出口美国</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韩国以自主堆型APR1400首次实现核反应堆反向出口至美国，被视为1978年古里1号机组引进西屋技术以来约半个世纪的技术反向突破。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韩国方面拒绝美方提出的路易斯安那LNG接收站项目，反向提议核电建设。在美商务部施压下，西屋同意修改SA协议，为2台APR1400机组设定例外条款，以放行此次核电合作。</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此次合作标志韩国核电技术体系获得美方例外认可，提升其自主堆型在国际市场的竞争地位，并重塑美韩能源装备贸易格局。</w:t>
      </w:r>
    </w:p>
    <w:p>
      <w:pPr>
        <w:ind w:firstLine="420"/>
      </w:pPr>
      <w:r>
        <w:rPr>
          <w:rFonts w:ascii="微软雅黑" w:hAnsi="微软雅黑" w:eastAsia="微软雅黑" w:cs="微软雅黑"/>
        </w:rPr>
        <w:t>来源：</w:t>
      </w:r>
      <w:hyperlink w:anchor="source-11855">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11. FM报告称电力与新能源项目工程介入须前移</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FM发布《电力与可再生能源报告》，调查750名能源领域风险决策者、150名保险经纪人和150名金融机构。报告指出韧性不确定性带来建设成本上升、保险成本上升、投资回报下降等财务影响，多数受访者认同早期工程介入可改善稳定性、可保性与投资者信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调查对象包括750名能源领域风险决策者、150名保险经纪人和150名金融机构。韧性不确定性带来的财务影响：建设成本上升（51%）、保险成本上升（46%）、投资回报下降（40%），项目对投资者吸引力降低（39%），且金融机构在多类风险上的成本估值高于能源企业。78%的能源企业表示选址决策常常造成未预见的后续风险敞口。85%的受访者认同早期工程介入可改善稳定性、可保性与投资者信心。71%的经纪人认为保险方提供的工程专长对全新或首台套技术最具价值，67%分别将其视为对建设项目和位于巨灾风险区域项目的价值所在。</w:t>
      </w:r>
    </w:p>
    <w:p>
      <w:pPr>
        <w:ind w:firstLine="420"/>
      </w:pPr>
      <w:r>
        <w:rPr>
          <w:rFonts w:ascii="微软雅黑" w:hAnsi="微软雅黑" w:eastAsia="微软雅黑" w:cs="微软雅黑"/>
        </w:rPr>
        <w:t>来源：</w:t>
      </w:r>
      <w:hyperlink w:anchor="source-12067">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12. 住友商事入股印度500MWp风光储项目</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住友商事宣布将收购印度项目载体Clean Solar Power（Baniyana）49%股份。该项目位于印度南部卡纳塔克邦，光伏与风电合计约500MWp，并配套200MW·h电池储能系统，所发电量主要按25年期购电协议售予印度国有电力公司SJVN。</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位于印度南部卡纳塔克邦，光伏与风电合计约500MWp，配套200MW·h电池储能系统。所发电量主要根据一份25年期购电协议（PPA）售予印度国有电力公司SJVN，并需在早晚高峰时段稳定供电。住友通过集团公司在可再生能源与能源管理领域开展业务，涵盖聚合服务与电池储能控制。该投资契合印度2030年实现500GW非化石燃料发电装机的国家目标。</w:t>
      </w:r>
    </w:p>
    <w:p>
      <w:pPr>
        <w:ind w:firstLine="420"/>
      </w:pPr>
      <w:r>
        <w:rPr>
          <w:rFonts w:ascii="微软雅黑" w:hAnsi="微软雅黑" w:eastAsia="微软雅黑" w:cs="微软雅黑"/>
        </w:rPr>
        <w:t>来源：</w:t>
      </w:r>
      <w:hyperlink w:anchor="source-12060">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13. Rezolv Energy在罗马尼亚启动VIFOR风电场一期192MW</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Rezolv Energy在罗马尼亚布泽乌郡启动VIFOR风电场一期192MW，由30台Vestas V162风机组成，被认为是十多年来罗马尼亚新投产的最大风电项目。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一期项目装机192MW，由30台Vestas V162风机组成，单机容量6.4MW，是十多年来罗马尼亚新投产的最大风电项目。风机塔筒高166米，叶轮直径162米；Vestas担任一期的工程、采购和施工（EPC）伙伴。VIFOR风电场二期预计2027年完工，总装机将达到461MW，届时有望成为欧洲最大的陆上风电项目之一。风电场全面投运后，预计每年可为超过27万户家庭供电，并每年避免约54万吨二氧化碳当量排放。罗马尼亚目前风电装机略高于3GW，《国家能源与气候计划》设定的目标为2030年达到7.3GW。</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证据未给出明确影响。</w:t>
      </w:r>
    </w:p>
    <w:p>
      <w:pPr>
        <w:ind w:firstLine="420"/>
      </w:pPr>
      <w:r>
        <w:rPr>
          <w:rFonts w:ascii="微软雅黑" w:hAnsi="微软雅黑" w:eastAsia="微软雅黑" w:cs="微软雅黑"/>
        </w:rPr>
        <w:t>来源：</w:t>
      </w:r>
      <w:hyperlink w:anchor="source-1199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14. 德国拟对陆上风电场土地租赁费设营收3.5%上限引争议</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德国政府拟修订《可再生能源法》草案，将享受EEG补贴的陆上风电场土地租赁费上限设为风机年营收的3.5%。草案同步拟取消新建小型屋顶光伏保障电价，并削减位于电网瓶颈区域的风电与光伏补偿。</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德国经济部修订草案规定，依据EEG获得补贴的陆上风电场土地租赁费上限为风机年营收的3.5%，相当于平均每台风机每年支付约3.2万欧元租金（VKU数据）。VKU委托报告测算，按3.5%上限，到2045年补贴支出累计将比平均租赁费率10%的情景减少约130亿欧元。18家银行在致经济部的公开信中警告，该上限将增加审计、文件与监测负担并推高长期融资成本；可再生能源行业组织BEE警告土地所有者可能拒绝以低于市场价出租，危及未来风电项目，并批评全国统一上限未考虑地区差异。草案还拟取消新建小型屋顶光伏的保障电价，并削减位于电网瓶颈区域的风电、光伏补偿。</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银行与行业组织警告该上限将抬高风电项目长期融资成本并危及未来项目落地，但草案仍可能降低到2045年的累计补贴支出。</w:t>
      </w:r>
    </w:p>
    <w:p>
      <w:pPr>
        <w:ind w:firstLine="420"/>
      </w:pPr>
      <w:r>
        <w:rPr>
          <w:rFonts w:ascii="微软雅黑" w:hAnsi="微软雅黑" w:eastAsia="微软雅黑" w:cs="微软雅黑"/>
        </w:rPr>
        <w:t>来源：</w:t>
      </w:r>
      <w:hyperlink w:anchor="source-12026">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15. 印度发布新一轮CAFE标准 拟提升乘用车燃油效率16.7%</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印度公布新一轮企业平均燃油经济性（CAFE）标准，覆盖乘用车车队平均油耗与新能源汽车积分安排。</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标准将车队平均油耗基准从2027—28年的3.996升/百公里逐步收紧至2031—32年的3.3273升/百公里，五年累计改善约16.7%。每项符合条件的燃料节约技术可获1克CO₂/公里优惠，单车累计上限9克CO₂/公里。纯电动、增程式电动、插电混动、强混动及灵活燃料车将获得销量豁免或“超级积分”。</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标准向新能源汽车倾斜明显，可能加快印度乘用车市场电气化和替代燃料车型的渗透节奏。</w:t>
      </w:r>
    </w:p>
    <w:p>
      <w:pPr>
        <w:ind w:firstLine="420"/>
      </w:pPr>
      <w:r>
        <w:rPr>
          <w:rFonts w:ascii="微软雅黑" w:hAnsi="微软雅黑" w:eastAsia="微软雅黑" w:cs="微软雅黑"/>
        </w:rPr>
        <w:t>来源：</w:t>
      </w:r>
      <w:hyperlink w:anchor="source-12010">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16. Volare Shipping在奥斯陆证交所完成上市</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航运公司Volare Shipping在奥斯陆泛欧交易所成长板完成上市，募集资金约5亿美元。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公司定向增发3070万股新股，发行价每股154挪威克朗，募集总额约5亿美元。发行获超额认购，投资者包括机构、家族办公室及航运业内参与者。托克全球航运主管、Volare Shipping董事长Andrea Olivi与首席执行官Alexandre Duff等管理层出席开市敲钟仪式。</w:t>
      </w:r>
    </w:p>
    <w:p>
      <w:pPr>
        <w:ind w:firstLine="420"/>
      </w:pPr>
      <w:r>
        <w:rPr>
          <w:rFonts w:ascii="微软雅黑" w:hAnsi="微软雅黑" w:eastAsia="微软雅黑" w:cs="微软雅黑"/>
        </w:rPr>
        <w:t>来源：</w:t>
      </w:r>
      <w:hyperlink w:anchor="source-11971">
        <w:r>
          <w:rPr>
            <w:rFonts w:ascii="微软雅黑" w:hAnsi="微软雅黑" w:eastAsia="微软雅黑" w:cs="微软雅黑"/>
            <w:color w:val="087E89"/>
          </w:rPr>
          <w:t>19</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17. 我国牵头7项天然气国际标准获ISO批准立项</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国际标准化组织日前批准由我国牵头的7项天然气国际标准全部立项。本批标准涵盖页岩气勘探开发、天然气碳足迹核算、天然气储层岩心取样、天然气水合物测试等产业链上游关键领域。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批标准共7项，由我国牵头，国际标准化组织（ISO）日前全部批准立项，涵盖页岩气勘探开发、天然气碳足迹核算、天然气储层岩心取样、天然气水合物测试等产业链上游关键领域。其中3项为页岩气检测标准，将为非常规油气开发提供统一技术依据，补齐页岩气储量评估与工程安全规范短板。该立项由国家市场监督管理总局披露。</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将有利于构建全球统一的天然气技术规则，推动清洁低碳、安全高效的全球能源体系建设。</w:t>
      </w:r>
    </w:p>
    <w:p>
      <w:pPr>
        <w:ind w:firstLine="420"/>
      </w:pPr>
      <w:r>
        <w:rPr>
          <w:rFonts w:ascii="微软雅黑" w:hAnsi="微软雅黑" w:eastAsia="微软雅黑" w:cs="微软雅黑"/>
        </w:rPr>
        <w:t>来源：</w:t>
      </w:r>
      <w:hyperlink w:anchor="source-11983">
        <w:r>
          <w:rPr>
            <w:rFonts w:ascii="微软雅黑" w:hAnsi="微软雅黑" w:eastAsia="微软雅黑" w:cs="微软雅黑"/>
            <w:color w:val="087E89"/>
          </w:rPr>
          <w:t>11</w:t>
        </w:r>
      </w:hyperlink>
      <w:r>
        <w:rPr>
          <w:rFonts w:ascii="微软雅黑" w:hAnsi="微软雅黑" w:eastAsia="微软雅黑" w:cs="微软雅黑"/>
        </w:rPr>
        <w:t xml:space="preserve"> </w:t>
      </w:r>
      <w:hyperlink w:anchor="source-1190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18. 普鲁士蓝稳定钙钛矿电池组件获高效率</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中国科学院研究人员利用普鲁士蓝纳米粒子稳定FAPbI3钙钛矿薄膜，抑制缺陷和离子迁移，使大尺寸反式子组件获得较高认证效率。</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研究团队用普鲁士蓝纳米粒子稳定FAPbI3钙钛矿薄膜，引导结晶并抑制缺陷和离子迁移。6 cm×6 cm常规小组件效率23.4%，对照组为20.1%；30 cm×30 cm反式子组件孔径756 cm²，认证效率22.9%，稳定效率22.8%；普鲁士蓝将离子迁移激活能从0.89 eV提高至1.25 eV。</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研究为提升大面积钙钛矿组件效率与稳定性提供了新途径，对钙钛矿光伏产业化具有参考价值。</w:t>
      </w:r>
    </w:p>
    <w:p>
      <w:pPr>
        <w:ind w:firstLine="420"/>
      </w:pPr>
      <w:r>
        <w:rPr>
          <w:rFonts w:ascii="微软雅黑" w:hAnsi="微软雅黑" w:eastAsia="微软雅黑" w:cs="微软雅黑"/>
        </w:rPr>
        <w:t>来源：</w:t>
      </w:r>
      <w:hyperlink w:anchor="source-11968">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19. 中国首个海上注碳增气示范平台主体建造完工</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中国首个海上注碳增气技术示范应用项目东方1-1气田新建中心平台主体建造完工，进入调试阶段。项目投产后预计每年可在海底地层封存二氧化碳超100万吨。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东方1-1气田是中国首个海上自营气田，自2003年投产以来累计产气超500亿立方米，已进入开发中后期。新建中心平台重近1.7万吨，高逾28层楼，甲板面积超1万平方米，可将伴生二氧化碳捕集提纯后加压回注地层。项目全球首创“低温精馏+膜分离”天然气脱碳技术，关键装备全面国产化，能耗较传统工艺降低20%，天然气采收率提高超12%。</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为海上气田开发后期伴生二氧化碳的规模化封存与增产提供示范路径，关键装备实现国产化。</w:t>
      </w:r>
    </w:p>
    <w:p>
      <w:pPr>
        <w:ind w:firstLine="420"/>
      </w:pPr>
      <w:r>
        <w:rPr>
          <w:rFonts w:ascii="微软雅黑" w:hAnsi="微软雅黑" w:eastAsia="微软雅黑" w:cs="微软雅黑"/>
        </w:rPr>
        <w:t>来源：</w:t>
      </w:r>
      <w:hyperlink w:anchor="source-11883">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20. 银镍混合浆料降低TOPCon背面金属化成本研究发表</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扬州大学、嘉兴大学与常州大学联合团队在《Progress in Photovoltaics: Research and Applications》发表论文，提出用于SiOx/n⁺-poly-Si层的丝网印刷银镍混合触点方案，面向TOPCon太阳电池背面金属化。</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研究成果以《Screen-Printed Silver-Nickel Hybrid Contacts for SiOx/n+-Poly-Si Layers in TOPCon Solar Cells》为题，发表于《Progress in Photovoltaics: Research and Applications》，研究团队来自扬州大学、嘉兴大学和常州大学。</w:t>
      </w:r>
    </w:p>
    <w:p>
      <w:pPr>
        <w:ind w:firstLine="420"/>
      </w:pPr>
      <w:r>
        <w:rPr>
          <w:rFonts w:ascii="微软雅黑" w:hAnsi="微软雅黑" w:eastAsia="微软雅黑" w:cs="微软雅黑"/>
        </w:rPr>
        <w:t>来源：</w:t>
      </w:r>
      <w:hyperlink w:anchor="source-11967">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炼厂高开工能否在年末需求旺季维持；裂解差是否随油价回落而收窄。 </w:t>
      </w:r>
      <w:hyperlink w:anchor="source-12044">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VIFOR二期461MW项目2027年完工进度及并网时间。 </w:t>
      </w:r>
      <w:hyperlink w:anchor="source-1199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伊朗通过中间国家审阅美方“七天重开计划”提议；七项条件落实进展及后续船只袭击事件。 </w:t>
      </w:r>
      <w:hyperlink w:anchor="source-11970">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948">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11868">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后续包层、偏滤器等内部部件装配以及项目整体调试与实验运行时间表仍待落实。 </w:t>
      </w:r>
      <w:hyperlink w:anchor="source-1207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后续建设进度、机组投运时间表以及碳捕集单元是否最终投资尚待落实。 </w:t>
      </w:r>
      <w:hyperlink w:anchor="source-12033">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后续各阶段油耗基准对应的合规考核与积分核算细则有待落地。 </w:t>
      </w:r>
      <w:hyperlink w:anchor="source-12010">
        <w:r>
          <w:rPr>
            <w:rFonts w:ascii="微软雅黑" w:hAnsi="微软雅黑" w:eastAsia="微软雅黑" w:cs="微软雅黑"/>
            <w:color w:val="087E89"/>
          </w:rPr>
          <w:t>8</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158 篇文章，形成 157 篇有效能源材料；正文引用 23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pStyle w:val="Heading2"/>
      </w:pPr>
      <w:r>
        <w:rPr>
          <w:rFonts w:ascii="微软雅黑" w:hAnsi="微软雅黑" w:eastAsia="微软雅黑" w:cs="微软雅黑"/>
        </w:rPr>
        <w:t>资料来源</w:t>
      </w:r>
    </w:p>
    <w:p>
      <w:pPr>
        <w:spacing w:after="0" w:line="20" w:lineRule="exact"/>
      </w:pPr>
      <w:bookmarkStart w:id="1" w:name="source-12044"/>
      <w:bookmarkEnd w:id="1" w:name="source-12044"/>
    </w:p>
    <w:p>
      <w:pPr>
        <w:pStyle w:val="ListBullet"/>
      </w:pPr>
      <w:r>
        <w:rPr>
          <w:rFonts w:ascii="微软雅黑" w:hAnsi="微软雅黑" w:eastAsia="微软雅黑" w:cs="微软雅黑"/>
        </w:rPr>
        <w:t>[1] 美国能源信息署｜</w:t>
      </w:r>
      <w:hyperlink r:id="rId11">
        <w:r>
          <w:rPr>
            <w:rFonts w:ascii="微软雅黑" w:hAnsi="微软雅黑" w:eastAsia="微软雅黑" w:cs="微软雅黑"/>
            <w:color w:val="087E89"/>
          </w:rPr>
          <w:t>第三季度原油价格和炼厂利润普遍上升。</w:t>
        </w:r>
      </w:hyperlink>
      <w:r>
        <w:rPr>
          <w:rFonts w:ascii="微软雅黑" w:hAnsi="微软雅黑" w:eastAsia="微软雅黑" w:cs="微软雅黑"/>
        </w:rPr>
      </w:r>
    </w:p>
    <w:p>
      <w:pPr>
        <w:spacing w:after="0" w:line="20" w:lineRule="exact"/>
      </w:pPr>
      <w:bookmarkStart w:id="2" w:name="source-11990"/>
      <w:bookmarkEnd w:id="2" w:name="source-11990"/>
    </w:p>
    <w:p>
      <w:pPr>
        <w:pStyle w:val="ListBullet"/>
      </w:pPr>
      <w:r>
        <w:rPr>
          <w:rFonts w:ascii="微软雅黑" w:hAnsi="微软雅黑" w:eastAsia="微软雅黑" w:cs="微软雅黑"/>
        </w:rPr>
        <w:t>[2] Power Technology｜</w:t>
      </w:r>
      <w:hyperlink r:id="rId12">
        <w:r>
          <w:rPr>
            <w:rFonts w:ascii="微软雅黑" w:hAnsi="微软雅黑" w:eastAsia="微软雅黑" w:cs="微软雅黑"/>
            <w:color w:val="087E89"/>
          </w:rPr>
          <w:t>Rezolv Energy 启动罗马尼亚 VIFOR 风电场一期 192MW</w:t>
        </w:r>
      </w:hyperlink>
      <w:r>
        <w:rPr>
          <w:rFonts w:ascii="微软雅黑" w:hAnsi="微软雅黑" w:eastAsia="微软雅黑" w:cs="微软雅黑"/>
        </w:rPr>
      </w:r>
    </w:p>
    <w:p>
      <w:pPr>
        <w:spacing w:after="0" w:line="20" w:lineRule="exact"/>
      </w:pPr>
      <w:bookmarkStart w:id="3" w:name="source-11970"/>
      <w:bookmarkEnd w:id="3" w:name="source-11970"/>
    </w:p>
    <w:p>
      <w:pPr>
        <w:pStyle w:val="ListBullet"/>
      </w:pPr>
      <w:r>
        <w:rPr>
          <w:rFonts w:ascii="微软雅黑" w:hAnsi="微软雅黑" w:eastAsia="微软雅黑" w:cs="微软雅黑"/>
        </w:rPr>
        <w:t>[3] 汇通财经｜</w:t>
      </w:r>
      <w:hyperlink r:id="rId13">
        <w:r>
          <w:rPr>
            <w:rFonts w:ascii="微软雅黑" w:hAnsi="微软雅黑" w:eastAsia="微软雅黑" w:cs="微软雅黑"/>
            <w:color w:val="087E89"/>
          </w:rPr>
          <w:t>曼德海峡夺回战、供给乐观担忧并存，油价震荡走低</w:t>
        </w:r>
      </w:hyperlink>
      <w:r>
        <w:rPr>
          <w:rFonts w:ascii="微软雅黑" w:hAnsi="微软雅黑" w:eastAsia="微软雅黑" w:cs="微软雅黑"/>
        </w:rPr>
      </w:r>
    </w:p>
    <w:p>
      <w:pPr>
        <w:spacing w:after="0" w:line="20" w:lineRule="exact"/>
      </w:pPr>
      <w:bookmarkStart w:id="4" w:name="source-11948"/>
      <w:bookmarkEnd w:id="4" w:name="source-11948"/>
    </w:p>
    <w:p>
      <w:pPr>
        <w:pStyle w:val="ListBullet"/>
      </w:pPr>
      <w:r>
        <w:rPr>
          <w:rFonts w:ascii="微软雅黑" w:hAnsi="微软雅黑" w:eastAsia="微软雅黑" w:cs="微软雅黑"/>
        </w:rPr>
        <w:t>[4] Anadolu Agency 能源频道｜</w:t>
      </w:r>
      <w:hyperlink r:id="rId14">
        <w:r>
          <w:rPr>
            <w:rFonts w:ascii="微软雅黑" w:hAnsi="微软雅黑" w:eastAsia="微软雅黑" w:cs="微软雅黑"/>
            <w:color w:val="087E89"/>
          </w:rPr>
          <w:t>欧洲天然气价格因霍尔木兹海峡风险引发液化天然气供应担忧而上涨</w:t>
        </w:r>
      </w:hyperlink>
      <w:r>
        <w:rPr>
          <w:rFonts w:ascii="微软雅黑" w:hAnsi="微软雅黑" w:eastAsia="微软雅黑" w:cs="微软雅黑"/>
        </w:rPr>
      </w:r>
    </w:p>
    <w:p>
      <w:pPr>
        <w:spacing w:after="0" w:line="20" w:lineRule="exact"/>
      </w:pPr>
      <w:bookmarkStart w:id="5" w:name="source-11868"/>
      <w:bookmarkEnd w:id="5" w:name="source-11868"/>
    </w:p>
    <w:p>
      <w:pPr>
        <w:pStyle w:val="ListBullet"/>
      </w:pPr>
      <w:r>
        <w:rPr>
          <w:rFonts w:ascii="微软雅黑" w:hAnsi="微软雅黑" w:eastAsia="微软雅黑" w:cs="微软雅黑"/>
        </w:rPr>
        <w:t>[5] 新浪财经｜</w:t>
      </w:r>
      <w:hyperlink r:id="rId15">
        <w:r>
          <w:rPr>
            <w:rFonts w:ascii="微软雅黑" w:hAnsi="微软雅黑" w:eastAsia="微软雅黑" w:cs="微软雅黑"/>
            <w:color w:val="087E89"/>
          </w:rPr>
          <w:t>国际新闻早知道丨初步调查迪拜航空袭击者系单独作案 伊朗针对美方提议再回应</w:t>
        </w:r>
      </w:hyperlink>
      <w:r>
        <w:rPr>
          <w:rFonts w:ascii="微软雅黑" w:hAnsi="微软雅黑" w:eastAsia="微软雅黑" w:cs="微软雅黑"/>
        </w:rPr>
      </w:r>
    </w:p>
    <w:p>
      <w:pPr>
        <w:spacing w:after="0" w:line="20" w:lineRule="exact"/>
      </w:pPr>
      <w:bookmarkStart w:id="6" w:name="source-12071"/>
      <w:bookmarkEnd w:id="6" w:name="source-12071"/>
    </w:p>
    <w:p>
      <w:pPr>
        <w:pStyle w:val="ListBullet"/>
      </w:pPr>
      <w:r>
        <w:rPr>
          <w:rFonts w:ascii="微软雅黑" w:hAnsi="微软雅黑" w:eastAsia="微软雅黑" w:cs="微软雅黑"/>
        </w:rPr>
        <w:t>[6] 世界核新闻｜</w:t>
      </w:r>
      <w:hyperlink r:id="rId16">
        <w:r>
          <w:rPr>
            <w:rFonts w:ascii="微软雅黑" w:hAnsi="微软雅黑" w:eastAsia="微软雅黑" w:cs="微软雅黑"/>
            <w:color w:val="087E89"/>
          </w:rPr>
          <w:t>欧洲交付最后一个ITER真空室扇区</w:t>
        </w:r>
      </w:hyperlink>
      <w:r>
        <w:rPr>
          <w:rFonts w:ascii="微软雅黑" w:hAnsi="微软雅黑" w:eastAsia="微软雅黑" w:cs="微软雅黑"/>
        </w:rPr>
      </w:r>
    </w:p>
    <w:p>
      <w:pPr>
        <w:spacing w:after="0" w:line="20" w:lineRule="exact"/>
      </w:pPr>
      <w:bookmarkStart w:id="7" w:name="source-12033"/>
      <w:bookmarkEnd w:id="7" w:name="source-12033"/>
    </w:p>
    <w:p>
      <w:pPr>
        <w:pStyle w:val="ListBullet"/>
      </w:pPr>
      <w:r>
        <w:rPr>
          <w:rFonts w:ascii="微软雅黑" w:hAnsi="微软雅黑" w:eastAsia="微软雅黑" w:cs="微软雅黑"/>
        </w:rPr>
        <w:t>[7] Power Technology｜</w:t>
      </w:r>
      <w:hyperlink r:id="rId17">
        <w:r>
          <w:rPr>
            <w:rFonts w:ascii="微软雅黑" w:hAnsi="微软雅黑" w:eastAsia="微软雅黑" w:cs="微软雅黑"/>
            <w:color w:val="087E89"/>
          </w:rPr>
          <w:t>Al Morjan 获得 25 亿美元融资用于 Rabigh 2 IPP 扩建项目</w:t>
        </w:r>
      </w:hyperlink>
      <w:r>
        <w:rPr>
          <w:rFonts w:ascii="微软雅黑" w:hAnsi="微软雅黑" w:eastAsia="微软雅黑" w:cs="微软雅黑"/>
        </w:rPr>
      </w:r>
    </w:p>
    <w:p>
      <w:pPr>
        <w:spacing w:after="0" w:line="20" w:lineRule="exact"/>
      </w:pPr>
      <w:bookmarkStart w:id="8" w:name="source-12010"/>
      <w:bookmarkEnd w:id="8" w:name="source-12010"/>
    </w:p>
    <w:p>
      <w:pPr>
        <w:pStyle w:val="ListBullet"/>
      </w:pPr>
      <w:r>
        <w:rPr>
          <w:rFonts w:ascii="微软雅黑" w:hAnsi="微软雅黑" w:eastAsia="微软雅黑" w:cs="微软雅黑"/>
        </w:rPr>
        <w:t>[8] ccarbon.info｜</w:t>
      </w:r>
      <w:hyperlink r:id="rId18">
        <w:r>
          <w:rPr>
            <w:rFonts w:ascii="微软雅黑" w:hAnsi="微软雅黑" w:eastAsia="微软雅黑" w:cs="微软雅黑"/>
            <w:color w:val="087E89"/>
          </w:rPr>
          <w:t>印度发布新企业平均燃油经济性（CAFE）标准，目标是提高乘用车燃油效率16.7%</w:t>
        </w:r>
      </w:hyperlink>
      <w:r>
        <w:rPr>
          <w:rFonts w:ascii="微软雅黑" w:hAnsi="微软雅黑" w:eastAsia="微软雅黑" w:cs="微软雅黑"/>
        </w:rPr>
      </w:r>
    </w:p>
    <w:p>
      <w:pPr>
        <w:spacing w:after="0" w:line="20" w:lineRule="exact"/>
      </w:pPr>
      <w:bookmarkStart w:id="9" w:name="source-11900"/>
      <w:bookmarkEnd w:id="9" w:name="source-11900"/>
    </w:p>
    <w:p>
      <w:pPr>
        <w:pStyle w:val="ListBullet"/>
      </w:pPr>
      <w:r>
        <w:rPr>
          <w:rFonts w:ascii="微软雅黑" w:hAnsi="微软雅黑" w:eastAsia="微软雅黑" w:cs="微软雅黑"/>
        </w:rPr>
        <w:t>[9] 俄罗斯库兹巴斯煤炭工业部｜</w:t>
      </w:r>
      <w:hyperlink r:id="rId19">
        <w:r>
          <w:rPr>
            <w:rFonts w:ascii="微软雅黑" w:hAnsi="微软雅黑" w:eastAsia="微软雅黑" w:cs="微软雅黑"/>
            <w:color w:val="087E89"/>
          </w:rPr>
          <w:t>煤矸石变废为宝：“洁净煤炭—绿色库兹巴斯”项目进入实施阶段</w:t>
        </w:r>
      </w:hyperlink>
      <w:r>
        <w:rPr>
          <w:rFonts w:ascii="微软雅黑" w:hAnsi="微软雅黑" w:eastAsia="微软雅黑" w:cs="微软雅黑"/>
        </w:rPr>
      </w:r>
    </w:p>
    <w:p>
      <w:pPr>
        <w:spacing w:after="0" w:line="20" w:lineRule="exact"/>
      </w:pPr>
      <w:bookmarkStart w:id="10" w:name="source-12067"/>
      <w:bookmarkEnd w:id="10" w:name="source-12067"/>
    </w:p>
    <w:p>
      <w:pPr>
        <w:pStyle w:val="ListBullet"/>
      </w:pPr>
      <w:r>
        <w:rPr>
          <w:rFonts w:ascii="微软雅黑" w:hAnsi="微软雅黑" w:eastAsia="微软雅黑" w:cs="微软雅黑"/>
        </w:rPr>
        <w:t>[10] 《电力杂志》｜</w:t>
      </w:r>
      <w:hyperlink r:id="rId20">
        <w:r>
          <w:rPr>
            <w:rFonts w:ascii="微软雅黑" w:hAnsi="微软雅黑" w:eastAsia="微软雅黑" w:cs="微软雅黑"/>
            <w:color w:val="087E89"/>
          </w:rPr>
          <w:t>FM 报告：随着电力与新能源风险不断演变，工程工作必须前移</w:t>
        </w:r>
      </w:hyperlink>
      <w:r>
        <w:rPr>
          <w:rFonts w:ascii="微软雅黑" w:hAnsi="微软雅黑" w:eastAsia="微软雅黑" w:cs="微软雅黑"/>
        </w:rPr>
      </w:r>
    </w:p>
    <w:p>
      <w:pPr>
        <w:spacing w:after="0" w:line="20" w:lineRule="exact"/>
      </w:pPr>
      <w:bookmarkStart w:id="11" w:name="source-11983"/>
      <w:bookmarkEnd w:id="11" w:name="source-11983"/>
    </w:p>
    <w:p>
      <w:pPr>
        <w:pStyle w:val="ListBullet"/>
      </w:pPr>
      <w:r>
        <w:rPr>
          <w:rFonts w:ascii="微软雅黑" w:hAnsi="微软雅黑" w:eastAsia="微软雅黑" w:cs="微软雅黑"/>
        </w:rPr>
        <w:t>[11] 人民日报｜</w:t>
      </w:r>
      <w:hyperlink r:id="rId21">
        <w:r>
          <w:rPr>
            <w:rFonts w:ascii="微软雅黑" w:hAnsi="微软雅黑" w:eastAsia="微软雅黑" w:cs="微软雅黑"/>
            <w:color w:val="087E89"/>
          </w:rPr>
          <w:t>我国推进7项天然气国际标准成功立项</w:t>
        </w:r>
      </w:hyperlink>
      <w:r>
        <w:rPr>
          <w:rFonts w:ascii="微软雅黑" w:hAnsi="微软雅黑" w:eastAsia="微软雅黑" w:cs="微软雅黑"/>
        </w:rPr>
      </w:r>
    </w:p>
    <w:p>
      <w:pPr>
        <w:spacing w:after="0" w:line="20" w:lineRule="exact"/>
      </w:pPr>
      <w:bookmarkStart w:id="12" w:name="source-11906"/>
      <w:bookmarkEnd w:id="12" w:name="source-11906"/>
    </w:p>
    <w:p>
      <w:pPr>
        <w:pStyle w:val="ListBullet"/>
      </w:pPr>
      <w:r>
        <w:rPr>
          <w:rFonts w:ascii="微软雅黑" w:hAnsi="微软雅黑" w:eastAsia="微软雅黑" w:cs="微软雅黑"/>
        </w:rPr>
        <w:t>[12] 人民财讯等｜</w:t>
      </w:r>
      <w:hyperlink r:id="rId22">
        <w:r>
          <w:rPr>
            <w:rFonts w:ascii="微软雅黑" w:hAnsi="微软雅黑" w:eastAsia="微软雅黑" w:cs="微软雅黑"/>
            <w:color w:val="087E89"/>
          </w:rPr>
          <w:t>我国推进7项天然气国际标准成功立项</w:t>
        </w:r>
      </w:hyperlink>
      <w:r>
        <w:rPr>
          <w:rFonts w:ascii="微软雅黑" w:hAnsi="微软雅黑" w:eastAsia="微软雅黑" w:cs="微软雅黑"/>
        </w:rPr>
      </w:r>
    </w:p>
    <w:p>
      <w:pPr>
        <w:spacing w:after="0" w:line="20" w:lineRule="exact"/>
      </w:pPr>
      <w:bookmarkStart w:id="13" w:name="source-11968"/>
      <w:bookmarkEnd w:id="13" w:name="source-11968"/>
    </w:p>
    <w:p>
      <w:pPr>
        <w:pStyle w:val="ListBullet"/>
      </w:pPr>
      <w:r>
        <w:rPr>
          <w:rFonts w:ascii="微软雅黑" w:hAnsi="微软雅黑" w:eastAsia="微软雅黑" w:cs="微软雅黑"/>
        </w:rPr>
        <w:t>[13] 光伏杂志国际版｜</w:t>
      </w:r>
      <w:hyperlink r:id="rId23">
        <w:r>
          <w:rPr>
            <w:rFonts w:ascii="微软雅黑" w:hAnsi="微软雅黑" w:eastAsia="微软雅黑" w:cs="微软雅黑"/>
            <w:color w:val="087E89"/>
          </w:rPr>
          <w:t>基于普鲁士蓝的钙钛矿太阳能电池实现 26.9% 效率</w:t>
        </w:r>
      </w:hyperlink>
      <w:r>
        <w:rPr>
          <w:rFonts w:ascii="微软雅黑" w:hAnsi="微软雅黑" w:eastAsia="微软雅黑" w:cs="微软雅黑"/>
        </w:rPr>
      </w:r>
    </w:p>
    <w:p>
      <w:pPr>
        <w:spacing w:after="0" w:line="20" w:lineRule="exact"/>
      </w:pPr>
      <w:bookmarkStart w:id="14" w:name="source-11967"/>
      <w:bookmarkEnd w:id="14" w:name="source-11967"/>
    </w:p>
    <w:p>
      <w:pPr>
        <w:pStyle w:val="ListBullet"/>
      </w:pPr>
      <w:r>
        <w:rPr>
          <w:rFonts w:ascii="微软雅黑" w:hAnsi="微软雅黑" w:eastAsia="微软雅黑" w:cs="微软雅黑"/>
        </w:rPr>
        <w:t>[14] 光伏杂志国际版｜</w:t>
      </w:r>
      <w:hyperlink r:id="rId24">
        <w:r>
          <w:rPr>
            <w:rFonts w:ascii="微软雅黑" w:hAnsi="微软雅黑" w:eastAsia="微软雅黑" w:cs="微软雅黑"/>
            <w:color w:val="087E89"/>
          </w:rPr>
          <w:t>银镍触点使TOPCon背面金属化成本降低11%</w:t>
        </w:r>
      </w:hyperlink>
      <w:r>
        <w:rPr>
          <w:rFonts w:ascii="微软雅黑" w:hAnsi="微软雅黑" w:eastAsia="微软雅黑" w:cs="微软雅黑"/>
        </w:rPr>
      </w:r>
    </w:p>
    <w:p>
      <w:pPr>
        <w:spacing w:after="0" w:line="20" w:lineRule="exact"/>
      </w:pPr>
      <w:bookmarkStart w:id="15" w:name="source-11883"/>
      <w:bookmarkEnd w:id="15" w:name="source-11883"/>
    </w:p>
    <w:p>
      <w:pPr>
        <w:pStyle w:val="ListBullet"/>
      </w:pPr>
      <w:r>
        <w:rPr>
          <w:rFonts w:ascii="微软雅黑" w:hAnsi="微软雅黑" w:eastAsia="微软雅黑" w:cs="微软雅黑"/>
        </w:rPr>
        <w:t>[15] 俄罗斯卫星通讯社｜</w:t>
      </w:r>
      <w:hyperlink r:id="rId25">
        <w:r>
          <w:rPr>
            <w:rFonts w:ascii="微软雅黑" w:hAnsi="微软雅黑" w:eastAsia="微软雅黑" w:cs="微软雅黑"/>
            <w:color w:val="087E89"/>
          </w:rPr>
          <w:t>中国首个海上注碳增气平台主体建造完工</w:t>
        </w:r>
      </w:hyperlink>
      <w:r>
        <w:rPr>
          <w:rFonts w:ascii="微软雅黑" w:hAnsi="微软雅黑" w:eastAsia="微软雅黑" w:cs="微软雅黑"/>
        </w:rPr>
      </w:r>
    </w:p>
    <w:p>
      <w:pPr>
        <w:spacing w:after="0" w:line="20" w:lineRule="exact"/>
      </w:pPr>
      <w:bookmarkStart w:id="16" w:name="source-12073"/>
      <w:bookmarkEnd w:id="16" w:name="source-12073"/>
    </w:p>
    <w:p>
      <w:pPr>
        <w:pStyle w:val="ListBullet"/>
      </w:pPr>
      <w:r>
        <w:rPr>
          <w:rFonts w:ascii="微软雅黑" w:hAnsi="微软雅黑" w:eastAsia="微软雅黑" w:cs="微软雅黑"/>
        </w:rPr>
        <w:t>[16] The Edge Malaysia等｜</w:t>
      </w:r>
      <w:hyperlink r:id="rId26">
        <w:r>
          <w:rPr>
            <w:rFonts w:ascii="微软雅黑" w:hAnsi="微软雅黑" w:eastAsia="微软雅黑" w:cs="微软雅黑"/>
            <w:color w:val="087E89"/>
          </w:rPr>
          <w:t>石油市场动荡可能持续多年，与会高管在伦敦会议上表示</w:t>
        </w:r>
      </w:hyperlink>
      <w:r>
        <w:rPr>
          <w:rFonts w:ascii="微软雅黑" w:hAnsi="微软雅黑" w:eastAsia="微软雅黑" w:cs="微软雅黑"/>
        </w:rPr>
      </w:r>
    </w:p>
    <w:p>
      <w:pPr>
        <w:spacing w:after="0" w:line="20" w:lineRule="exact"/>
      </w:pPr>
      <w:bookmarkStart w:id="17" w:name="source-11919"/>
      <w:bookmarkEnd w:id="17" w:name="source-11919"/>
    </w:p>
    <w:p>
      <w:pPr>
        <w:pStyle w:val="ListBullet"/>
      </w:pPr>
      <w:r>
        <w:rPr>
          <w:rFonts w:ascii="微软雅黑" w:hAnsi="微软雅黑" w:eastAsia="微软雅黑" w:cs="微软雅黑"/>
        </w:rPr>
        <w:t>[17] The Battery Magazine｜</w:t>
      </w:r>
      <w:hyperlink r:id="rId27">
        <w:r>
          <w:rPr>
            <w:rFonts w:ascii="微软雅黑" w:hAnsi="微软雅黑" w:eastAsia="微软雅黑" w:cs="微软雅黑"/>
            <w:color w:val="087E89"/>
          </w:rPr>
          <w:t>CERC因监管难题延长DSM赤字结算机制实施期限</w:t>
        </w:r>
      </w:hyperlink>
      <w:r>
        <w:rPr>
          <w:rFonts w:ascii="微软雅黑" w:hAnsi="微软雅黑" w:eastAsia="微软雅黑" w:cs="微软雅黑"/>
        </w:rPr>
      </w:r>
    </w:p>
    <w:p>
      <w:pPr>
        <w:spacing w:after="0" w:line="20" w:lineRule="exact"/>
      </w:pPr>
      <w:bookmarkStart w:id="18" w:name="source-12026"/>
      <w:bookmarkEnd w:id="18" w:name="source-12026"/>
    </w:p>
    <w:p>
      <w:pPr>
        <w:pStyle w:val="ListBullet"/>
      </w:pPr>
      <w:r>
        <w:rPr>
          <w:rFonts w:ascii="微软雅黑" w:hAnsi="微软雅黑" w:eastAsia="微软雅黑" w:cs="微软雅黑"/>
        </w:rPr>
        <w:t>[18] 清洁能源通讯社｜</w:t>
      </w:r>
      <w:hyperlink r:id="rId28">
        <w:r>
          <w:rPr>
            <w:rFonts w:ascii="微软雅黑" w:hAnsi="微软雅黑" w:eastAsia="微软雅黑" w:cs="微软雅黑"/>
            <w:color w:val="087E89"/>
          </w:rPr>
          <w:t>德国政府计划对风电场土地租赁设定上限引发争议</w:t>
        </w:r>
      </w:hyperlink>
      <w:r>
        <w:rPr>
          <w:rFonts w:ascii="微软雅黑" w:hAnsi="微软雅黑" w:eastAsia="微软雅黑" w:cs="微软雅黑"/>
        </w:rPr>
      </w:r>
    </w:p>
    <w:p>
      <w:pPr>
        <w:spacing w:after="0" w:line="20" w:lineRule="exact"/>
      </w:pPr>
      <w:bookmarkStart w:id="19" w:name="source-11971"/>
      <w:bookmarkEnd w:id="19" w:name="source-11971"/>
    </w:p>
    <w:p>
      <w:pPr>
        <w:pStyle w:val="ListBullet"/>
      </w:pPr>
      <w:r>
        <w:rPr>
          <w:rFonts w:ascii="微软雅黑" w:hAnsi="微软雅黑" w:eastAsia="微软雅黑" w:cs="微软雅黑"/>
        </w:rPr>
        <w:t>[19] 托克集团｜</w:t>
      </w:r>
      <w:hyperlink r:id="rId29">
        <w:r>
          <w:rPr>
            <w:rFonts w:ascii="微软雅黑" w:hAnsi="微软雅黑" w:eastAsia="微软雅黑" w:cs="微软雅黑"/>
            <w:color w:val="087E89"/>
          </w:rPr>
          <w:t>Volare Shipping 在奥斯陆泛欧交易所成长板完成上市</w:t>
        </w:r>
      </w:hyperlink>
      <w:r>
        <w:rPr>
          <w:rFonts w:ascii="微软雅黑" w:hAnsi="微软雅黑" w:eastAsia="微软雅黑" w:cs="微软雅黑"/>
        </w:rPr>
      </w:r>
    </w:p>
    <w:p>
      <w:pPr>
        <w:spacing w:after="0" w:line="20" w:lineRule="exact"/>
      </w:pPr>
      <w:bookmarkStart w:id="20" w:name="source-11855"/>
      <w:bookmarkEnd w:id="20" w:name="source-11855"/>
    </w:p>
    <w:p>
      <w:pPr>
        <w:pStyle w:val="ListBullet"/>
      </w:pPr>
      <w:r>
        <w:rPr>
          <w:rFonts w:ascii="微软雅黑" w:hAnsi="微软雅黑" w:eastAsia="微软雅黑" w:cs="微软雅黑"/>
        </w:rPr>
        <w:t>[20] 韩国联合通讯社｜</w:t>
      </w:r>
      <w:hyperlink r:id="rId30">
        <w:r>
          <w:rPr>
            <w:rFonts w:ascii="微软雅黑" w:hAnsi="微软雅黑" w:eastAsia="微软雅黑" w:cs="微软雅黑"/>
            <w:color w:val="087E89"/>
          </w:rPr>
          <w:t>半个世纪以来的核电逆向出口……突破西屋反对的前前后后</w:t>
        </w:r>
      </w:hyperlink>
      <w:r>
        <w:rPr>
          <w:rFonts w:ascii="微软雅黑" w:hAnsi="微软雅黑" w:eastAsia="微软雅黑" w:cs="微软雅黑"/>
        </w:rPr>
      </w:r>
    </w:p>
    <w:p>
      <w:pPr>
        <w:spacing w:after="0" w:line="20" w:lineRule="exact"/>
      </w:pPr>
      <w:bookmarkStart w:id="21" w:name="source-12060"/>
      <w:bookmarkEnd w:id="21" w:name="source-12060"/>
    </w:p>
    <w:p>
      <w:pPr>
        <w:pStyle w:val="ListBullet"/>
      </w:pPr>
      <w:r>
        <w:rPr>
          <w:rFonts w:ascii="微软雅黑" w:hAnsi="微软雅黑" w:eastAsia="微软雅黑" w:cs="微软雅黑"/>
        </w:rPr>
        <w:t>[21] Power Technology｜</w:t>
      </w:r>
      <w:hyperlink r:id="rId31">
        <w:r>
          <w:rPr>
            <w:rFonts w:ascii="微软雅黑" w:hAnsi="微软雅黑" w:eastAsia="微软雅黑" w:cs="微软雅黑"/>
            <w:color w:val="087E89"/>
          </w:rPr>
          <w:t>住友将在印度投资500MWp可再生能源项目</w:t>
        </w:r>
      </w:hyperlink>
      <w:r>
        <w:rPr>
          <w:rFonts w:ascii="微软雅黑" w:hAnsi="微软雅黑" w:eastAsia="微软雅黑" w:cs="微软雅黑"/>
        </w:rPr>
      </w:r>
    </w:p>
    <w:p>
      <w:pPr>
        <w:spacing w:after="0" w:line="20" w:lineRule="exact"/>
      </w:pPr>
      <w:bookmarkStart w:id="22" w:name="source-12054"/>
      <w:bookmarkEnd w:id="22" w:name="source-12054"/>
    </w:p>
    <w:p>
      <w:pPr>
        <w:pStyle w:val="ListBullet"/>
      </w:pPr>
      <w:r>
        <w:rPr>
          <w:rFonts w:ascii="微软雅黑" w:hAnsi="微软雅黑" w:eastAsia="微软雅黑" w:cs="微软雅黑"/>
        </w:rPr>
        <w:t>[22] 《液化天然气工业》｜</w:t>
      </w:r>
      <w:hyperlink r:id="rId32">
        <w:r>
          <w:rPr>
            <w:rFonts w:ascii="微软雅黑" w:hAnsi="微软雅黑" w:eastAsia="微软雅黑" w:cs="微软雅黑"/>
            <w:color w:val="087E89"/>
          </w:rPr>
          <w:t>Höegh Evi 与 PETROS 将在马来西亚砂拉越州开发液化天然气终端</w:t>
        </w:r>
      </w:hyperlink>
      <w:r>
        <w:rPr>
          <w:rFonts w:ascii="微软雅黑" w:hAnsi="微软雅黑" w:eastAsia="微软雅黑" w:cs="微软雅黑"/>
        </w:rPr>
      </w:r>
    </w:p>
    <w:p>
      <w:pPr>
        <w:spacing w:after="0" w:line="20" w:lineRule="exact"/>
      </w:pPr>
      <w:bookmarkStart w:id="23" w:name="source-12047"/>
      <w:bookmarkEnd w:id="23" w:name="source-12047"/>
    </w:p>
    <w:p>
      <w:pPr>
        <w:pStyle w:val="ListBullet"/>
      </w:pPr>
      <w:r>
        <w:rPr>
          <w:rFonts w:ascii="微软雅黑" w:hAnsi="微软雅黑" w:eastAsia="微软雅黑" w:cs="微软雅黑"/>
        </w:rPr>
        <w:t>[23] 《世界煤炭》｜</w:t>
      </w:r>
      <w:hyperlink r:id="rId33">
        <w:r>
          <w:rPr>
            <w:rFonts w:ascii="微软雅黑" w:hAnsi="微软雅黑" w:eastAsia="微软雅黑" w:cs="微软雅黑"/>
            <w:color w:val="087E89"/>
          </w:rPr>
          <w:t>兖煤成功完成对Kestrel煤矿80%权益的收购</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eia.gov/todayinenergy/detail.php?id=68245" TargetMode="External"/><Relationship Id="rId12" Type="http://schemas.openxmlformats.org/officeDocument/2006/relationships/hyperlink" Target="https://www.power-technology.com/news/rezolv-192mw-phase-1-romanias-vifor-wind/" TargetMode="External"/><Relationship Id="rId13" Type="http://schemas.openxmlformats.org/officeDocument/2006/relationships/hyperlink" Target="https://www.fx678.com/C/20261005/202610051710569092.html" TargetMode="External"/><Relationship Id="rId14" Type="http://schemas.openxmlformats.org/officeDocument/2006/relationships/hyperlink" Target="https://www.aa.com.tr/en/energy/natural-gas/european-gas-prices-rise-as-hormuz-risks-fuel-lng-supply-concerns/60048" TargetMode="External"/><Relationship Id="rId15" Type="http://schemas.openxmlformats.org/officeDocument/2006/relationships/hyperlink" Target="https://finance.sina.com.cn/jjxw/2026-10-05/doc-iniuciqp3202267.shtml" TargetMode="External"/><Relationship Id="rId16" Type="http://schemas.openxmlformats.org/officeDocument/2006/relationships/hyperlink" Target="https://www.world-nuclear-news.org/articles/europe-delivers-final-iter-vacuum-vessel-sector" TargetMode="External"/><Relationship Id="rId17" Type="http://schemas.openxmlformats.org/officeDocument/2006/relationships/hyperlink" Target="https://www.power-technology.com/news/al-morjan-secures-financing-rabigh-2/" TargetMode="External"/><Relationship Id="rId18" Type="http://schemas.openxmlformats.org/officeDocument/2006/relationships/hyperlink" Target="https://www.ccarbon.info/news/india-notifies-new-corporate-average-fuel-economy-cafe-norms-targeting-16-7-improvement-in-passenger-vehicle-fuel-efficiency/" TargetMode="External"/><Relationship Id="rId19" Type="http://schemas.openxmlformats.org/officeDocument/2006/relationships/hyperlink" Target="https://mupk42.ru/ru/press-center/news/novosti-ministerstva/ugolnye-khvosty-prevrashchayut-v-tsennyy-resurs-programma-chistyy-ugol-zelyenyy-kuzbass-vykhodit-na-/" TargetMode="External"/><Relationship Id="rId20" Type="http://schemas.openxmlformats.org/officeDocument/2006/relationships/hyperlink" Target="https://www.powermag.com/fm-report-with-power-and-renewables-risks-evolving-engineering-must-move-upstream/" TargetMode="External"/><Relationship Id="rId21" Type="http://schemas.openxmlformats.org/officeDocument/2006/relationships/hyperlink" Target="http://finance.people.com.cn/n1/2026/1005/c1004-40809669.html" TargetMode="External"/><Relationship Id="rId22" Type="http://schemas.openxmlformats.org/officeDocument/2006/relationships/hyperlink" Target="https://www.stcn.com/article/detail/4206387.html" TargetMode="External"/><Relationship Id="rId23" Type="http://schemas.openxmlformats.org/officeDocument/2006/relationships/hyperlink" Target="https://www.pv-magazine.com/2026/10/05/perovskite-solar-cell-based-on-prussian-blue-achieves-26-9-efficiency/" TargetMode="External"/><Relationship Id="rId24" Type="http://schemas.openxmlformats.org/officeDocument/2006/relationships/hyperlink" Target="https://www.pv-magazine.com/2026/10/05/silver-nickel-contacts-cut-topcon-rear-metallization-costs-by-11/" TargetMode="External"/><Relationship Id="rId25" Type="http://schemas.openxmlformats.org/officeDocument/2006/relationships/hyperlink" Target="https://sputniknews.cn/20261005/1073494553.html" TargetMode="External"/><Relationship Id="rId26" Type="http://schemas.openxmlformats.org/officeDocument/2006/relationships/hyperlink" Target="https://theedgemalaysia.com/node/820628" TargetMode="External"/><Relationship Id="rId27" Type="http://schemas.openxmlformats.org/officeDocument/2006/relationships/hyperlink" Target="https://www.thebatterymagazine.com/cerc-extends-dsm-deficit-settlement-deadline-amid-regulatory-challenges/" TargetMode="External"/><Relationship Id="rId28" Type="http://schemas.openxmlformats.org/officeDocument/2006/relationships/hyperlink" Target="https://www.cleanenergywire.org/news/german-government-plan-cap-wind-farm-land-leases-sparks-controversy" TargetMode="External"/><Relationship Id="rId29" Type="http://schemas.openxmlformats.org/officeDocument/2006/relationships/hyperlink" Target="https://www.trafigura.com/news-and-insights/press-releases/2026/volare-shipping-completes-listing-on-euronext-growth-oslo/" TargetMode="External"/><Relationship Id="rId30" Type="http://schemas.openxmlformats.org/officeDocument/2006/relationships/hyperlink" Target="https://www.yna.co.kr/view/AKR20261003044800003?section=industry/energy-resource" TargetMode="External"/><Relationship Id="rId31" Type="http://schemas.openxmlformats.org/officeDocument/2006/relationships/hyperlink" Target="https://www.power-technology.com/news/sumitomo-invest-500mwp-renewable-india/" TargetMode="External"/><Relationship Id="rId32" Type="http://schemas.openxmlformats.org/officeDocument/2006/relationships/hyperlink" Target="https://www.lngindustry.com/liquid-natural-gas/05102026/hegh-evi-and-petros-to-develop-lng-terminal-in-sarawak-malaysia/" TargetMode="External"/><Relationship Id="rId33" Type="http://schemas.openxmlformats.org/officeDocument/2006/relationships/hyperlink" Target="https://www.worldcoal.com/coal/05102026/yancoal-successfully-completes-the-acquisition-of-an-80-interest-in-the-kestrel-coal-m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2026年10月5日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