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信息覆盖时段：2026-10-20 00:00 至 2026-10-21 00:00（不含），Asia/Shanghai。</w:t>
      </w:r>
    </w:p>
    <w:p>
      <w:pPr/>
      <w:r>
        <w:rPr>
          <w:rFonts w:ascii="微软雅黑" w:hAnsi="微软雅黑" w:eastAsia="微软雅黑" w:cs="微软雅黑"/>
        </w:rPr>
        <w:t>统计区间：2026-10-20 至 2026-10-21（结束日不含，北京时间）</w:t>
      </w:r>
    </w:p>
    <w:p>
      <w:pPr>
        <w:ind w:firstLine="420"/>
      </w:pPr>
      <w:r>
        <w:rPr>
          <w:rFonts w:ascii="微软雅黑" w:hAnsi="微软雅黑" w:eastAsia="微软雅黑" w:cs="微软雅黑"/>
        </w:rPr>
        <w:t>资料更新截止：2026-10-21 04:04（北京时间）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乌克兰全境实施工业限电，12个州断电 </w:t>
      </w:r>
      <w:hyperlink w:anchor="source-24324">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4198">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卡塔尔和巴基斯坦据报提出新方案推动结束伊朗战争，布伦特原油跌3% </w:t>
      </w:r>
      <w:hyperlink w:anchor="source-24233">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4228">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拉文纳CCS二期项目入选欧盟创新基金资助 </w:t>
      </w:r>
      <w:hyperlink w:anchor="source-24281">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贵州能源监管办组织宣贯新修订电力安全事故应急处置条例 </w:t>
      </w:r>
      <w:hyperlink w:anchor="source-24255">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伊朗革命卫队称两艘油轮在霍尔木兹海峡触雷起火 </w:t>
      </w:r>
      <w:hyperlink w:anchor="source-24197">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23682">
        <w:r>
          <w:rPr>
            <w:rFonts w:ascii="微软雅黑" w:hAnsi="微软雅黑" w:eastAsia="微软雅黑" w:cs="微软雅黑"/>
            <w:color w:val="087E89"/>
          </w:rPr>
          <w:t>8</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12月交割布伦特原油期货价格</w:t>
            </w:r>
          </w:p>
        </w:tc>
        <w:tc>
          <w:tcPr>
            <w:tcW w:type="dxa" w:w="2268"/>
          </w:tcPr>
          <w:p>
            <w:pPr>
              <w:spacing w:after="40"/>
            </w:pPr>
            <w:r>
              <w:rPr>
                <w:rFonts w:ascii="微软雅黑" w:hAnsi="微软雅黑" w:eastAsia="微软雅黑" w:cs="微软雅黑"/>
              </w:rPr>
              <w:t>每桶106.76美元（下跌3%）</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4233">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4228">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Ravenna CCS项目2030年CO₂封存能力目标</w:t>
            </w:r>
          </w:p>
        </w:tc>
        <w:tc>
          <w:tcPr>
            <w:tcW w:type="dxa" w:w="2268"/>
          </w:tcPr>
          <w:p>
            <w:pPr>
              <w:spacing w:after="40"/>
            </w:pPr>
            <w:r>
              <w:rPr>
                <w:rFonts w:ascii="微软雅黑" w:hAnsi="微软雅黑" w:eastAsia="微软雅黑" w:cs="微软雅黑"/>
              </w:rPr>
              <w:t>每年400万吨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4281">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Ravenna CCS项目总封存容量</w:t>
            </w:r>
          </w:p>
        </w:tc>
        <w:tc>
          <w:tcPr>
            <w:tcW w:type="dxa" w:w="2268"/>
          </w:tcPr>
          <w:p>
            <w:pPr>
              <w:spacing w:after="40"/>
            </w:pPr>
            <w:r>
              <w:rPr>
                <w:rFonts w:ascii="微软雅黑" w:hAnsi="微软雅黑" w:eastAsia="微软雅黑" w:cs="微软雅黑"/>
              </w:rPr>
              <w:t>约5亿吨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4281">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氢能综合应用试点城市群数量</w:t>
            </w:r>
          </w:p>
        </w:tc>
        <w:tc>
          <w:tcPr>
            <w:tcW w:type="dxa" w:w="2268"/>
          </w:tcPr>
          <w:p>
            <w:pPr>
              <w:spacing w:after="40"/>
            </w:pPr>
            <w:r>
              <w:rPr>
                <w:rFonts w:ascii="微软雅黑" w:hAnsi="微软雅黑" w:eastAsia="微软雅黑" w:cs="微软雅黑"/>
              </w:rPr>
              <w:t>5个</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3758">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23996">
              <w:r>
                <w:rPr>
                  <w:rFonts w:ascii="微软雅黑" w:hAnsi="微软雅黑" w:eastAsia="微软雅黑" w:cs="微软雅黑"/>
                  <w:color w:val="087E89"/>
                </w:rPr>
                <w:t>12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氢能综合应用试点期限</w:t>
            </w:r>
          </w:p>
        </w:tc>
        <w:tc>
          <w:tcPr>
            <w:tcW w:type="dxa" w:w="2268"/>
          </w:tcPr>
          <w:p>
            <w:pPr>
              <w:spacing w:after="40"/>
            </w:pPr>
            <w:r>
              <w:rPr>
                <w:rFonts w:ascii="微软雅黑" w:hAnsi="微软雅黑" w:eastAsia="微软雅黑" w:cs="微软雅黑"/>
              </w:rPr>
              <w:t>4年</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3758">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23996">
              <w:r>
                <w:rPr>
                  <w:rFonts w:ascii="微软雅黑" w:hAnsi="微软雅黑" w:eastAsia="微软雅黑" w:cs="微软雅黑"/>
                  <w:color w:val="087E89"/>
                </w:rPr>
                <w:t>12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俄罗斯原子能公司对印尼浮式核电机组总装机容量</w:t>
            </w:r>
          </w:p>
        </w:tc>
        <w:tc>
          <w:tcPr>
            <w:tcW w:type="dxa" w:w="2268"/>
          </w:tcPr>
          <w:p>
            <w:pPr>
              <w:spacing w:after="40"/>
            </w:pPr>
            <w:r>
              <w:rPr>
                <w:rFonts w:ascii="微软雅黑" w:hAnsi="微软雅黑" w:eastAsia="微软雅黑" w:cs="微软雅黑"/>
              </w:rPr>
              <w:t>200兆瓦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3960">
              <w:r>
                <w:rPr>
                  <w:rFonts w:ascii="微软雅黑" w:hAnsi="微软雅黑" w:eastAsia="微软雅黑" w:cs="微软雅黑"/>
                  <w:color w:val="087E89"/>
                </w:rPr>
                <w:t>13</w:t>
              </w:r>
            </w:hyperlink>
            <w:r>
              <w:rPr>
                <w:rFonts w:ascii="微软雅黑" w:hAnsi="微软雅黑" w:eastAsia="微软雅黑" w:cs="微软雅黑"/>
              </w:rPr>
              <w:t xml:space="preserve"> </w:t>
            </w:r>
            <w:hyperlink w:anchor="source-23508">
              <w:r>
                <w:rPr>
                  <w:rFonts w:ascii="微软雅黑" w:hAnsi="微软雅黑" w:eastAsia="微软雅黑" w:cs="微软雅黑"/>
                  <w:color w:val="087E89"/>
                </w:rPr>
                <w:t>14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澳大利亚Bungaban风电项目装机容量</w:t>
            </w:r>
          </w:p>
        </w:tc>
        <w:tc>
          <w:tcPr>
            <w:tcW w:type="dxa" w:w="2268"/>
          </w:tcPr>
          <w:p>
            <w:pPr>
              <w:spacing w:after="40"/>
            </w:pPr>
            <w:r>
              <w:rPr>
                <w:rFonts w:ascii="微软雅黑" w:hAnsi="微软雅黑" w:eastAsia="微软雅黑" w:cs="微软雅黑"/>
              </w:rPr>
              <w:t>1.4吉瓦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3857">
              <w:r>
                <w:rPr>
                  <w:rFonts w:ascii="微软雅黑" w:hAnsi="微软雅黑" w:eastAsia="微软雅黑" w:cs="微软雅黑"/>
                  <w:color w:val="087E89"/>
                </w:rPr>
                <w:t>15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澳大利亚Bungaban风电项目寻求融资额</w:t>
            </w:r>
          </w:p>
        </w:tc>
        <w:tc>
          <w:tcPr>
            <w:tcW w:type="dxa" w:w="2268"/>
          </w:tcPr>
          <w:p>
            <w:pPr>
              <w:spacing w:after="40"/>
            </w:pPr>
            <w:r>
              <w:rPr>
                <w:rFonts w:ascii="微软雅黑" w:hAnsi="微软雅黑" w:eastAsia="微软雅黑" w:cs="微软雅黑"/>
              </w:rPr>
              <w:t>至少15亿澳元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3857">
              <w:r>
                <w:rPr>
                  <w:rFonts w:ascii="微软雅黑" w:hAnsi="微软雅黑" w:eastAsia="微软雅黑" w:cs="微软雅黑"/>
                  <w:color w:val="087E89"/>
                </w:rPr>
                <w:t>15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澳大利亚Bungaban风电项目总成本</w:t>
            </w:r>
          </w:p>
        </w:tc>
        <w:tc>
          <w:tcPr>
            <w:tcW w:type="dxa" w:w="2268"/>
          </w:tcPr>
          <w:p>
            <w:pPr>
              <w:spacing w:after="40"/>
            </w:pPr>
            <w:r>
              <w:rPr>
                <w:rFonts w:ascii="微软雅黑" w:hAnsi="微软雅黑" w:eastAsia="微软雅黑" w:cs="微软雅黑"/>
              </w:rPr>
              <w:t>50亿澳元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3857">
              <w:r>
                <w:rPr>
                  <w:rFonts w:ascii="微软雅黑" w:hAnsi="微软雅黑" w:eastAsia="微软雅黑" w:cs="微软雅黑"/>
                  <w:color w:val="087E89"/>
                </w:rPr>
                <w:t>15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南方电网新型储能巨系统规划总容量</w:t>
            </w:r>
          </w:p>
        </w:tc>
        <w:tc>
          <w:tcPr>
            <w:tcW w:type="dxa" w:w="2268"/>
          </w:tcPr>
          <w:p>
            <w:pPr>
              <w:spacing w:after="40"/>
            </w:pPr>
            <w:r>
              <w:rPr>
                <w:rFonts w:ascii="微软雅黑" w:hAnsi="微软雅黑" w:eastAsia="微软雅黑" w:cs="微软雅黑"/>
              </w:rPr>
              <w:t>6000万千瓦至1亿千瓦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4266">
              <w:r>
                <w:rPr>
                  <w:rFonts w:ascii="微软雅黑" w:hAnsi="微软雅黑" w:eastAsia="微软雅黑" w:cs="微软雅黑"/>
                  <w:color w:val="087E89"/>
                </w:rPr>
                <w:t>16</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伊朗革命卫队称两艘油轮在霍尔木兹海峡触雷起火</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伊朗伊斯兰革命卫队20日表示，两艘“违规”油轮在霍尔木兹海峡触碰其海军部队布设的水雷后起火并被迫停航；同日波斯湾海峡管理局称已将122艘船只列入“违规船只名单”。</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革命卫队旗下赛帕新闻网声明，两艘油轮试图经由海峡南侧一条“非法”航线通过时触雷，导致爆炸起火并被迫停航。声明警告穿越布设水雷区域属“非法”行为，将导致“违规者”资产被焚毁，并称若美方继续此类“恶意行径”，石油公司将面临更惨痛的代价。另据伊朗媒体报道，波斯湾海峡管理局10月20日表示已将122艘船只列入“违规船只名单”，对其中40多艘采取行动，19艘正协商移除，两艘已履行义务被移除，近30艘收到警告。</w:t>
      </w:r>
    </w:p>
    <w:p>
      <w:pPr>
        <w:ind w:firstLine="420"/>
      </w:pPr>
      <w:r>
        <w:rPr>
          <w:rFonts w:ascii="微软雅黑" w:hAnsi="微软雅黑" w:eastAsia="微软雅黑" w:cs="微软雅黑"/>
        </w:rPr>
        <w:t>来源：</w:t>
      </w:r>
      <w:hyperlink w:anchor="source-24197">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23682">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2. 卡塔尔和巴基斯坦据报提出新方案推动结束伊朗战争，布伦特原油跌3%</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一则未经证实的报道称，卡塔尔和巴基斯坦调停方在美伊谈判中提出新方案，试图重启谈判以结束伊朗战争，布伦特原油价格随之下跌逾3%，从五个月高点回落。</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伦敦时间下午1:41，12月交割的布伦特原油期货下跌3%，报每桶106.76美元，此前中东敌对行动升级、伊朗加大对海峡内油轮的袭击，油价近几日一度攀升至五个月高点。彭博社和《华尔街日报》表示未能证实该消息。欧洲天然气期货也出现下跌。</w:t>
      </w:r>
    </w:p>
    <w:p>
      <w:pPr>
        <w:ind w:firstLine="420"/>
      </w:pPr>
      <w:r>
        <w:rPr>
          <w:rFonts w:ascii="微软雅黑" w:hAnsi="微软雅黑" w:eastAsia="微软雅黑" w:cs="微软雅黑"/>
        </w:rPr>
        <w:t>来源：</w:t>
      </w:r>
      <w:hyperlink w:anchor="source-24233">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4228">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3. 胡塞武装48小时内六次袭击沙特，涉及机场、延布沙特阿美设施及沙伊巴油田</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也门胡塞武装称过去48小时对沙特阿拉伯发动六次行动，目标包括军事设施、机场和石油基础设施；伊朗伊斯兰革命卫队威胁打击经霍尔木兹海峡的通信电缆。</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也门胡塞武装军事发言人叶海亚·萨里称，过去48小时对沙特实施六次行动，目标包括军事设施、机场和石油基础设施，涉及利雅得国王哈立德国际机场、沙特阿美在红海岸延布的设施以及靠近阿联酋边界的沙伊巴油田。据Kpler数据，过去两周中东地区至少18艘船只遭到袭击。伊朗伊斯兰革命卫队准将侯赛因·穆哈梅迪警告美国，并威胁打击经过霍尔木兹海峡的通信电缆，称“如果该地区对伊朗变得不安全，那么对任何人都不安全”。</w:t>
      </w:r>
    </w:p>
    <w:p>
      <w:pPr>
        <w:ind w:firstLine="420"/>
      </w:pPr>
      <w:r>
        <w:rPr>
          <w:rFonts w:ascii="微软雅黑" w:hAnsi="微软雅黑" w:eastAsia="微软雅黑" w:cs="微软雅黑"/>
        </w:rPr>
        <w:t>来源：</w:t>
      </w:r>
      <w:hyperlink w:anchor="source-24095">
        <w:r>
          <w:rPr>
            <w:rFonts w:ascii="微软雅黑" w:hAnsi="微软雅黑" w:eastAsia="微软雅黑" w:cs="微软雅黑"/>
            <w:color w:val="087E89"/>
          </w:rPr>
          <w:t>23</w:t>
        </w:r>
      </w:hyperlink>
      <w:r>
        <w:rPr>
          <w:rFonts w:ascii="微软雅黑" w:hAnsi="微软雅黑" w:eastAsia="微软雅黑" w:cs="微软雅黑"/>
        </w:rPr>
        <w:t xml:space="preserve"> </w:t>
      </w:r>
      <w:hyperlink w:anchor="source-24228">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4. 欧洲天然气基准价格盘中突破90欧元创2022年12月以来新高</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10月20日，欧洲天然气基准价格荷兰TTF天然气11月期货盘中突破每兆瓦时90欧元，创2022年12月以来新高，较中东战事爆发前的约32欧元大幅上涨。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20日，作为欧洲天然气基准价格的荷兰所有权转让中心（TTF）天然气11月期货价格盘中突破每兆瓦时90欧元，创2022年12月以来新高，较中东战事爆发前的约32欧元大幅上涨。据欧洲天然气基础设施协会（GIE）数据，截至10月19日，欧盟各国储气库充盈率为74.6%，低于去年同期的85%。市场分析认为，中东战事导致海湾地区液化天然气出口持续受阻，叠加能源运输安全风险高企，全球天然气供应紧张状况持续。</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随着冬季供暖季临近，欧洲补充天然气库存的压力进一步加大；欧洲与亚洲两大液化天然气进口市场需求增加，恐将进一步推高天然气价格。</w:t>
      </w:r>
    </w:p>
    <w:p>
      <w:pPr>
        <w:ind w:firstLine="420"/>
      </w:pPr>
      <w:r>
        <w:rPr>
          <w:rFonts w:ascii="微软雅黑" w:hAnsi="微软雅黑" w:eastAsia="微软雅黑" w:cs="微软雅黑"/>
        </w:rPr>
        <w:t>来源：</w:t>
      </w:r>
      <w:hyperlink w:anchor="source-24196">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24010">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5. 埃尼启动埃及西部沙漠Meleiha二期天然气项目投产活动</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埃尼在埃及西部沙漠启动Meleiha二期天然气项目投产活动，项目包含开发井、集输系统、干线管道和一条专用天然气外输管道。</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项目由Agiba Petroleum Company开发，该公司是Eni与埃及通用石油公司（EGPC）的合资企业。Meleiha二期包含一体化基础设施系统，包括开发井、集输系统、干线管道和一条新建专用天然气外输管道，将新增产量接入埃及现有天然气管网。新建设施的设计处理能力最高为每日1亿标准立方英尺天然气。该项目是Meleiha合并区块内新天然气枢纽建设的关键里程碑，将大幅提升该区域油田产量的天然气处理能力，支持国内天然气产量增长。Eni自1954年起在埃及经营，目前是该国最大的能源生产商，2025年权益口径油气产量约为每日24.2万桶油当量。</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项目将有助于增加埃及国内市场的天然气供应量，并通过开发西部沙漠潜力增强埃及能源安全。</w:t>
      </w:r>
    </w:p>
    <w:p>
      <w:pPr>
        <w:ind w:firstLine="420"/>
      </w:pPr>
      <w:r>
        <w:rPr>
          <w:rFonts w:ascii="微软雅黑" w:hAnsi="微软雅黑" w:eastAsia="微软雅黑" w:cs="微软雅黑"/>
        </w:rPr>
        <w:t>来源：</w:t>
      </w:r>
      <w:hyperlink w:anchor="source-24153">
        <w:r>
          <w:rPr>
            <w:rFonts w:ascii="微软雅黑" w:hAnsi="微软雅黑" w:eastAsia="微软雅黑" w:cs="微软雅黑"/>
            <w:color w:val="087E89"/>
          </w:rPr>
          <w:t>26</w:t>
        </w:r>
      </w:hyperlink>
      <w:r>
        <w:rPr>
          <w:rFonts w:ascii="微软雅黑" w:hAnsi="微软雅黑" w:eastAsia="微软雅黑" w:cs="微软雅黑"/>
        </w:rPr>
        <w:t xml:space="preserve"> </w:t>
      </w:r>
      <w:hyperlink w:anchor="source-24179">
        <w:r>
          <w:rPr>
            <w:rFonts w:ascii="微软雅黑" w:hAnsi="微软雅黑" w:eastAsia="微软雅黑" w:cs="微软雅黑"/>
            <w:color w:val="087E89"/>
          </w:rPr>
          <w:t>27</w:t>
        </w:r>
      </w:hyperlink>
      <w:r>
        <w:rPr>
          <w:rFonts w:ascii="微软雅黑" w:hAnsi="微软雅黑" w:eastAsia="微软雅黑" w:cs="微软雅黑"/>
        </w:rPr>
        <w:t xml:space="preserve"> </w:t>
      </w:r>
      <w:hyperlink w:anchor="source-23878">
        <w:r>
          <w:rPr>
            <w:rFonts w:ascii="微软雅黑" w:hAnsi="微软雅黑" w:eastAsia="微软雅黑" w:cs="微软雅黑"/>
            <w:color w:val="087E89"/>
          </w:rPr>
          <w:t>28</w:t>
        </w:r>
      </w:hyperlink>
      <w:r>
        <w:rPr>
          <w:rFonts w:ascii="微软雅黑" w:hAnsi="微软雅黑" w:eastAsia="微软雅黑" w:cs="微软雅黑"/>
        </w:rPr>
      </w:r>
    </w:p>
    <w:p>
      <w:pPr>
        <w:pStyle w:val="Heading3"/>
      </w:pPr>
      <w:r>
        <w:rPr>
          <w:rFonts w:ascii="微软雅黑" w:hAnsi="微软雅黑" w:eastAsia="微软雅黑" w:cs="微软雅黑"/>
        </w:rPr>
        <w:t>6. 前三季度全国铁路发送煤炭20.50亿吨，同比增长0.3%</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前三季度全国铁路发送煤炭20.50亿吨，同比增长0.3%；集装箱8.48亿吨，同比增长9.1%；化肥及农药4018万吨，同比增长12.0%。</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前三季度全国铁路完成货物发送量39.41亿吨，同比增长0.8%；货物周转量28527.82亿吨公里，同比增长5.7%。其中发送煤炭20.50亿吨，同比增长0.3%；集装箱8.48亿吨，同比增长9.1%；化肥及农药4018万吨，同比增长12.0%。同期完成旅客发送量37.06亿人，同比增长4.8%；旅客周转量13134.57亿人公里，同比增长1.7%。固定资产投资完成6012亿元，同比增长1.3%。</w:t>
      </w:r>
    </w:p>
    <w:p>
      <w:pPr>
        <w:ind w:firstLine="420"/>
      </w:pPr>
      <w:r>
        <w:rPr>
          <w:rFonts w:ascii="微软雅黑" w:hAnsi="微软雅黑" w:eastAsia="微软雅黑" w:cs="微软雅黑"/>
        </w:rPr>
        <w:t>来源：</w:t>
      </w:r>
      <w:hyperlink w:anchor="source-24318">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7. 俄原子能公司与印尼签署全球首个浮式核电站供电出口协议</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俄罗斯原子能公司与印尼PT Pembangkit Listrik Nuklir签署协议，将利用浮式核电机组向印尼东部北马鲁古省用户供电。该协议在莫斯科举行的俄罗斯能源周论坛期间敲定，是全球首个以浮式核电机组供应电力的出口协议。</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Rosatom将提供两台PEB-100浮式发电机组，总装机容量200兆瓦。该浮式电站基于RITM反应堆系列设计，此前已在核动力破冰船上运行并证明了效率、可靠性与安全性。供电时间安排在主合同条款生效五年后开始。项目将完全由私人投资融资，不使用印度尼西亚政府资金。</w:t>
      </w:r>
    </w:p>
    <w:p>
      <w:pPr>
        <w:ind w:firstLine="420"/>
      </w:pPr>
      <w:r>
        <w:rPr>
          <w:rFonts w:ascii="微软雅黑" w:hAnsi="微软雅黑" w:eastAsia="微软雅黑" w:cs="微软雅黑"/>
        </w:rPr>
        <w:t>来源：</w:t>
      </w:r>
      <w:hyperlink w:anchor="source-23960">
        <w:r>
          <w:rPr>
            <w:rFonts w:ascii="微软雅黑" w:hAnsi="微软雅黑" w:eastAsia="微软雅黑" w:cs="微软雅黑"/>
            <w:color w:val="087E89"/>
          </w:rPr>
          <w:t>13</w:t>
        </w:r>
      </w:hyperlink>
      <w:r>
        <w:rPr>
          <w:rFonts w:ascii="微软雅黑" w:hAnsi="微软雅黑" w:eastAsia="微软雅黑" w:cs="微软雅黑"/>
        </w:rPr>
        <w:t xml:space="preserve"> </w:t>
      </w:r>
      <w:hyperlink w:anchor="source-23508">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8. 乌克兰全境实施工业限电，12个州断电</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乌克兰国家电力公司20日上午在社交媒体宣布，因受此前的俄军空袭影响，乌克兰全境开始实施工业限电。</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乌国家电力公司称，截至20日早上，乌境内共有12个州发生断电；为预防受损电力设施过载，当天将限制乌全境的工业用电，部分州将实施全面轮流停电。乌克兰总统泽连斯基19日称，18日晚至19日凌晨，俄军对乌境内能源设施发动大规模弹道导弹和无人机袭击，导致28处变电站和关键能源基础设施受损，至少55万户家庭断电。</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乌全境工业用电受限，部分州实施全面轮流停电。</w:t>
      </w:r>
    </w:p>
    <w:p>
      <w:pPr>
        <w:ind w:firstLine="420"/>
      </w:pPr>
      <w:r>
        <w:rPr>
          <w:rFonts w:ascii="微软雅黑" w:hAnsi="微软雅黑" w:eastAsia="微软雅黑" w:cs="微软雅黑"/>
        </w:rPr>
        <w:t>来源：</w:t>
      </w:r>
      <w:hyperlink w:anchor="source-24324">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4198">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9. 越南工贸部就修订零售电价结构决定草案征求意见</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越南工贸部于10月19日发布第8615/BCT-ĐL号公函，就修订补充总理第14/2025/QĐ-TTg号决定（规定零售电价结构）部分条款的决定草案征求意见。</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根据政府常务副总理范嘉晳在2026年9月8日第9136/VPCP-CN号公函中的指示，工贸部正按简化程序制定2025年5月29日第14/2025/QĐ-TTg号决定（零售电价结构）的修订草案，以尽快实施新的零售电价结构。草案内容还涉及2026年4月22日第963/QĐ-BCT号决定规定的乘数系数，以及国家电力系统的高峰、低谷和平段时段。意见反馈请于2026年10月22日前寄送至工贸部电力局（河内市还剑区阮权街23号）或按函中所列电子邮箱提交。</w:t>
      </w:r>
    </w:p>
    <w:p>
      <w:pPr>
        <w:ind w:firstLine="420"/>
      </w:pPr>
      <w:r>
        <w:rPr>
          <w:rFonts w:ascii="微软雅黑" w:hAnsi="微软雅黑" w:eastAsia="微软雅黑" w:cs="微软雅黑"/>
        </w:rPr>
        <w:t>来源：</w:t>
      </w:r>
      <w:hyperlink w:anchor="source-24125">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10. 澳大利亚最大风电项目停滞，业主筹措数十亿澳元融资</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澳大利亚多个最大风电项目已越过规划、并网和输电审批障碍，目前专注于锁定数十亿澳元债务和股权融资以实现财务关闭并开工，但融资成为主要瓶颈。</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Bungaban风电项目装机1.4吉瓦，可能配套350兆瓦电池储能，并考虑增加太阳能，联合业主为Andrew Forrest的Squadron Energy和现属Federation Asset Management的Windlab，正寻求至少15亿澳元融资以支付已达50亿澳元的项目成本，并与力拓签有25年协议，其中1.2吉瓦容量用于为格拉德斯通铝冶炼厂和精炼厂供电。Origin Energy倾向不持有可再生能源项目，正为1.45吉瓦Yanco Delta风电项目寻找买家；RWE为其昆士兰州1.1吉瓦Theodore风电项目寻求股权和债务融资，但自昆士兰州LNP政府当选以来所有州有公用事业公司已退出新建风电和光伏项目股权投资。</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新南威尔士州仅有一个风电场在建，Origin的Eraring燃煤电厂将于2029年关闭，该州需要大量新容量支持燃煤电厂退役。</w:t>
      </w:r>
    </w:p>
    <w:p>
      <w:pPr>
        <w:ind w:firstLine="420"/>
      </w:pPr>
      <w:r>
        <w:rPr>
          <w:rFonts w:ascii="微软雅黑" w:hAnsi="微软雅黑" w:eastAsia="微软雅黑" w:cs="微软雅黑"/>
        </w:rPr>
        <w:t>来源：</w:t>
      </w:r>
      <w:hyperlink w:anchor="source-23857">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11. 拉文纳CCS二期项目入选欧盟创新基金资助</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由Eni与Snam开发的Ravenna CCS二期项目被欧盟委员会选定为2025年创新基金（净零技术类别）大型规模项目资助对象。</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Ravenna CCS二期项目由Eni与Snam开发，用于建设一体化多式联运CO₂运输与封存基础设施，被欧盟委员会选定为2025年创新基金（净零技术类别）大型规模项目资助对象。Ravenna CCS是意大利及地中海地区领先的CO₂永久封存枢纽，总容量约5亿吨，相当于该地区已公布封存容量的70%以上。开发计划预计到2030年达到每年400万吨CO₂的封存能力，后续开发阶段有望逐步扩至每年1600万吨。</w:t>
      </w:r>
    </w:p>
    <w:p>
      <w:pPr>
        <w:ind w:firstLine="420"/>
      </w:pPr>
      <w:r>
        <w:rPr>
          <w:rFonts w:ascii="微软雅黑" w:hAnsi="微软雅黑" w:eastAsia="微软雅黑" w:cs="微软雅黑"/>
        </w:rPr>
        <w:t>来源：</w:t>
      </w:r>
      <w:hyperlink w:anchor="source-24281">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12. 全球最大360万吨/年DMTO-Ⅲ装置在宁煤完成吊装</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10月16日，宁夏煤业MTP工艺技术升级改造项目360万吨/年DMTO-Ⅲ甲醇制烯烃装置反应器与再生器吊装圆满完成。</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16日，宁夏煤业MTP工艺技术升级改造项目世界首套、全球单套规模最大的360万吨/年DMTO-Ⅲ甲醇制烯烃装置反应器封头及核心组件吊装就位，反应器与再生器吊装完成。项目创造三项行业纪录：依托中国科学院大连化物所自主知识产权三代甲醇制烯烃技术建成全球单套规模最大的360万吨/年DMTO-Ⅲ反再装置；装配世界同类型MTO装置单体最重反应器，最大直径19.2米、总高40.1米、总重2658.135吨（含衬里），内部搭载54台高精度旋风分离器；实现同类大型反再装置百天极速完工。项目团队历经100天完成超限设备运输、筒体组对、旋风装配、双机协同吊装等工序，较国内同规模同类装置施工周期提前近60天，创同类装置焊接安装最短工期纪录。</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项目建成后可实现甲醇向乙烯、丙烯转化，延伸至EVA、LDPE、HDPE等高附加值聚烯烃新材料生产线，打通“煤—甲醇—烯烃—高端新材料”全产业链。</w:t>
      </w:r>
    </w:p>
    <w:p>
      <w:pPr>
        <w:ind w:firstLine="420"/>
      </w:pPr>
      <w:r>
        <w:rPr>
          <w:rFonts w:ascii="微软雅黑" w:hAnsi="微软雅黑" w:eastAsia="微软雅黑" w:cs="微软雅黑"/>
        </w:rPr>
        <w:t>来源：</w:t>
      </w:r>
      <w:hyperlink w:anchor="source-23975">
        <w:r>
          <w:rPr>
            <w:rFonts w:ascii="微软雅黑" w:hAnsi="微软雅黑" w:eastAsia="微软雅黑" w:cs="微软雅黑"/>
            <w:color w:val="087E89"/>
          </w:rPr>
          <w:t>25</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13. 贵州能源监管办组织宣贯新修订电力安全事故应急处置条例</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新修订的《电力安全事故应急处置和调查处理条例》以国务院2026年第845号令公布，将于2027年1月1日起施行。贵州能源监管办组织辖区内电力企业及能源主管部门参加国家能源局专题宣贯学习。</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新修订的《电力安全事故应急处置和调查处理条例》以国务院2026年第845号令公布，将于2027年1月1日起施行。贵州能源监管办以国家能源局专题宣贯为契机，组织辖区内电力企业及能源主管部门参加宣贯学习。国家能源局电力安全监管司分管负责同志讲解《条例》修订背景与意义、事故界定与分级、应急处置机制、调查处理程序、法律责任与处罚标准等内容，并解读保障电力系统安全稳定运行和电力可靠供应要求。参训人员表示将把培训成果转化为工作实效。</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参训人员表示将全力保障贵州电力系统安全稳定运行和电力可靠供应。</w:t>
      </w:r>
    </w:p>
    <w:p>
      <w:pPr>
        <w:ind w:firstLine="420"/>
      </w:pPr>
      <w:r>
        <w:rPr>
          <w:rFonts w:ascii="微软雅黑" w:hAnsi="微软雅黑" w:eastAsia="微软雅黑" w:cs="微软雅黑"/>
        </w:rPr>
        <w:t>来源：</w:t>
      </w:r>
      <w:hyperlink w:anchor="source-24255">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14. 浙江实施煤电升级改造，30万千瓦级燃煤机组期满有序退出</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浙江省“十五五”规划提出实施新一代煤电升级改造行动，对高煤耗机组实施节能降碳改造，并推动现役30万千瓦级别燃煤火电机组服役期满后有序退出。</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规划提出实施新一代煤电升级改造行动，对供电煤耗300克标准煤/千瓦时以上的煤电机组实施节能降碳改造；现役30万千瓦级别燃煤火电机组服役期满后有序退出。同时推动石化炼化基地等提升绿电、绿氢使用比例。</w:t>
      </w:r>
    </w:p>
    <w:p>
      <w:pPr>
        <w:ind w:firstLine="420"/>
      </w:pPr>
      <w:r>
        <w:rPr>
          <w:rFonts w:ascii="微软雅黑" w:hAnsi="微软雅黑" w:eastAsia="微软雅黑" w:cs="微软雅黑"/>
        </w:rPr>
        <w:t>来源：</w:t>
      </w:r>
      <w:hyperlink w:anchor="source-23814">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15. 天富能源前三季度营收67.16亿元 净利3.81亿元双增</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天富能源发布2026年第三季度报告，前三季度营业收入67.16亿元、同比增长13.28%，归母净利润3.81亿元、同比增长1.72%，第三季度单季营收和利润均实现较快增长。</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10月20日，天富能源(600509)披露2026年第三季度报告：前三季度营业收入67.16亿元，同比增长13.28%；归母净利润3.81亿元，同比增长1.72%；扣非归母净利润3.28亿元；基本每股收益0.2770元。第三季度单季营业收入25.68亿元，同比增长37.81%；利润总额1.48亿元，同比增长56.16%；归母净利润7934.45万元，同比增长12.64%；扣非归母净利润7305.29万元，同比增长23.62%。公司表示营业收入增长主要系报告期内供电量增加、供电收入增加所致。前三季度营业成本51.44亿元，同比增长11.48%，低于营业收入增幅，毛利率提升至23.40%，同比提高1.24个百分点；财务费用2.43亿元，同比下降20.90%。</w:t>
      </w:r>
    </w:p>
    <w:p>
      <w:pPr>
        <w:ind w:firstLine="420"/>
      </w:pPr>
      <w:r>
        <w:rPr>
          <w:rFonts w:ascii="微软雅黑" w:hAnsi="微软雅黑" w:eastAsia="微软雅黑" w:cs="微软雅黑"/>
        </w:rPr>
        <w:t>来源：</w:t>
      </w:r>
      <w:hyperlink w:anchor="source-23720">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16. 浙江规划：2030年新增用电量60%以上来自非化石能源</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浙江规划提出，到2030年全省新增用电量60%以上来自非化石能源，接受外送电比例持续提升，并同步推进能源结构优化与煤电改造退出。</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规划提出推动能源结构优化调整，加强化石能源消费管控，严格实施煤炭消费总量控制和重点用能单位化石能源预算管理；新改扩建用煤项目依法实行煤炭减量替代。实施新一代煤电升级改造行动，对供电煤耗300克标准煤/千瓦时以上的煤电机组实施节能降碳改造，现役30万千瓦级别燃煤火电机组服役期满后有序退出。同时大力发展光伏发电，加快省管海域海上风电和外来绿电通道建设，提高现有通道利用率。</w:t>
      </w:r>
    </w:p>
    <w:p>
      <w:pPr>
        <w:ind w:firstLine="420"/>
      </w:pPr>
      <w:r>
        <w:rPr>
          <w:rFonts w:ascii="微软雅黑" w:hAnsi="微软雅黑" w:eastAsia="微软雅黑" w:cs="微软雅黑"/>
        </w:rPr>
        <w:t>来源：</w:t>
      </w:r>
      <w:hyperlink w:anchor="source-23826">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17. 国家能源局举办“走进核电媒体调研行”活动展现核电发展成就</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10月12—16日，国家能源局综合司、核电司、核电中心策划开展“走进核电媒体调研行”活动，组织媒体走访多个核电项目，展现核电发展成就并做好核电科普宣传。</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12—16日，国家能源局综合司、核电司、核电中心策划开展“走进核电媒体调研行”活动，以展现核电发展成就、做好核电科普宣传。调研覆盖多个核电项目：国电投山东海阳核电站1、2号AP1000机组稳定运行，3、4号国产化CAP1000机组调试接产，5、6号机组正在建设；海阳核电建成投运我国首个核能供热商用示范工程“暖核一号”，为北方清洁取暖提供可复制、可推广的“海阳方案”。10月8日，中核江苏田湾核电站7号机组完成首次并网发电，田湾核电站建成投产国内首个工业用途核能供汽工程“和气一号”，为核电行业开辟“发电+供汽”双收益模式。粤港澳大湾区首个“华龙一号”项目——中广核太平岭核电站位于惠州，一期项目平稳商运，二期项目施工有序推进。</w:t>
      </w:r>
    </w:p>
    <w:p>
      <w:pPr>
        <w:ind w:firstLine="420"/>
      </w:pPr>
      <w:r>
        <w:rPr>
          <w:rFonts w:ascii="微软雅黑" w:hAnsi="微软雅黑" w:eastAsia="微软雅黑" w:cs="微软雅黑"/>
        </w:rPr>
        <w:t>来源：</w:t>
      </w:r>
      <w:hyperlink w:anchor="source-23735">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18. 南方电网五项场景入选国家首批136个标志性重大应用场景</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10月20日，国家发展改革委召开新闻发布会，正式公布首批136个标志性重大应用场景清单，南方电网五个场景入选。</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南方电网入选的五个场景为：新型储能安全高效可靠应用、海南清洁能源岛新型电力系统建设、面向新型电力系统的开源物联操作系统（电鸿）应用、绿电直供与算力协同、云南电动重卡规模化发展。储能场景将建设总容量6000万千瓦至1亿千瓦的“新型储能巨系统”，以大电网为“超级中试平台”开放源网荷储全场景验证，预计可撬动全社会投资超千亿。海南电网公司围绕七大领域投资近3000亿元实施系统集成验证，建成后全省清洁能源装机占比将超90%、新能源发电量占比超80%，灾害抢修复电时间缩短70%以上。</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预计到“十五五”末，南方五省区新型储能总容量达6000万千瓦，支撑区域新能源装机攀升至4.6亿千瓦；储能场景预计可撬动全社会投资超千亿。</w:t>
      </w:r>
    </w:p>
    <w:p>
      <w:pPr>
        <w:ind w:firstLine="420"/>
      </w:pPr>
      <w:r>
        <w:rPr>
          <w:rFonts w:ascii="微软雅黑" w:hAnsi="微软雅黑" w:eastAsia="微软雅黑" w:cs="微软雅黑"/>
        </w:rPr>
        <w:t>来源：</w:t>
      </w:r>
      <w:hyperlink w:anchor="source-24266">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19. 三部门同意5个城市群开展氢能综合应用试点并印发管理办法</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工信部、财政部、国家发展改革委发布通知，同意京津冀等5个城市群开展为期4年的氢能综合应用试点，并联合印发《氢能综合应用试点工作管理办法》加强试点管理与财政资金使用效益。</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经形式审查、专家评审、现场答辩，原则同意京津冀、大湾区、东北(含蒙东)—长三角、新疆—成渝地区双城经济圈、黄河几字弯—中原等5个城市群试点工作方案。工信部办公厅、财政部办公厅、国家发展改革委办公厅联合印发《氢能综合应用试点工作管理办法》（工信厅联节〔2026〕39号，落款2026年10月14日），发至北京、内蒙古、辽宁、吉林、上海、河南、广东、重庆、四川、新疆等地主管部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3部门将对试点进行跟踪指导并考核评价，评价结果作为中央财政对试点城市群安排奖励资金的依据。</w:t>
      </w:r>
    </w:p>
    <w:p>
      <w:pPr>
        <w:ind w:firstLine="420"/>
      </w:pPr>
      <w:r>
        <w:rPr>
          <w:rFonts w:ascii="微软雅黑" w:hAnsi="微软雅黑" w:eastAsia="微软雅黑" w:cs="微软雅黑"/>
        </w:rPr>
        <w:t>来源：</w:t>
      </w:r>
      <w:hyperlink w:anchor="source-23758">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23996">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20. 协鑫科技拟约25亿元收购关联方旗下LFP正极材料商81.91%股权</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GCL Technology控股签署不具约束力的谅解备忘录，拟从由公司主席朱共山及其家族控制的母公司Golden Concord集团收购四川国轩锂电科技约81.91%股权，后者为磷酸铁锂正极材料生产商。</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港股披露文件，初步价格约25亿元人民币，其中约6.5亿元以现金支付，约18.5亿元以新发行股份支付，发行价不低于每股1.30港元，最多约16.71亿股；最终价格将依据独立估值确定。卖方保证目标公司2027年和2028年合计经调整净利润不低于6.2亿元，并承诺在2028年底前开发出压实密度高于2.8 g/cm³的第六代磷酸铁锂正极材料，任一目标未达成将支付补偿。</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公司称此次收购有助于降低对多晶硅和硅片价格周期的依赖、提升盈利稳定性。</w:t>
      </w:r>
    </w:p>
    <w:p>
      <w:pPr>
        <w:ind w:firstLine="420"/>
      </w:pPr>
      <w:r>
        <w:rPr>
          <w:rFonts w:ascii="微软雅黑" w:hAnsi="微软雅黑" w:eastAsia="微软雅黑" w:cs="微软雅黑"/>
        </w:rPr>
        <w:t>来源：</w:t>
      </w:r>
      <w:hyperlink w:anchor="source-24114">
        <w:r>
          <w:rPr>
            <w:rFonts w:ascii="微软雅黑" w:hAnsi="微软雅黑" w:eastAsia="微软雅黑" w:cs="微软雅黑"/>
            <w:color w:val="087E89"/>
          </w:rPr>
          <w:t>20</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该报道尚未独立核实，需关注美伊谈判进展及消息真实性。 </w:t>
      </w:r>
      <w:hyperlink w:anchor="source-24233">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4228">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2030年每年400万吨封存能力目标及后续扩至每年1600万吨尚待落实。 </w:t>
      </w:r>
      <w:hyperlink w:anchor="source-24281">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《条例》2027年1月1日起施行，落地执行情况有待观察。 </w:t>
      </w:r>
      <w:hyperlink w:anchor="source-24255">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触雷起火事件尚未获得独立核实；名单内船只未来通行将受限，后续处置进展待观察。 </w:t>
      </w:r>
      <w:hyperlink w:anchor="source-24197">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23682">
        <w:r>
          <w:rPr>
            <w:rFonts w:ascii="微软雅黑" w:hAnsi="微软雅黑" w:eastAsia="微软雅黑" w:cs="微软雅黑"/>
            <w:color w:val="087E89"/>
          </w:rPr>
          <w:t>8</w:t>
        </w:r>
      </w:hyperlink>
      <w:r>
        <w:rPr>
          <w:rFonts w:ascii="微软雅黑" w:hAnsi="微软雅黑" w:eastAsia="微软雅黑" w:cs="微软雅黑"/>
        </w:rPr>
      </w:r>
    </w:p>
    <w:p>
      <w:pPr>
        <w:pStyle w:val="ListBullet"/>
      </w:pPr>
      <w:r>
        <w:rPr>
          <w:rFonts w:ascii="微软雅黑" w:hAnsi="微软雅黑" w:eastAsia="微软雅黑" w:cs="微软雅黑"/>
        </w:rPr>
        <w:t xml:space="preserve">冬季临近，欧洲与亚洲液化天然气进口需求增加对价格的进一步推升。 </w:t>
      </w:r>
      <w:hyperlink w:anchor="source-24196">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24010">
        <w:r>
          <w:rPr>
            <w:rFonts w:ascii="微软雅黑" w:hAnsi="微软雅黑" w:eastAsia="微软雅黑" w:cs="微软雅黑"/>
            <w:color w:val="087E89"/>
          </w:rPr>
          <w:t>10</w:t>
        </w:r>
      </w:hyperlink>
      <w:r>
        <w:rPr>
          <w:rFonts w:ascii="微软雅黑" w:hAnsi="微软雅黑" w:eastAsia="微软雅黑" w:cs="微软雅黑"/>
        </w:rPr>
      </w:r>
    </w:p>
    <w:p>
      <w:pPr>
        <w:pStyle w:val="ListBullet"/>
      </w:pPr>
      <w:r>
        <w:rPr>
          <w:rFonts w:ascii="微软雅黑" w:hAnsi="微软雅黑" w:eastAsia="微软雅黑" w:cs="微软雅黑"/>
        </w:rPr>
        <w:t xml:space="preserve">通知要求推进氢能技术装备攻关、工业领域氢能项目、燃料电池汽车推广、加氢站建设等4张清单落实落地；确保中央财政奖励资金及时拨付到位，降低用氢成本并有效传导至终端产品消纳环节。 </w:t>
      </w:r>
      <w:hyperlink w:anchor="source-23758">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23996">
        <w:r>
          <w:rPr>
            <w:rFonts w:ascii="微软雅黑" w:hAnsi="微软雅黑" w:eastAsia="微软雅黑" w:cs="微软雅黑"/>
            <w:color w:val="087E89"/>
          </w:rPr>
          <w:t>12</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414 篇文章，形成 399 篇有效能源材料；正文引用 28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5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24324"/>
      <w:bookmarkEnd w:id="1" w:name="source-24324"/>
    </w:p>
    <w:p>
      <w:pPr>
        <w:pStyle w:val="ListBullet"/>
      </w:pPr>
      <w:r>
        <w:rPr>
          <w:rFonts w:ascii="微软雅黑" w:hAnsi="微软雅黑" w:eastAsia="微软雅黑" w:cs="微软雅黑"/>
        </w:rPr>
        <w:t>[1] 人民财讯等｜</w:t>
      </w:r>
      <w:hyperlink r:id="rId11">
        <w:r>
          <w:rPr>
            <w:rFonts w:ascii="微软雅黑" w:hAnsi="微软雅黑" w:eastAsia="微软雅黑" w:cs="微软雅黑"/>
            <w:color w:val="087E89"/>
          </w:rPr>
          <w:t>乌克兰国家电力公司宣布全境开始工业限电</w:t>
        </w:r>
      </w:hyperlink>
      <w:r>
        <w:rPr>
          <w:rFonts w:ascii="微软雅黑" w:hAnsi="微软雅黑" w:eastAsia="微软雅黑" w:cs="微软雅黑"/>
        </w:rPr>
      </w:r>
    </w:p>
    <w:p>
      <w:pPr>
        <w:spacing w:after="0" w:line="20" w:lineRule="exact"/>
      </w:pPr>
      <w:bookmarkStart w:id="2" w:name="source-24198"/>
      <w:bookmarkEnd w:id="2" w:name="source-24198"/>
    </w:p>
    <w:p>
      <w:pPr>
        <w:pStyle w:val="ListBullet"/>
      </w:pPr>
      <w:r>
        <w:rPr>
          <w:rFonts w:ascii="微软雅黑" w:hAnsi="微软雅黑" w:eastAsia="微软雅黑" w:cs="微软雅黑"/>
        </w:rPr>
        <w:t>[2] 新华社国际要闻（战略与能源）｜</w:t>
      </w:r>
      <w:hyperlink r:id="rId12">
        <w:r>
          <w:rPr>
            <w:rFonts w:ascii="微软雅黑" w:hAnsi="微软雅黑" w:eastAsia="微软雅黑" w:cs="微软雅黑"/>
            <w:color w:val="087E89"/>
          </w:rPr>
          <w:t>乌克兰国家电力公司宣布全境开始工业限电</w:t>
        </w:r>
      </w:hyperlink>
      <w:r>
        <w:rPr>
          <w:rFonts w:ascii="微软雅黑" w:hAnsi="微软雅黑" w:eastAsia="微软雅黑" w:cs="微软雅黑"/>
        </w:rPr>
      </w:r>
    </w:p>
    <w:p>
      <w:pPr>
        <w:spacing w:after="0" w:line="20" w:lineRule="exact"/>
      </w:pPr>
      <w:bookmarkStart w:id="3" w:name="source-24233"/>
      <w:bookmarkEnd w:id="3" w:name="source-24233"/>
    </w:p>
    <w:p>
      <w:pPr>
        <w:pStyle w:val="ListBullet"/>
      </w:pPr>
      <w:r>
        <w:rPr>
          <w:rFonts w:ascii="微软雅黑" w:hAnsi="微软雅黑" w:eastAsia="微软雅黑" w:cs="微软雅黑"/>
        </w:rPr>
        <w:t>[3] 新浪财经｜</w:t>
      </w:r>
      <w:hyperlink r:id="rId13">
        <w:r>
          <w:rPr>
            <w:rFonts w:ascii="微软雅黑" w:hAnsi="微软雅黑" w:eastAsia="微软雅黑" w:cs="微软雅黑"/>
            <w:color w:val="087E89"/>
          </w:rPr>
          <w:t>卡塔尔和巴基斯坦据报提出新方案以推动结束伊朗战争 布伦特原油跌3%</w:t>
        </w:r>
      </w:hyperlink>
      <w:r>
        <w:rPr>
          <w:rFonts w:ascii="微软雅黑" w:hAnsi="微软雅黑" w:eastAsia="微软雅黑" w:cs="微软雅黑"/>
        </w:rPr>
      </w:r>
    </w:p>
    <w:p>
      <w:pPr>
        <w:spacing w:after="0" w:line="20" w:lineRule="exact"/>
      </w:pPr>
      <w:bookmarkStart w:id="4" w:name="source-24228"/>
      <w:bookmarkEnd w:id="4" w:name="source-24228"/>
    </w:p>
    <w:p>
      <w:pPr>
        <w:pStyle w:val="ListBullet"/>
      </w:pPr>
      <w:r>
        <w:rPr>
          <w:rFonts w:ascii="微软雅黑" w:hAnsi="微软雅黑" w:eastAsia="微软雅黑" w:cs="微软雅黑"/>
        </w:rPr>
        <w:t>[4] Interfax｜</w:t>
      </w:r>
      <w:hyperlink r:id="rId14">
        <w:r>
          <w:rPr>
            <w:rFonts w:ascii="微软雅黑" w:hAnsi="微软雅黑" w:eastAsia="微软雅黑" w:cs="微软雅黑"/>
            <w:color w:val="087E89"/>
          </w:rPr>
          <w:t>布伦特原油价格下跌至每桶 $107,97</w:t>
        </w:r>
      </w:hyperlink>
      <w:r>
        <w:rPr>
          <w:rFonts w:ascii="微软雅黑" w:hAnsi="微软雅黑" w:eastAsia="微软雅黑" w:cs="微软雅黑"/>
        </w:rPr>
      </w:r>
    </w:p>
    <w:p>
      <w:pPr>
        <w:spacing w:after="0" w:line="20" w:lineRule="exact"/>
      </w:pPr>
      <w:bookmarkStart w:id="5" w:name="source-24281"/>
      <w:bookmarkEnd w:id="5" w:name="source-24281"/>
    </w:p>
    <w:p>
      <w:pPr>
        <w:pStyle w:val="ListBullet"/>
      </w:pPr>
      <w:r>
        <w:rPr>
          <w:rFonts w:ascii="微软雅黑" w:hAnsi="微软雅黑" w:eastAsia="微软雅黑" w:cs="微软雅黑"/>
        </w:rPr>
        <w:t>[5] Eni官网｜</w:t>
      </w:r>
      <w:hyperlink r:id="rId15">
        <w:r>
          <w:rPr>
            <w:rFonts w:ascii="微软雅黑" w:hAnsi="微软雅黑" w:eastAsia="微软雅黑" w:cs="微软雅黑"/>
            <w:color w:val="087E89"/>
          </w:rPr>
          <w:t>拉文纳CCS项目入选欧洲创新基金</w:t>
        </w:r>
      </w:hyperlink>
      <w:r>
        <w:rPr>
          <w:rFonts w:ascii="微软雅黑" w:hAnsi="微软雅黑" w:eastAsia="微软雅黑" w:cs="微软雅黑"/>
        </w:rPr>
      </w:r>
    </w:p>
    <w:p>
      <w:pPr>
        <w:spacing w:after="0" w:line="20" w:lineRule="exact"/>
      </w:pPr>
      <w:bookmarkStart w:id="6" w:name="source-24255"/>
      <w:bookmarkEnd w:id="6" w:name="source-24255"/>
    </w:p>
    <w:p>
      <w:pPr>
        <w:pStyle w:val="ListBullet"/>
      </w:pPr>
      <w:r>
        <w:rPr>
          <w:rFonts w:ascii="微软雅黑" w:hAnsi="微软雅黑" w:eastAsia="微软雅黑" w:cs="微软雅黑"/>
        </w:rPr>
        <w:t>[6] 国家能源局｜</w:t>
      </w:r>
      <w:hyperlink r:id="rId16">
        <w:r>
          <w:rPr>
            <w:rFonts w:ascii="微软雅黑" w:hAnsi="微软雅黑" w:eastAsia="微软雅黑" w:cs="微软雅黑"/>
            <w:color w:val="087E89"/>
          </w:rPr>
          <w:t>贵州能源监管办组织开展《电力安全事故应急处置和调查处理条例》宣贯</w:t>
        </w:r>
      </w:hyperlink>
      <w:r>
        <w:rPr>
          <w:rFonts w:ascii="微软雅黑" w:hAnsi="微软雅黑" w:eastAsia="微软雅黑" w:cs="微软雅黑"/>
        </w:rPr>
      </w:r>
    </w:p>
    <w:p>
      <w:pPr>
        <w:spacing w:after="0" w:line="20" w:lineRule="exact"/>
      </w:pPr>
      <w:bookmarkStart w:id="7" w:name="source-24197"/>
      <w:bookmarkEnd w:id="7" w:name="source-24197"/>
    </w:p>
    <w:p>
      <w:pPr>
        <w:pStyle w:val="ListBullet"/>
      </w:pPr>
      <w:r>
        <w:rPr>
          <w:rFonts w:ascii="微软雅黑" w:hAnsi="微软雅黑" w:eastAsia="微软雅黑" w:cs="微软雅黑"/>
        </w:rPr>
        <w:t>[7] 新华社国际要闻（战略与能源）｜</w:t>
      </w:r>
      <w:hyperlink r:id="rId17">
        <w:r>
          <w:rPr>
            <w:rFonts w:ascii="微软雅黑" w:hAnsi="微软雅黑" w:eastAsia="微软雅黑" w:cs="微软雅黑"/>
            <w:color w:val="087E89"/>
          </w:rPr>
          <w:t>伊朗革命卫队：两艘“违规”油轮在霍尔木兹海峡触雷</w:t>
        </w:r>
      </w:hyperlink>
      <w:r>
        <w:rPr>
          <w:rFonts w:ascii="微软雅黑" w:hAnsi="微软雅黑" w:eastAsia="微软雅黑" w:cs="微软雅黑"/>
        </w:rPr>
      </w:r>
    </w:p>
    <w:p>
      <w:pPr>
        <w:spacing w:after="0" w:line="20" w:lineRule="exact"/>
      </w:pPr>
      <w:bookmarkStart w:id="8" w:name="source-23682"/>
      <w:bookmarkEnd w:id="8" w:name="source-23682"/>
    </w:p>
    <w:p>
      <w:pPr>
        <w:pStyle w:val="ListBullet"/>
      </w:pPr>
      <w:r>
        <w:rPr>
          <w:rFonts w:ascii="微软雅黑" w:hAnsi="微软雅黑" w:eastAsia="微软雅黑" w:cs="微软雅黑"/>
        </w:rPr>
        <w:t>[8] 新华社国际要闻（战略与能源）｜</w:t>
      </w:r>
      <w:hyperlink r:id="rId18">
        <w:r>
          <w:rPr>
            <w:rFonts w:ascii="微软雅黑" w:hAnsi="微软雅黑" w:eastAsia="微软雅黑" w:cs="微软雅黑"/>
            <w:color w:val="087E89"/>
          </w:rPr>
          <w:t>伊朗称122艘船只被列入霍尔木兹海峡“违规名单”</w:t>
        </w:r>
      </w:hyperlink>
      <w:r>
        <w:rPr>
          <w:rFonts w:ascii="微软雅黑" w:hAnsi="微软雅黑" w:eastAsia="微软雅黑" w:cs="微软雅黑"/>
        </w:rPr>
      </w:r>
    </w:p>
    <w:p>
      <w:pPr>
        <w:spacing w:after="0" w:line="20" w:lineRule="exact"/>
      </w:pPr>
      <w:bookmarkStart w:id="9" w:name="source-24196"/>
      <w:bookmarkEnd w:id="9" w:name="source-24196"/>
    </w:p>
    <w:p>
      <w:pPr>
        <w:pStyle w:val="ListBullet"/>
      </w:pPr>
      <w:r>
        <w:rPr>
          <w:rFonts w:ascii="微软雅黑" w:hAnsi="微软雅黑" w:eastAsia="微软雅黑" w:cs="微软雅黑"/>
        </w:rPr>
        <w:t>[9] 新华社国际要闻（战略与能源）｜</w:t>
      </w:r>
      <w:hyperlink r:id="rId19">
        <w:r>
          <w:rPr>
            <w:rFonts w:ascii="微软雅黑" w:hAnsi="微软雅黑" w:eastAsia="微软雅黑" w:cs="微软雅黑"/>
            <w:color w:val="087E89"/>
          </w:rPr>
          <w:t>欧洲天然气基准价格近4年来首次突破90欧元</w:t>
        </w:r>
      </w:hyperlink>
      <w:r>
        <w:rPr>
          <w:rFonts w:ascii="微软雅黑" w:hAnsi="微软雅黑" w:eastAsia="微软雅黑" w:cs="微软雅黑"/>
        </w:rPr>
      </w:r>
    </w:p>
    <w:p>
      <w:pPr>
        <w:spacing w:after="0" w:line="20" w:lineRule="exact"/>
      </w:pPr>
      <w:bookmarkStart w:id="10" w:name="source-24010"/>
      <w:bookmarkEnd w:id="10" w:name="source-24010"/>
    </w:p>
    <w:p>
      <w:pPr>
        <w:pStyle w:val="ListBullet"/>
      </w:pPr>
      <w:r>
        <w:rPr>
          <w:rFonts w:ascii="微软雅黑" w:hAnsi="微软雅黑" w:eastAsia="微软雅黑" w:cs="微软雅黑"/>
        </w:rPr>
        <w:t>[10] Anadolu Agency｜</w:t>
      </w:r>
      <w:hyperlink r:id="rId20">
        <w:r>
          <w:rPr>
            <w:rFonts w:ascii="微软雅黑" w:hAnsi="微软雅黑" w:eastAsia="微软雅黑" w:cs="微软雅黑"/>
            <w:color w:val="087E89"/>
          </w:rPr>
          <w:t>欧洲天然气价格升至2022年12月以来的最高水平</w:t>
        </w:r>
      </w:hyperlink>
      <w:r>
        <w:rPr>
          <w:rFonts w:ascii="微软雅黑" w:hAnsi="微软雅黑" w:eastAsia="微软雅黑" w:cs="微软雅黑"/>
        </w:rPr>
      </w:r>
    </w:p>
    <w:p>
      <w:pPr>
        <w:spacing w:after="0" w:line="20" w:lineRule="exact"/>
      </w:pPr>
      <w:bookmarkStart w:id="11" w:name="source-23758"/>
      <w:bookmarkEnd w:id="11" w:name="source-23758"/>
    </w:p>
    <w:p>
      <w:pPr>
        <w:pStyle w:val="ListBullet"/>
      </w:pPr>
      <w:r>
        <w:rPr>
          <w:rFonts w:ascii="微软雅黑" w:hAnsi="微软雅黑" w:eastAsia="微软雅黑" w:cs="微软雅黑"/>
        </w:rPr>
        <w:t>[11] 中国能源网｜</w:t>
      </w:r>
      <w:hyperlink r:id="rId21">
        <w:r>
          <w:rPr>
            <w:rFonts w:ascii="微软雅黑" w:hAnsi="微软雅黑" w:eastAsia="微软雅黑" w:cs="微软雅黑"/>
            <w:color w:val="087E89"/>
          </w:rPr>
          <w:t>京津冀等5个城市群将开展氢能综合应用试点</w:t>
        </w:r>
      </w:hyperlink>
      <w:r>
        <w:rPr>
          <w:rFonts w:ascii="微软雅黑" w:hAnsi="微软雅黑" w:eastAsia="微软雅黑" w:cs="微软雅黑"/>
        </w:rPr>
      </w:r>
    </w:p>
    <w:p>
      <w:pPr>
        <w:spacing w:after="0" w:line="20" w:lineRule="exact"/>
      </w:pPr>
      <w:bookmarkStart w:id="12" w:name="source-23996"/>
      <w:bookmarkEnd w:id="12" w:name="source-23996"/>
    </w:p>
    <w:p>
      <w:pPr>
        <w:pStyle w:val="ListBullet"/>
      </w:pPr>
      <w:r>
        <w:rPr>
          <w:rFonts w:ascii="微软雅黑" w:hAnsi="微软雅黑" w:eastAsia="微软雅黑" w:cs="微软雅黑"/>
        </w:rPr>
        <w:t>[12] 中国能源新闻网｜</w:t>
      </w:r>
      <w:hyperlink r:id="rId22">
        <w:r>
          <w:rPr>
            <w:rFonts w:ascii="微软雅黑" w:hAnsi="微软雅黑" w:eastAsia="微软雅黑" w:cs="微软雅黑"/>
            <w:color w:val="087E89"/>
          </w:rPr>
          <w:t>三部门印发氢能综合应用试点工作管理办法</w:t>
        </w:r>
      </w:hyperlink>
      <w:r>
        <w:rPr>
          <w:rFonts w:ascii="微软雅黑" w:hAnsi="微软雅黑" w:eastAsia="微软雅黑" w:cs="微软雅黑"/>
        </w:rPr>
      </w:r>
    </w:p>
    <w:p>
      <w:pPr>
        <w:spacing w:after="0" w:line="20" w:lineRule="exact"/>
      </w:pPr>
      <w:bookmarkStart w:id="13" w:name="source-23960"/>
      <w:bookmarkEnd w:id="13" w:name="source-23960"/>
    </w:p>
    <w:p>
      <w:pPr>
        <w:pStyle w:val="ListBullet"/>
      </w:pPr>
      <w:r>
        <w:rPr>
          <w:rFonts w:ascii="微软雅黑" w:hAnsi="微软雅黑" w:eastAsia="微软雅黑" w:cs="微软雅黑"/>
        </w:rPr>
        <w:t>[13] 俄罗斯国家原子能公司｜</w:t>
      </w:r>
      <w:hyperlink r:id="rId23">
        <w:r>
          <w:rPr>
            <w:rFonts w:ascii="微软雅黑" w:hAnsi="微软雅黑" w:eastAsia="微软雅黑" w:cs="微软雅黑"/>
            <w:color w:val="087E89"/>
          </w:rPr>
          <w:t>合作</w:t>
        </w:r>
      </w:hyperlink>
      <w:r>
        <w:rPr>
          <w:rFonts w:ascii="微软雅黑" w:hAnsi="微软雅黑" w:eastAsia="微软雅黑" w:cs="微软雅黑"/>
        </w:rPr>
      </w:r>
    </w:p>
    <w:p>
      <w:pPr>
        <w:spacing w:after="0" w:line="20" w:lineRule="exact"/>
      </w:pPr>
      <w:bookmarkStart w:id="14" w:name="source-23508"/>
      <w:bookmarkEnd w:id="14" w:name="source-23508"/>
    </w:p>
    <w:p>
      <w:pPr>
        <w:pStyle w:val="ListBullet"/>
      </w:pPr>
      <w:r>
        <w:rPr>
          <w:rFonts w:ascii="微软雅黑" w:hAnsi="微软雅黑" w:eastAsia="微软雅黑" w:cs="微软雅黑"/>
        </w:rPr>
        <w:t>[14] Nuclear Engineering International｜</w:t>
      </w:r>
      <w:hyperlink r:id="rId24">
        <w:r>
          <w:rPr>
            <w:rFonts w:ascii="微软雅黑" w:hAnsi="微软雅黑" w:eastAsia="微软雅黑" w:cs="微软雅黑"/>
            <w:color w:val="087E89"/>
          </w:rPr>
          <w:t>印度尼西亚考虑漂浮式核电站</w:t>
        </w:r>
      </w:hyperlink>
      <w:r>
        <w:rPr>
          <w:rFonts w:ascii="微软雅黑" w:hAnsi="微软雅黑" w:eastAsia="微软雅黑" w:cs="微软雅黑"/>
        </w:rPr>
      </w:r>
    </w:p>
    <w:p>
      <w:pPr>
        <w:spacing w:after="0" w:line="20" w:lineRule="exact"/>
      </w:pPr>
      <w:bookmarkStart w:id="15" w:name="source-23857"/>
      <w:bookmarkEnd w:id="15" w:name="source-23857"/>
    </w:p>
    <w:p>
      <w:pPr>
        <w:pStyle w:val="ListBullet"/>
      </w:pPr>
      <w:r>
        <w:rPr>
          <w:rFonts w:ascii="微软雅黑" w:hAnsi="微软雅黑" w:eastAsia="微软雅黑" w:cs="微软雅黑"/>
        </w:rPr>
        <w:t>[15] 澳大利亚可再生能源新闻｜</w:t>
      </w:r>
      <w:hyperlink r:id="rId25">
        <w:r>
          <w:rPr>
            <w:rFonts w:ascii="微软雅黑" w:hAnsi="微软雅黑" w:eastAsia="微软雅黑" w:cs="微软雅黑"/>
            <w:color w:val="087E89"/>
          </w:rPr>
          <w:t>澳大利亚最大风电项目停滞，业主四处筹措数十亿澳元债务与股权融资</w:t>
        </w:r>
      </w:hyperlink>
      <w:r>
        <w:rPr>
          <w:rFonts w:ascii="微软雅黑" w:hAnsi="微软雅黑" w:eastAsia="微软雅黑" w:cs="微软雅黑"/>
        </w:rPr>
      </w:r>
    </w:p>
    <w:p>
      <w:pPr>
        <w:spacing w:after="0" w:line="20" w:lineRule="exact"/>
      </w:pPr>
      <w:bookmarkStart w:id="16" w:name="source-24266"/>
      <w:bookmarkEnd w:id="16" w:name="source-24266"/>
    </w:p>
    <w:p>
      <w:pPr>
        <w:pStyle w:val="ListBullet"/>
      </w:pPr>
      <w:r>
        <w:rPr>
          <w:rFonts w:ascii="微软雅黑" w:hAnsi="微软雅黑" w:eastAsia="微软雅黑" w:cs="微软雅黑"/>
        </w:rPr>
        <w:t>[16] 中国能源新闻网｜</w:t>
      </w:r>
      <w:hyperlink r:id="rId26">
        <w:r>
          <w:rPr>
            <w:rFonts w:ascii="微软雅黑" w:hAnsi="微软雅黑" w:eastAsia="微软雅黑" w:cs="微软雅黑"/>
            <w:color w:val="087E89"/>
          </w:rPr>
          <w:t>南方电网五项场景入选首批标志性重大应用场景</w:t>
        </w:r>
      </w:hyperlink>
      <w:r>
        <w:rPr>
          <w:rFonts w:ascii="微软雅黑" w:hAnsi="微软雅黑" w:eastAsia="微软雅黑" w:cs="微软雅黑"/>
        </w:rPr>
      </w:r>
    </w:p>
    <w:p>
      <w:pPr>
        <w:spacing w:after="0" w:line="20" w:lineRule="exact"/>
      </w:pPr>
      <w:bookmarkStart w:id="17" w:name="source-23826"/>
      <w:bookmarkEnd w:id="17" w:name="source-23826"/>
    </w:p>
    <w:p>
      <w:pPr>
        <w:pStyle w:val="ListBullet"/>
      </w:pPr>
      <w:r>
        <w:rPr>
          <w:rFonts w:ascii="微软雅黑" w:hAnsi="微软雅黑" w:eastAsia="微软雅黑" w:cs="微软雅黑"/>
        </w:rPr>
        <w:t>[17] 财联社｜</w:t>
      </w:r>
      <w:hyperlink r:id="rId27">
        <w:r>
          <w:rPr>
            <w:rFonts w:ascii="微软雅黑" w:hAnsi="微软雅黑" w:eastAsia="微软雅黑" w:cs="微软雅黑"/>
            <w:color w:val="087E89"/>
          </w:rPr>
          <w:t>浙江：到2030年新增用电量60%以上来自非化石能源</w:t>
        </w:r>
      </w:hyperlink>
      <w:r>
        <w:rPr>
          <w:rFonts w:ascii="微软雅黑" w:hAnsi="微软雅黑" w:eastAsia="微软雅黑" w:cs="微软雅黑"/>
        </w:rPr>
      </w:r>
    </w:p>
    <w:p>
      <w:pPr>
        <w:spacing w:after="0" w:line="20" w:lineRule="exact"/>
      </w:pPr>
      <w:bookmarkStart w:id="18" w:name="source-23814"/>
      <w:bookmarkEnd w:id="18" w:name="source-23814"/>
    </w:p>
    <w:p>
      <w:pPr>
        <w:pStyle w:val="ListBullet"/>
      </w:pPr>
      <w:r>
        <w:rPr>
          <w:rFonts w:ascii="微软雅黑" w:hAnsi="微软雅黑" w:eastAsia="微软雅黑" w:cs="微软雅黑"/>
        </w:rPr>
        <w:t>[18] 人民财讯等｜</w:t>
      </w:r>
      <w:hyperlink r:id="rId28">
        <w:r>
          <w:rPr>
            <w:rFonts w:ascii="微软雅黑" w:hAnsi="微软雅黑" w:eastAsia="微软雅黑" w:cs="微软雅黑"/>
            <w:color w:val="087E89"/>
          </w:rPr>
          <w:t>浙江：到2030年新增用电量60%以上来自非化石能源</w:t>
        </w:r>
      </w:hyperlink>
      <w:r>
        <w:rPr>
          <w:rFonts w:ascii="微软雅黑" w:hAnsi="微软雅黑" w:eastAsia="微软雅黑" w:cs="微软雅黑"/>
        </w:rPr>
      </w:r>
    </w:p>
    <w:p>
      <w:pPr>
        <w:spacing w:after="0" w:line="20" w:lineRule="exact"/>
      </w:pPr>
      <w:bookmarkStart w:id="19" w:name="source-24318"/>
      <w:bookmarkEnd w:id="19" w:name="source-24318"/>
    </w:p>
    <w:p>
      <w:pPr>
        <w:pStyle w:val="ListBullet"/>
      </w:pPr>
      <w:r>
        <w:rPr>
          <w:rFonts w:ascii="微软雅黑" w:hAnsi="微软雅黑" w:eastAsia="微软雅黑" w:cs="微软雅黑"/>
        </w:rPr>
        <w:t>[19] Mysteel｜</w:t>
      </w:r>
      <w:hyperlink r:id="rId29">
        <w:r>
          <w:rPr>
            <w:rFonts w:ascii="微软雅黑" w:hAnsi="微软雅黑" w:eastAsia="微软雅黑" w:cs="微软雅黑"/>
            <w:color w:val="087E89"/>
          </w:rPr>
          <w:t>前三季度全国铁路发送煤炭20.50亿吨，同比增长0.3%</w:t>
        </w:r>
      </w:hyperlink>
      <w:r>
        <w:rPr>
          <w:rFonts w:ascii="微软雅黑" w:hAnsi="微软雅黑" w:eastAsia="微软雅黑" w:cs="微软雅黑"/>
        </w:rPr>
      </w:r>
    </w:p>
    <w:p>
      <w:pPr>
        <w:spacing w:after="0" w:line="20" w:lineRule="exact"/>
      </w:pPr>
      <w:bookmarkStart w:id="20" w:name="source-24114"/>
      <w:bookmarkEnd w:id="20" w:name="source-24114"/>
    </w:p>
    <w:p>
      <w:pPr>
        <w:pStyle w:val="ListBullet"/>
      </w:pPr>
      <w:r>
        <w:rPr>
          <w:rFonts w:ascii="微软雅黑" w:hAnsi="微软雅黑" w:eastAsia="微软雅黑" w:cs="微软雅黑"/>
        </w:rPr>
        <w:t>[20] 光伏杂志国际版｜</w:t>
      </w:r>
      <w:hyperlink r:id="rId30">
        <w:r>
          <w:rPr>
            <w:rFonts w:ascii="微软雅黑" w:hAnsi="微软雅黑" w:eastAsia="微软雅黑" w:cs="微软雅黑"/>
            <w:color w:val="087E89"/>
          </w:rPr>
          <w:t>协鑫科技拟收购创始人家属控股的LFP正极材料制造商</w:t>
        </w:r>
      </w:hyperlink>
      <w:r>
        <w:rPr>
          <w:rFonts w:ascii="微软雅黑" w:hAnsi="微软雅黑" w:eastAsia="微软雅黑" w:cs="微软雅黑"/>
        </w:rPr>
      </w:r>
    </w:p>
    <w:p>
      <w:pPr>
        <w:spacing w:after="0" w:line="20" w:lineRule="exact"/>
      </w:pPr>
      <w:bookmarkStart w:id="21" w:name="source-23735"/>
      <w:bookmarkEnd w:id="21" w:name="source-23735"/>
    </w:p>
    <w:p>
      <w:pPr>
        <w:pStyle w:val="ListBullet"/>
      </w:pPr>
      <w:r>
        <w:rPr>
          <w:rFonts w:ascii="微软雅黑" w:hAnsi="微软雅黑" w:eastAsia="微软雅黑" w:cs="微软雅黑"/>
        </w:rPr>
        <w:t>[21] 国家能源局｜</w:t>
      </w:r>
      <w:hyperlink r:id="rId31">
        <w:r>
          <w:rPr>
            <w:rFonts w:ascii="微软雅黑" w:hAnsi="微软雅黑" w:eastAsia="微软雅黑" w:cs="微软雅黑"/>
            <w:color w:val="087E89"/>
          </w:rPr>
          <w:t>国家能源局举办“走进核电媒体调研行”活动</w:t>
        </w:r>
      </w:hyperlink>
      <w:r>
        <w:rPr>
          <w:rFonts w:ascii="微软雅黑" w:hAnsi="微软雅黑" w:eastAsia="微软雅黑" w:cs="微软雅黑"/>
        </w:rPr>
      </w:r>
    </w:p>
    <w:p>
      <w:pPr>
        <w:spacing w:after="0" w:line="20" w:lineRule="exact"/>
      </w:pPr>
      <w:bookmarkStart w:id="22" w:name="source-23720"/>
      <w:bookmarkEnd w:id="22" w:name="source-23720"/>
    </w:p>
    <w:p>
      <w:pPr>
        <w:pStyle w:val="ListBullet"/>
      </w:pPr>
      <w:r>
        <w:rPr>
          <w:rFonts w:ascii="微软雅黑" w:hAnsi="微软雅黑" w:eastAsia="微软雅黑" w:cs="微软雅黑"/>
        </w:rPr>
        <w:t>[22] 证券时报｜</w:t>
      </w:r>
      <w:hyperlink r:id="rId32">
        <w:r>
          <w:rPr>
            <w:rFonts w:ascii="微软雅黑" w:hAnsi="微软雅黑" w:eastAsia="微软雅黑" w:cs="微软雅黑"/>
            <w:color w:val="087E89"/>
          </w:rPr>
          <w:t>石河子新材料产业集群需求放量 天富能源三季度营收净利双增</w:t>
        </w:r>
      </w:hyperlink>
      <w:r>
        <w:rPr>
          <w:rFonts w:ascii="微软雅黑" w:hAnsi="微软雅黑" w:eastAsia="微软雅黑" w:cs="微软雅黑"/>
        </w:rPr>
      </w:r>
    </w:p>
    <w:p>
      <w:pPr>
        <w:spacing w:after="0" w:line="20" w:lineRule="exact"/>
      </w:pPr>
      <w:bookmarkStart w:id="23" w:name="source-24095"/>
      <w:bookmarkEnd w:id="23" w:name="source-24095"/>
    </w:p>
    <w:p>
      <w:pPr>
        <w:pStyle w:val="ListBullet"/>
      </w:pPr>
      <w:r>
        <w:rPr>
          <w:rFonts w:ascii="微软雅黑" w:hAnsi="微软雅黑" w:eastAsia="微软雅黑" w:cs="微软雅黑"/>
        </w:rPr>
        <w:t>[23] Interfax｜</w:t>
      </w:r>
      <w:hyperlink r:id="rId33">
        <w:r>
          <w:rPr>
            <w:rFonts w:ascii="微软雅黑" w:hAnsi="微软雅黑" w:eastAsia="微软雅黑" w:cs="微软雅黑"/>
            <w:color w:val="087E89"/>
          </w:rPr>
          <w:t>石油加速上涨，布伦特原油每桶交易价格突破 $111，为5月以来首次</w:t>
        </w:r>
      </w:hyperlink>
      <w:r>
        <w:rPr>
          <w:rFonts w:ascii="微软雅黑" w:hAnsi="微软雅黑" w:eastAsia="微软雅黑" w:cs="微软雅黑"/>
        </w:rPr>
      </w:r>
    </w:p>
    <w:p>
      <w:pPr>
        <w:spacing w:after="0" w:line="20" w:lineRule="exact"/>
      </w:pPr>
      <w:bookmarkStart w:id="24" w:name="source-24125"/>
      <w:bookmarkEnd w:id="24" w:name="source-24125"/>
    </w:p>
    <w:p>
      <w:pPr>
        <w:pStyle w:val="ListBullet"/>
      </w:pPr>
      <w:r>
        <w:rPr>
          <w:rFonts w:ascii="微软雅黑" w:hAnsi="微软雅黑" w:eastAsia="微软雅黑" w:cs="微软雅黑"/>
        </w:rPr>
        <w:t>[24] 越南工贸部官网｜</w:t>
      </w:r>
      <w:hyperlink r:id="rId34">
        <w:r>
          <w:rPr>
            <w:rFonts w:ascii="微软雅黑" w:hAnsi="微软雅黑" w:eastAsia="微软雅黑" w:cs="微软雅黑"/>
            <w:color w:val="087E89"/>
          </w:rPr>
          <w:t>工业与贸易部征求对修订和补充第14/2025/QĐ-TTg号决定若干条款的意见，该决定规定了零售电价结构</w:t>
        </w:r>
      </w:hyperlink>
      <w:r>
        <w:rPr>
          <w:rFonts w:ascii="微软雅黑" w:hAnsi="微软雅黑" w:eastAsia="微软雅黑" w:cs="微软雅黑"/>
        </w:rPr>
      </w:r>
    </w:p>
    <w:p>
      <w:pPr>
        <w:spacing w:after="0" w:line="20" w:lineRule="exact"/>
      </w:pPr>
      <w:bookmarkStart w:id="25" w:name="source-23975"/>
      <w:bookmarkEnd w:id="25" w:name="source-23975"/>
    </w:p>
    <w:p>
      <w:pPr>
        <w:pStyle w:val="ListBullet"/>
      </w:pPr>
      <w:r>
        <w:rPr>
          <w:rFonts w:ascii="微软雅黑" w:hAnsi="微软雅黑" w:eastAsia="微软雅黑" w:cs="微软雅黑"/>
        </w:rPr>
        <w:t>[25] 国家能源集团｜</w:t>
      </w:r>
      <w:hyperlink r:id="rId35">
        <w:r>
          <w:rPr>
            <w:rFonts w:ascii="微软雅黑" w:hAnsi="微软雅黑" w:eastAsia="微软雅黑" w:cs="微软雅黑"/>
            <w:color w:val="087E89"/>
          </w:rPr>
          <w:t>全球最大甲醇制烯烃核心装置在宁煤吊装完成</w:t>
        </w:r>
      </w:hyperlink>
      <w:r>
        <w:rPr>
          <w:rFonts w:ascii="微软雅黑" w:hAnsi="微软雅黑" w:eastAsia="微软雅黑" w:cs="微软雅黑"/>
        </w:rPr>
      </w:r>
    </w:p>
    <w:p>
      <w:pPr>
        <w:spacing w:after="0" w:line="20" w:lineRule="exact"/>
      </w:pPr>
      <w:bookmarkStart w:id="26" w:name="source-24153"/>
      <w:bookmarkEnd w:id="26" w:name="source-24153"/>
    </w:p>
    <w:p>
      <w:pPr>
        <w:pStyle w:val="ListBullet"/>
      </w:pPr>
      <w:r>
        <w:rPr>
          <w:rFonts w:ascii="微软雅黑" w:hAnsi="微软雅黑" w:eastAsia="微软雅黑" w:cs="微软雅黑"/>
        </w:rPr>
        <w:t>[26] OGN News｜</w:t>
      </w:r>
      <w:hyperlink r:id="rId36">
        <w:r>
          <w:rPr>
            <w:rFonts w:ascii="微软雅黑" w:hAnsi="微软雅黑" w:eastAsia="微软雅黑" w:cs="微软雅黑"/>
            <w:color w:val="087E89"/>
          </w:rPr>
          <w:t>埃尼在埃及西部沙漠启动Meleiha二期天然气项目投产活动</w:t>
        </w:r>
      </w:hyperlink>
      <w:r>
        <w:rPr>
          <w:rFonts w:ascii="微软雅黑" w:hAnsi="微软雅黑" w:eastAsia="微软雅黑" w:cs="微软雅黑"/>
        </w:rPr>
      </w:r>
    </w:p>
    <w:p>
      <w:pPr>
        <w:spacing w:after="0" w:line="20" w:lineRule="exact"/>
      </w:pPr>
      <w:bookmarkStart w:id="27" w:name="source-24179"/>
      <w:bookmarkEnd w:id="27" w:name="source-24179"/>
    </w:p>
    <w:p>
      <w:pPr>
        <w:pStyle w:val="ListBullet"/>
      </w:pPr>
      <w:r>
        <w:rPr>
          <w:rFonts w:ascii="微软雅黑" w:hAnsi="微软雅黑" w:eastAsia="微软雅黑" w:cs="微软雅黑"/>
        </w:rPr>
        <w:t>[27] World Oil｜</w:t>
      </w:r>
      <w:hyperlink r:id="rId37">
        <w:r>
          <w:rPr>
            <w:rFonts w:ascii="微软雅黑" w:hAnsi="微软雅黑" w:eastAsia="微软雅黑" w:cs="微软雅黑"/>
            <w:color w:val="087E89"/>
          </w:rPr>
          <w:t>埃尼推进埃及西部沙漠Meleiha二期天然气开发</w:t>
        </w:r>
      </w:hyperlink>
      <w:r>
        <w:rPr>
          <w:rFonts w:ascii="微软雅黑" w:hAnsi="微软雅黑" w:eastAsia="微软雅黑" w:cs="微软雅黑"/>
        </w:rPr>
      </w:r>
    </w:p>
    <w:p>
      <w:pPr>
        <w:spacing w:after="0" w:line="20" w:lineRule="exact"/>
      </w:pPr>
      <w:bookmarkStart w:id="28" w:name="source-23878"/>
      <w:bookmarkEnd w:id="28" w:name="source-23878"/>
    </w:p>
    <w:p>
      <w:pPr>
        <w:pStyle w:val="ListBullet"/>
      </w:pPr>
      <w:r>
        <w:rPr>
          <w:rFonts w:ascii="微软雅黑" w:hAnsi="微软雅黑" w:eastAsia="微软雅黑" w:cs="微软雅黑"/>
        </w:rPr>
        <w:t>[28] Eni官网｜</w:t>
      </w:r>
      <w:hyperlink r:id="rId38">
        <w:r>
          <w:rPr>
            <w:rFonts w:ascii="微软雅黑" w:hAnsi="微软雅黑" w:eastAsia="微软雅黑" w:cs="微软雅黑"/>
            <w:color w:val="087E89"/>
          </w:rPr>
          <w:t>埃尼在埃及西部沙漠启动Meleiha二期项目投产活动</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stcn.com/article/detail/4228947.html" TargetMode="External"/><Relationship Id="rId12" Type="http://schemas.openxmlformats.org/officeDocument/2006/relationships/hyperlink" Target="https://www.news.cn/world/20261020/e2cb456d492748109d3226aadd2ccf62/c.html" TargetMode="External"/><Relationship Id="rId13" Type="http://schemas.openxmlformats.org/officeDocument/2006/relationships/hyperlink" Target="https://finance.sina.com.cn/world/2026-10-20/doc-inivwyrc5651665.shtml" TargetMode="External"/><Relationship Id="rId14" Type="http://schemas.openxmlformats.org/officeDocument/2006/relationships/hyperlink" Target="https://www.interfax.ru/business/1123769" TargetMode="External"/><Relationship Id="rId15" Type="http://schemas.openxmlformats.org/officeDocument/2006/relationships/hyperlink" Target="https://www.eni.com/en-IT/media/press-release/2026/10/ravenna-ccs-selected-under-the-european-innovation-fund.html" TargetMode="External"/><Relationship Id="rId16" Type="http://schemas.openxmlformats.org/officeDocument/2006/relationships/hyperlink" Target="https://www.nea.gov.cn/20261020/fe8c520e4d9c4ea5981ae594ad8f8ea8/c.html" TargetMode="External"/><Relationship Id="rId17" Type="http://schemas.openxmlformats.org/officeDocument/2006/relationships/hyperlink" Target="https://www.news.cn/world/20261020/de534c2cb71e4012a36e6b65435d93c9/c.html" TargetMode="External"/><Relationship Id="rId18" Type="http://schemas.openxmlformats.org/officeDocument/2006/relationships/hyperlink" Target="https://www.news.cn/world/20261020/cbf43b16057c4556828dcc6bbbd597aa/c.html" TargetMode="External"/><Relationship Id="rId19" Type="http://schemas.openxmlformats.org/officeDocument/2006/relationships/hyperlink" Target="https://www.news.cn/world/20261020/b74e8520a4e94865a7d23c120f499c37/c.html" TargetMode="External"/><Relationship Id="rId20" Type="http://schemas.openxmlformats.org/officeDocument/2006/relationships/hyperlink" Target="https://www.aa.com.tr/en/energy/natural-gas/european-gas-prices-climb-to-highest-level-since-december-2022/60391" TargetMode="External"/><Relationship Id="rId21" Type="http://schemas.openxmlformats.org/officeDocument/2006/relationships/hyperlink" Target="https://www.china5e.com/news/news-1210628-1.html" TargetMode="External"/><Relationship Id="rId22" Type="http://schemas.openxmlformats.org/officeDocument/2006/relationships/hyperlink" Target="https://www.cpnn.com.cn/news/hy/202610/t20261020_1921341.html" TargetMode="External"/><Relationship Id="rId23" Type="http://schemas.openxmlformats.org/officeDocument/2006/relationships/hyperlink" Target="https://rosatomnewsletter.com/rosatom_news/cooperation-43/" TargetMode="External"/><Relationship Id="rId24" Type="http://schemas.openxmlformats.org/officeDocument/2006/relationships/hyperlink" Target="https://www.neimagazine.com/news/indonesia-eyes-floating-npps/" TargetMode="External"/><Relationship Id="rId25" Type="http://schemas.openxmlformats.org/officeDocument/2006/relationships/hyperlink" Target="https://reneweconomy.com.au/australias-biggest-wind-projects-stall-as-owners-pass-the-hat-around-for-billions-of-dollars-in-debt-and-equity/?utm_source=rss&amp;utm_medium=rss&amp;utm_campaign=australias-biggest-wind-projects-stall-as-owners-pass-the-hat-around-for-billions-of-dollars-in-debt-and-equity" TargetMode="External"/><Relationship Id="rId26" Type="http://schemas.openxmlformats.org/officeDocument/2006/relationships/hyperlink" Target="https://www.cpnn.com.cn/news/hy/202610/t20261020_1921451.html" TargetMode="External"/><Relationship Id="rId27" Type="http://schemas.openxmlformats.org/officeDocument/2006/relationships/hyperlink" Target="https://www.cls.cn/detail/2509522" TargetMode="External"/><Relationship Id="rId28" Type="http://schemas.openxmlformats.org/officeDocument/2006/relationships/hyperlink" Target="https://www.stcn.com/article/detail/4227635.html" TargetMode="External"/><Relationship Id="rId29" Type="http://schemas.openxmlformats.org/officeDocument/2006/relationships/hyperlink" Target="https://news.mysteel.com/a/26102013/448E68BBF0005AEA.html" TargetMode="External"/><Relationship Id="rId30" Type="http://schemas.openxmlformats.org/officeDocument/2006/relationships/hyperlink" Target="https://www.pv-magazine.com/2026/10/20/gcl-technology-moves-to-buy-lfp-cathode-maker-from-founders-group/" TargetMode="External"/><Relationship Id="rId31" Type="http://schemas.openxmlformats.org/officeDocument/2006/relationships/hyperlink" Target="https://www.nea.gov.cn/20261020/02508ef886d449b0b383db8fc00d8fa1/c.html" TargetMode="External"/><Relationship Id="rId32" Type="http://schemas.openxmlformats.org/officeDocument/2006/relationships/hyperlink" Target="https://www.stcn.com/article/detail/4227459.html" TargetMode="External"/><Relationship Id="rId33" Type="http://schemas.openxmlformats.org/officeDocument/2006/relationships/hyperlink" Target="https://www.interfax.ru/business/1123682" TargetMode="External"/><Relationship Id="rId34" Type="http://schemas.openxmlformats.org/officeDocument/2006/relationships/hyperlink" Target="https://moit.gov.vn/tin-tuc/bo-cong-thuong-lay-y-kien-quyet-dinh-sua-doi-bo-sung-mot-so-dieu-cua-quyet-dinh-so-14-2025-qd-ttg-quy-dinh-ve-co-cau-bie.html" TargetMode="External"/><Relationship Id="rId35" Type="http://schemas.openxmlformats.org/officeDocument/2006/relationships/hyperlink" Target="https://www.chnenergy.com.cn/gjnyjtww/newCE0301/202610/32aa8477aedf4b9d9f817817ea46cc64.shtml" TargetMode="External"/><Relationship Id="rId36" Type="http://schemas.openxmlformats.org/officeDocument/2006/relationships/hyperlink" Target="https://ognnews.com/ArticleTA/488247/eni-launches-start-up-activities-for-meleiha-phase-2-gas-project-in-egypts-western-desert" TargetMode="External"/><Relationship Id="rId37" Type="http://schemas.openxmlformats.org/officeDocument/2006/relationships/hyperlink" Target="https://www.worldoil.com/news/2026/10/20/eni-advances-meleiha-phase-2-gas-development-in-egypt-s-western-desert/" TargetMode="External"/><Relationship Id="rId38" Type="http://schemas.openxmlformats.org/officeDocument/2006/relationships/hyperlink" Target="https://www.eni.com/en-IT/media/press-release/2026/10/pr-eni-launches-start-up-activities-meleiha-phase-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2026年10月20日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