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信息覆盖时段：2026-10-08 00:00 至 2026-10-09 00:00（不含），Asia/Shanghai。</w:t>
      </w:r>
    </w:p>
    <w:p>
      <w:pPr/>
      <w:r>
        <w:rPr>
          <w:rFonts w:ascii="微软雅黑" w:hAnsi="微软雅黑" w:eastAsia="微软雅黑" w:cs="微软雅黑"/>
        </w:rPr>
        <w:t>统计区间：2026-10-08 至 2026-10-09（结束日不含，北京时间）</w:t>
      </w:r>
    </w:p>
    <w:p>
      <w:pPr>
        <w:ind w:firstLine="420"/>
      </w:pPr>
      <w:r>
        <w:rPr>
          <w:rFonts w:ascii="微软雅黑" w:hAnsi="微软雅黑" w:eastAsia="微软雅黑" w:cs="微软雅黑"/>
        </w:rPr>
        <w:t>资料更新截止：2026-10-09 07:23（北京时间）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欧盟确认今冬天然气供应能力充足 </w:t>
      </w:r>
      <w:hyperlink w:anchor="source-1436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巴西PDE 2036提出电气化、可再生能源与灵活性展望 </w:t>
      </w:r>
      <w:hyperlink w:anchor="source-14338">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9月末中东原油出口量超过伊朗战事前水平 </w:t>
      </w:r>
      <w:hyperlink w:anchor="source-1433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英国出台新一轮对俄制裁，聚焦能源、跨境金融及军工供应链 </w:t>
      </w:r>
      <w:hyperlink w:anchor="source-1437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4201">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420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全国首个“沙戈荒”新能源大基地配套调峰电源全容量投产 </w:t>
      </w:r>
      <w:hyperlink w:anchor="source-14361">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欧盟天然气系统2026—2027年冬季供应能力</w:t>
            </w:r>
          </w:p>
        </w:tc>
        <w:tc>
          <w:tcPr>
            <w:tcW w:type="dxa" w:w="2268"/>
          </w:tcPr>
          <w:p>
            <w:pPr>
              <w:spacing w:after="40"/>
            </w:pPr>
            <w:r>
              <w:rPr>
                <w:rFonts w:ascii="微软雅黑" w:hAnsi="微软雅黑" w:eastAsia="微软雅黑" w:cs="微软雅黑"/>
              </w:rPr>
              <w:t>具备足够灵活性，可满足今冬需求</w:t>
            </w:r>
          </w:p>
        </w:tc>
        <w:tc>
          <w:tcPr>
            <w:tcW w:type="dxa" w:w="2268"/>
          </w:tcPr>
          <w:p>
            <w:pPr>
              <w:spacing w:after="40"/>
            </w:pPr>
            <w:r>
              <w:rPr>
                <w:rFonts w:ascii="微软雅黑" w:hAnsi="微软雅黑" w:eastAsia="微软雅黑" w:cs="微软雅黑"/>
              </w:rPr>
              <w:t>2026—2027年冬季</w:t>
            </w:r>
          </w:p>
        </w:tc>
        <w:tc>
          <w:tcPr>
            <w:tcW w:type="dxa" w:w="2268"/>
          </w:tcPr>
          <w:p>
            <w:pPr>
              <w:spacing w:after="40"/>
            </w:pPr>
            <w:r>
              <w:rPr>
                <w:rFonts w:ascii="微软雅黑" w:hAnsi="微软雅黑" w:eastAsia="微软雅黑" w:cs="微软雅黑"/>
              </w:rPr>
            </w:r>
            <w:hyperlink w:anchor="source-14364">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巴西PDE 2036规划期能源效率提升预计累计避免电力消费</w:t>
            </w:r>
          </w:p>
        </w:tc>
        <w:tc>
          <w:tcPr>
            <w:tcW w:type="dxa" w:w="2268"/>
          </w:tcPr>
          <w:p>
            <w:pPr>
              <w:spacing w:after="40"/>
            </w:pPr>
            <w:r>
              <w:rPr>
                <w:rFonts w:ascii="微软雅黑" w:hAnsi="微软雅黑" w:eastAsia="微软雅黑" w:cs="微软雅黑"/>
              </w:rPr>
              <w:t>530亿千瓦时（TWh）</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38">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巴西数据中心电力消费预计值</w:t>
            </w:r>
          </w:p>
        </w:tc>
        <w:tc>
          <w:tcPr>
            <w:tcW w:type="dxa" w:w="2268"/>
          </w:tcPr>
          <w:p>
            <w:pPr>
              <w:spacing w:after="40"/>
            </w:pPr>
            <w:r>
              <w:rPr>
                <w:rFonts w:ascii="微软雅黑" w:hAnsi="微软雅黑" w:eastAsia="微软雅黑" w:cs="微软雅黑"/>
              </w:rPr>
              <w:t>由2026年的3 TWh增至2036年的30 TWh</w:t>
            </w:r>
          </w:p>
        </w:tc>
        <w:tc>
          <w:tcPr>
            <w:tcW w:type="dxa" w:w="2268"/>
          </w:tcPr>
          <w:p>
            <w:pPr>
              <w:spacing w:after="40"/>
            </w:pPr>
            <w:r>
              <w:rPr>
                <w:rFonts w:ascii="微软雅黑" w:hAnsi="微软雅黑" w:eastAsia="微软雅黑" w:cs="微软雅黑"/>
              </w:rPr>
              <w:t>2026年至2036年</w:t>
            </w:r>
          </w:p>
        </w:tc>
        <w:tc>
          <w:tcPr>
            <w:tcW w:type="dxa" w:w="2268"/>
          </w:tcPr>
          <w:p>
            <w:pPr>
              <w:spacing w:after="40"/>
            </w:pPr>
            <w:r>
              <w:rPr>
                <w:rFonts w:ascii="微软雅黑" w:hAnsi="微软雅黑" w:eastAsia="微软雅黑" w:cs="微软雅黑"/>
              </w:rPr>
            </w:r>
            <w:hyperlink w:anchor="source-14338">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巴西分布式微小型发电（MMGD）装机容量预计值</w:t>
            </w:r>
          </w:p>
        </w:tc>
        <w:tc>
          <w:tcPr>
            <w:tcW w:type="dxa" w:w="2268"/>
          </w:tcPr>
          <w:p>
            <w:pPr>
              <w:spacing w:after="40"/>
            </w:pPr>
            <w:r>
              <w:rPr>
                <w:rFonts w:ascii="微软雅黑" w:hAnsi="微软雅黑" w:eastAsia="微软雅黑" w:cs="微软雅黑"/>
              </w:rPr>
              <w:t>由约50 GW增至92 GW</w:t>
            </w:r>
          </w:p>
        </w:tc>
        <w:tc>
          <w:tcPr>
            <w:tcW w:type="dxa" w:w="2268"/>
          </w:tcPr>
          <w:p>
            <w:pPr>
              <w:spacing w:after="40"/>
            </w:pPr>
            <w:r>
              <w:rPr>
                <w:rFonts w:ascii="微软雅黑" w:hAnsi="微软雅黑" w:eastAsia="微软雅黑" w:cs="微软雅黑"/>
              </w:rPr>
              <w:t>2026年至2036年</w:t>
            </w:r>
          </w:p>
        </w:tc>
        <w:tc>
          <w:tcPr>
            <w:tcW w:type="dxa" w:w="2268"/>
          </w:tcPr>
          <w:p>
            <w:pPr>
              <w:spacing w:after="40"/>
            </w:pPr>
            <w:r>
              <w:rPr>
                <w:rFonts w:ascii="微软雅黑" w:hAnsi="微软雅黑" w:eastAsia="微软雅黑" w:cs="微软雅黑"/>
              </w:rPr>
            </w:r>
            <w:hyperlink w:anchor="source-14338">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国家能源集团宁夏电力中卫电厂660兆瓦机组年发电量设计值</w:t>
            </w:r>
          </w:p>
        </w:tc>
        <w:tc>
          <w:tcPr>
            <w:tcW w:type="dxa" w:w="2268"/>
          </w:tcPr>
          <w:p>
            <w:pPr>
              <w:spacing w:after="40"/>
            </w:pPr>
            <w:r>
              <w:rPr>
                <w:rFonts w:ascii="微软雅黑" w:hAnsi="微软雅黑" w:eastAsia="微软雅黑" w:cs="微软雅黑"/>
              </w:rPr>
              <w:t>118亿千瓦时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6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中卫电厂对应清洁能源稳定外送电量</w:t>
            </w:r>
          </w:p>
        </w:tc>
        <w:tc>
          <w:tcPr>
            <w:tcW w:type="dxa" w:w="2268"/>
          </w:tcPr>
          <w:p>
            <w:pPr>
              <w:spacing w:after="40"/>
            </w:pPr>
            <w:r>
              <w:rPr>
                <w:rFonts w:ascii="微软雅黑" w:hAnsi="微软雅黑" w:eastAsia="微软雅黑" w:cs="微软雅黑"/>
              </w:rPr>
              <w:t>220亿千瓦时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6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中卫电厂折合替代标煤量</w:t>
            </w:r>
          </w:p>
        </w:tc>
        <w:tc>
          <w:tcPr>
            <w:tcW w:type="dxa" w:w="2268"/>
          </w:tcPr>
          <w:p>
            <w:pPr>
              <w:spacing w:after="40"/>
            </w:pPr>
            <w:r>
              <w:rPr>
                <w:rFonts w:ascii="微软雅黑" w:hAnsi="微软雅黑" w:eastAsia="微软雅黑" w:cs="微软雅黑"/>
              </w:rPr>
              <w:t>约710万吨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6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道达尔能源与SLB数字钻井技术合同期限</w:t>
            </w:r>
          </w:p>
        </w:tc>
        <w:tc>
          <w:tcPr>
            <w:tcW w:type="dxa" w:w="2268"/>
          </w:tcPr>
          <w:p>
            <w:pPr>
              <w:spacing w:after="40"/>
            </w:pPr>
            <w:r>
              <w:rPr>
                <w:rFonts w:ascii="微软雅黑" w:hAnsi="微软雅黑" w:eastAsia="微软雅黑" w:cs="微软雅黑"/>
              </w:rPr>
              <w:t>15年</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219">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哈得－富满油田已钻成超深井数</w:t>
            </w:r>
          </w:p>
        </w:tc>
        <w:tc>
          <w:tcPr>
            <w:tcW w:type="dxa" w:w="2268"/>
          </w:tcPr>
          <w:p>
            <w:pPr>
              <w:spacing w:after="40"/>
            </w:pPr>
            <w:r>
              <w:rPr>
                <w:rFonts w:ascii="微软雅黑" w:hAnsi="微软雅黑" w:eastAsia="微软雅黑" w:cs="微软雅黑"/>
              </w:rPr>
              <w:t>485口</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075">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塔里木盆地已探明油气储量</w:t>
            </w:r>
          </w:p>
        </w:tc>
        <w:tc>
          <w:tcPr>
            <w:tcW w:type="dxa" w:w="2268"/>
          </w:tcPr>
          <w:p>
            <w:pPr>
              <w:spacing w:after="40"/>
            </w:pPr>
            <w:r>
              <w:rPr>
                <w:rFonts w:ascii="微软雅黑" w:hAnsi="微软雅黑" w:eastAsia="微软雅黑" w:cs="微软雅黑"/>
              </w:rPr>
              <w:t>超过50亿吨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075">
              <w:r>
                <w:rPr>
                  <w:rFonts w:ascii="微软雅黑" w:hAnsi="微软雅黑" w:eastAsia="微软雅黑" w:cs="微软雅黑"/>
                  <w:color w:val="087E89"/>
                </w:rPr>
                <w:t>11</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英国出台新一轮对俄制裁，聚焦能源、跨境金融及军工供应链</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当地时间10月8日，英国政府发布公告，推出新一轮对俄罗斯制裁措施，覆盖能源贸易、跨境金融及军工供应链等领域。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能源领域重点针对俄罗斯石油产业及违规航运船队实施制裁；金融层面瞄准协助俄方绕开国际金融限制的跨境支付及加密货币相关主体，并打击地下金融渠道；军民两用物资贸易相关机构及个人被纳入制裁范围。此前英国已制裁“Зарубежнефть”及伊尔库茨克石油公司，理由是相关企业在能源领域开展业务从而从俄政府获益或为其提供支持。截至目前，俄罗斯官方尚未对本轮新增制裁作出公开回应。</w:t>
      </w:r>
    </w:p>
    <w:p>
      <w:pPr>
        <w:ind w:firstLine="420"/>
      </w:pPr>
      <w:r>
        <w:rPr>
          <w:rFonts w:ascii="微软雅黑" w:hAnsi="微软雅黑" w:eastAsia="微软雅黑" w:cs="微软雅黑"/>
        </w:rPr>
        <w:t>来源：</w:t>
      </w:r>
      <w:hyperlink w:anchor="source-1437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4201">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420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2. ENTSO-E发布欧洲输电费用概览报告</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欧洲输电系统运营商联盟（ENTSO-E）发布《欧洲输电费用概览》2024年和2025年综合报告，旨在提高电力市场输电费用回收方式的透明度。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对36个以上欧洲国家的输电电价设计、结构和水平进行了深入分析，并按标准化电网用户模式为每个参与国计算了人为设定的“单位输电电价”（UTT）。分析范围涵盖与TSO相关的基础设施、系统服务和线损成本，以及非TSO相关监管成本，如支持机制缴费、监管税费和搁置成本。报告面向政策制定者、监管机构、TSO和市场参与者，并不直接对比各国实际执行的电价。</w:t>
      </w:r>
    </w:p>
    <w:p>
      <w:pPr>
        <w:ind w:firstLine="420"/>
      </w:pPr>
      <w:r>
        <w:rPr>
          <w:rFonts w:ascii="微软雅黑" w:hAnsi="微软雅黑" w:eastAsia="微软雅黑" w:cs="微软雅黑"/>
        </w:rPr>
        <w:t>来源：</w:t>
      </w:r>
      <w:hyperlink w:anchor="source-14371">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3. 9月末中东原油出口量超过伊朗战事前水平</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9月最后一周的7天中，有4天中东地区原油出口量超过伊朗战事爆发前水平；不过10月初7天移动平均值仍略低于战前同期均值。</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9月24日及9月27日至29日，中东地区原油出口量升至每日1950万至2250万桶之间。伊朗战事前一年（2025年3月至今年2月），中东地区原油出口量为日均1800万桶。10月1日原油出口的7天移动平均值为每日1850万桶，涵盖霍尔木兹海峡、红海航道、出口终端及阿曼湾船对船转运。此外，9月经霍尔木兹海峡运出的液化天然气达到2月以来最高月度水平。</w:t>
      </w:r>
    </w:p>
    <w:p>
      <w:pPr>
        <w:ind w:firstLine="420"/>
      </w:pPr>
      <w:r>
        <w:rPr>
          <w:rFonts w:ascii="微软雅黑" w:hAnsi="微软雅黑" w:eastAsia="微软雅黑" w:cs="微软雅黑"/>
        </w:rPr>
        <w:t>来源：</w:t>
      </w:r>
      <w:hyperlink w:anchor="source-14336">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国际能源署成员国同意加快释放约1亿桶石油储备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国际能源署10月7日发表声明，成员国政府同意加快落实今年3月宣布的石油储备释放计划，预计还可释放约1亿桶石油，并优先投放柴油。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若此前承诺但尚未释放的储备全部投放市场，预计还可释放约1亿桶石油。成员国同意在条件允许的情况下优先投放柴油，以应对当前柴油市场供应紧张。截至目前，成员国已依照3月集体行动计划释放约3.25亿桶石油，部分国家释放规模已超过此前承诺。成员国目前仍持有约11亿桶公共应急石油储备，其中包括超过2亿桶柴油，必要时可进一步动用。今年3月11日，32个成员国一致同意释放4亿桶战略石油储备，以应对美以军事打击伊朗导致的全球供应紧张。</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加快释放约1亿桶石油并优先投放柴油，意在缓解当前柴油市场供应紧张。</w:t>
      </w:r>
    </w:p>
    <w:p>
      <w:pPr>
        <w:ind w:firstLine="420"/>
      </w:pPr>
      <w:r>
        <w:rPr>
          <w:rFonts w:ascii="微软雅黑" w:hAnsi="微软雅黑" w:eastAsia="微软雅黑" w:cs="微软雅黑"/>
        </w:rPr>
        <w:t>来源：</w:t>
      </w:r>
      <w:hyperlink w:anchor="source-14334">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5. 欧盟确认今冬天然气供应能力充足</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欧盟天然气协调小组评估市场形势，ENTSOG称尽管储气库低于历史同期，欧盟系统仍具备足够灵活性满足今冬需求，并可消化更高LNG进口。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NTSOG发布2026—2027年冬季供应展望报告主要结论，强调应在整个冬季保持充足库存，以应对冬末寒潮和下一夏季回填。当前形势不同于2021—2022年冬季，供应多元化、LNG进口能力提升和需求下降使欧盟准备更充分；是否进口LNG或动用储气库最终由市场决定。欧委会还介绍了REPowerEU天然气条例实施情况，并关注自明年起俄气长期合同到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来源确认欧盟基础设施可保障今冬供应并支持更高LNG进口。</w:t>
      </w:r>
    </w:p>
    <w:p>
      <w:pPr>
        <w:ind w:firstLine="420"/>
      </w:pPr>
      <w:r>
        <w:rPr>
          <w:rFonts w:ascii="微软雅黑" w:hAnsi="微软雅黑" w:eastAsia="微软雅黑" w:cs="微软雅黑"/>
        </w:rPr>
        <w:t>来源：</w:t>
      </w:r>
      <w:hyperlink w:anchor="source-14364">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6. 中国1—8月煤炭采选业利润同比大增51.6%</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2026年1—8月，全国煤炭采选业实现利润2943.8亿元，同比增长51.6%；同期营业收入18267亿元，同比增长10.4%，增速远超采矿业整体水平。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研报披露，2026年1—8月全国煤炭采选业实现利润2943.8亿元，同比增长51.6%；营业收入18267亿元，同比增长10.4%，远超采矿业整体增速。同期电力行业利润降幅扩大，煤电剪刀差持续改善。山西正加速推动煤矿复产达产、智能化升级及“上大压小”，以提升优质产能占比、缓解供给扰动。国家矿山安监局新规压实灾害鉴定责任，行业仍呈高盈利、低库存、强现金流格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来源支持的影响：行业盈利大幅增长；煤电剪刀差持续改善；新规长期利于行业集中度提升与安全溢价兑现。</w:t>
      </w:r>
    </w:p>
    <w:p>
      <w:pPr>
        <w:ind w:firstLine="420"/>
      </w:pPr>
      <w:r>
        <w:rPr>
          <w:rFonts w:ascii="微软雅黑" w:hAnsi="微软雅黑" w:eastAsia="微软雅黑" w:cs="微软雅黑"/>
        </w:rPr>
        <w:t>来源：</w:t>
      </w:r>
      <w:hyperlink w:anchor="source-14019">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7. 伊朗称将在数日内回应美方提议 重申不放弃铀浓缩</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外长阿拉格齐表示，伊朗将在未来几天内回应美国提出的相关提议，谈判进程仍在继续，双方正通过斡旋方交换信息。伊方称已提出重新开放霍尔木兹海峡的“七天计划”，并听取了美方意见。伊朗原子能组织负责人同时强调，伊方不会放弃铀浓缩权利，也不会交出其拥有的铀。</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伊朗半官方的塔斯尼姆通讯社报道，伊朗外长阿巴斯·阿拉格齐表示，伊朗将在未来几天内回应美国的提议，谈判进程仍在继续，双方正通过斡旋方交换信息。阿拉格齐称伊朗已提出重新开放霍尔木兹海峡的“七天计划”，并已听取美方对该提议的意见。另据报道，伊朗原子能组织负责人称，伊朗不会放弃铀浓缩权利，也不会交出其拥有的铀。</w:t>
      </w:r>
    </w:p>
    <w:p>
      <w:pPr>
        <w:ind w:firstLine="420"/>
      </w:pPr>
      <w:r>
        <w:rPr>
          <w:rFonts w:ascii="微软雅黑" w:hAnsi="微软雅黑" w:eastAsia="微软雅黑" w:cs="微软雅黑"/>
        </w:rPr>
        <w:t>来源：</w:t>
      </w:r>
      <w:hyperlink w:anchor="source-14367">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8. 东京电力启动福岛第一核电站第24轮核污染水排海</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东京电力公司启动福岛第一核电站2026财年第6轮也是累计第24轮核污染水排海。本轮排放预计持续至本月23日，排放总量约7800吨，含放射性氚约1.2万亿贝克勒尔。</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东京电力公司5日启动福岛第一核电站新轮核污染水排海，为2026财年第6轮也是总计第24轮。本轮排放预计持续至本月23日，排放总量约7800吨，含放射性氚约1.2万亿贝克勒尔。东电计划2026财年排放核污染水8次，总量约6.24万吨。自2023年8月以来已完成23轮排海，累计排放量约18.1万吨。</w:t>
      </w:r>
    </w:p>
    <w:p>
      <w:pPr>
        <w:ind w:firstLine="420"/>
      </w:pPr>
      <w:r>
        <w:rPr>
          <w:rFonts w:ascii="微软雅黑" w:hAnsi="微软雅黑" w:eastAsia="微软雅黑" w:cs="微软雅黑"/>
        </w:rPr>
        <w:t>来源：</w:t>
      </w:r>
      <w:hyperlink w:anchor="source-14335">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9. 巴西PDE 2036提出电气化、可再生能源与灵活性展望</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巴西PDE 2036展望提出更电气化、更可再生和更灵活的未来能源方向，并启动公众咨询；预计数据中心用电及分布式微小型发电装机上升。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能源效率提升预计在规划期内累计避免530亿千瓦时（TWh）的电力消费。数据中心电力消费预计由2026年的3 TWh增至2036年的30 TWh；分布式微小型发电（MMGD）装机容量由约50 GW增至92 GW。</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规划期内能源效率提升预计累计避免530亿千瓦时电力消费；数据中心电力消费预计由2026年的3 TWh增至2036年的30 TWh。</w:t>
      </w:r>
    </w:p>
    <w:p>
      <w:pPr>
        <w:ind w:firstLine="420"/>
      </w:pPr>
      <w:r>
        <w:rPr>
          <w:rFonts w:ascii="微软雅黑" w:hAnsi="微软雅黑" w:eastAsia="微软雅黑" w:cs="微软雅黑"/>
        </w:rPr>
        <w:t>来源：</w:t>
      </w:r>
      <w:hyperlink w:anchor="source-14338">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10. 中国电力市场交易量同比增长24.2%，批零倒挂加剧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2026年上半年全国电力市场交易量为36848亿千瓦时，同比增长24.2%，中长期交易占88.4%；多地出现批零倒挂，监管和履约风险受到关注。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省内交易29135亿千瓦时、增长27.9%，跨省跨区交易7713亿千瓦时、增长12.1%。广西一季度146家售电公司合计亏损6.45亿元，平均每度电亏约2.34分；安徽1月批零倒挂约8.74元/兆瓦时；广东4月部分时段日前均价升至678元/兆瓦时，个别实时均价近1元/千瓦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交易周期向周、多日、按日延伸并与现货衔接更紧，19个省份中长期市场实现全年无休、每日开市。</w:t>
      </w:r>
    </w:p>
    <w:p>
      <w:pPr>
        <w:ind w:firstLine="420"/>
      </w:pPr>
      <w:r>
        <w:rPr>
          <w:rFonts w:ascii="微软雅黑" w:hAnsi="微软雅黑" w:eastAsia="微软雅黑" w:cs="微软雅黑"/>
        </w:rPr>
        <w:t>来源：</w:t>
      </w:r>
      <w:hyperlink w:anchor="source-14360">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11. Greenvolt为罗马尼亚Gurbănești风电项目完成2.84亿欧元融资</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Greenvolt Power为其位于罗马尼亚布加勒斯特以东Gurbănești的253.1兆瓦风电项目完成2.84亿欧元项目融资。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Gurbănești风电场隶属于更广泛的Wind Rose平台，平台总容量506兆瓦。除Gurbănești外，Wind Rose平台还包括253.1兆瓦的Ialomița风电项目，是罗马尼亚当前重要的私营可再生能源举措之一。项目融资已完成，资金来源未在提供的事实中说明。</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该项目属私营可再生能源融资落地，体现外资/私营资本对罗马尼亚陆上风电的持续投入，但事实未给出并网时间或电价等影响数据。</w:t>
      </w:r>
    </w:p>
    <w:p>
      <w:pPr>
        <w:ind w:firstLine="420"/>
      </w:pPr>
      <w:r>
        <w:rPr>
          <w:rFonts w:ascii="微软雅黑" w:hAnsi="微软雅黑" w:eastAsia="微软雅黑" w:cs="微软雅黑"/>
        </w:rPr>
        <w:t>来源：</w:t>
      </w:r>
      <w:hyperlink w:anchor="source-14245">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12. 道达尔能源授予SLB数字钻井合同</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道达尔能源授予斯伦贝许一项为期15年的数字钻井技术合同，覆盖其全球上游业务组合，并通过DrillPlan连接地下地质认识与井建规划。</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15年协议覆盖道达尔能源全球上游业务组合，旨在连接地下地质认识与井位规划和工程设计。DrillPlan整合邻井数据、轨道设计、套管与完井输入以及井建过程中的规划假设，使跨职能团队在统一的数据、方案与假设基础上协作。协议建立在双方长期合作基础上，支持数字井建规划持续创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协议支持在统一数据、方案与假设基础上开展跨职能井建规划协作。</w:t>
      </w:r>
    </w:p>
    <w:p>
      <w:pPr>
        <w:ind w:firstLine="420"/>
      </w:pPr>
      <w:r>
        <w:rPr>
          <w:rFonts w:ascii="微软雅黑" w:hAnsi="微软雅黑" w:eastAsia="微软雅黑" w:cs="微软雅黑"/>
        </w:rPr>
        <w:t>来源：</w:t>
      </w:r>
      <w:hyperlink w:anchor="source-14219">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河北公开征集新型能源体系建设“十五五”规划意见建议</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河北省发展和改革委员会公开征集新型能源体系建设“十五五”规划意见建议，面向社会各界征求意见。征集截止时间为2026年10月20日。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征集内容重点包括能源基础设施布局、可再生能源开发、新型电力系统建设、能源科技创新、能源体制机制改革、氢能储能产业发展等方向，以及全省能源领域重大战略任务、重点工程项目、重要改革举措等方面的意见建议。意见建议可通过电子邮件发送至nyjzhc@hbdrc.gov.cn提交，邮件主题统一标注为“河北省新型能源体系建设‘十五五’规划意见建议”。以单位名义反馈的需加盖单位公章，以个人名义反馈的需签署真实姓名并备注联系方式。</w:t>
      </w:r>
    </w:p>
    <w:p>
      <w:pPr>
        <w:ind w:firstLine="420"/>
      </w:pPr>
      <w:r>
        <w:rPr>
          <w:rFonts w:ascii="微软雅黑" w:hAnsi="微软雅黑" w:eastAsia="微软雅黑" w:cs="微软雅黑"/>
        </w:rPr>
        <w:t>来源：</w:t>
      </w:r>
      <w:hyperlink w:anchor="source-14356">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14. 哈得－富满油田6000米以深油气累产破2600万吨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10月5日，中国石油宣布哈得－富满油田自6000米以深地层累计采出油气突破2600万吨，标志我国超深油气开发规模再上新台阶。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油田位于塔里木盆地塔克拉玛干沙漠北缘，是我国最大沙漠油田和超深油气生产基地。已钻成超深井485口，其中累计产油气超10万吨的油井133口，超万吨的油井464口。塔里木盆地已探明油气储量超过50亿吨，超深层贡献其中过半，是我国油气增储上产的重要潜力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夯实塔里木盆地作为超深油气主战场的资源基础，对我国陆上原油稳产增产具有直接支撑作用。</w:t>
      </w:r>
    </w:p>
    <w:p>
      <w:pPr>
        <w:ind w:firstLine="420"/>
      </w:pPr>
      <w:r>
        <w:rPr>
          <w:rFonts w:ascii="微软雅黑" w:hAnsi="微软雅黑" w:eastAsia="微软雅黑" w:cs="微软雅黑"/>
        </w:rPr>
        <w:t>来源：</w:t>
      </w:r>
      <w:hyperlink w:anchor="source-1407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15. 大秦铁路启动集中修，保障日运量100万吨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中国西煤东运主要通道大秦铁路开启集中修施工，每天9时至12时全线列车停运，对钢轨、轨枕、道床、供电接触网和信号设备等进行检修更新；调度部门将保障施工期间日运量完成100万吨。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集中修计划完成成段更换钢轨51.6公里、更换轨枕18698根、大机清筛道床85.26公里、大机捣固线路386.34公里等任务。大秦铁路年运输煤炭约4亿吨，用户覆盖26个省、市、自治区，服务6000多家企业。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大秦铁路作为中国西煤东运主要通道，集中修期间将实施每日固定时段全线列车停运；调度部门明确保障日运量100万吨。</w:t>
      </w:r>
    </w:p>
    <w:p>
      <w:pPr>
        <w:ind w:firstLine="420"/>
      </w:pPr>
      <w:r>
        <w:rPr>
          <w:rFonts w:ascii="微软雅黑" w:hAnsi="微软雅黑" w:eastAsia="微软雅黑" w:cs="微软雅黑"/>
        </w:rPr>
        <w:t>来源：</w:t>
      </w:r>
      <w:hyperlink w:anchor="source-13898">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16. 田湾核电7号机组启动能源启动并向中国电网送出首批电力</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俄罗斯国家原子能公司（Rosatom）在中国田湾核电站7号机组启动能源启动阶段，机组已向中国电网送出首批千瓦电力。能源启动阶段将把反应堆功率由物理启动时的1%分阶段提升至50%。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机组采用VVER-1200反应堆，由Rosatom与中国核工业集团（CNNC）合作建设。2018年双方签订田湾核电站7、8号机组框架合同，机组建设工程于2021年启动。Rosatom总经理Likhachev此前表示，未来一年半内还计划在中国启动田湾8号机组及徐大堡3、4号机组。</w:t>
      </w:r>
    </w:p>
    <w:p>
      <w:pPr>
        <w:ind w:firstLine="420"/>
      </w:pPr>
      <w:r>
        <w:rPr>
          <w:rFonts w:ascii="微软雅黑" w:hAnsi="微软雅黑" w:eastAsia="微软雅黑" w:cs="微软雅黑"/>
        </w:rPr>
        <w:t>来源：</w:t>
      </w:r>
      <w:hyperlink w:anchor="source-1427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17. 全国首个“沙戈荒”新能源大基地配套调峰电源全容量投产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10月2日，国家能源集团宁夏电力中卫电厂6号机组通过168小时试运行，标志着宁夏腾格里“沙戈荒”新能源大基地暨“宁湘直流”配套电源基地4台660兆瓦调峰煤电机组全容量投产。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卫电厂项目于2024年4月26日开工建设，9个月内实现4台机组全容量投产，刷新全国火电项目投产间隔纪录。项目依托宁夏—湖南±800千伏特高压直流工程，配套建设1300万千瓦新能源（风电400万千瓦、光伏900万千瓦）和调峰煤电464万千瓦。中卫电厂为国内首次采用“四机同建”模式、空冷平台一体化集成、750kV升压站钢结构五跨联合布置及悬挂式“四管集束”烟囱技术，并首创火电机组20%~100%全域自适应智能巡航控制技术，AGC调节速率为2.27%额定功率/分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4台660兆瓦机组设计年发电量118亿千瓦时，可保障220亿千瓦时清洁能源稳定外送，折合替代标煤约710万吨、减排二氧化碳1846万吨；为“十五五”新型电力系统规模化建设打造可复制样板。</w:t>
      </w:r>
    </w:p>
    <w:p>
      <w:pPr>
        <w:ind w:firstLine="420"/>
      </w:pPr>
      <w:r>
        <w:rPr>
          <w:rFonts w:ascii="微软雅黑" w:hAnsi="微软雅黑" w:eastAsia="微软雅黑" w:cs="微软雅黑"/>
        </w:rPr>
        <w:t>来源：</w:t>
      </w:r>
      <w:hyperlink w:anchor="source-14361">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18. 内蒙古印发2026年第四批独立新型储能清单共800MW/3.2GWh</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内蒙古能源局于9月24日印发《关于印发2026年第四批独立新型储能建设项目清单的通知》，确定3个项目纳入自治区独立新型储能电站建设项目清单，总装机规模800MW/3200MWh。</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包括：乌海市景元金湖300MW/1200MWh独立储能电站（总投资8.64亿元，磷酸铁锂电池）；星恒能源有限公司金湖300MW/1200MWh独立储能电站（总投资10.75亿元，混合固液/半固态磷酸铁锂电池）；苏尼特石旗北方联合电力有限责任公司200MW/800MWh新型独立储能电站（位于锡林郭勒盟苏尼特右旗）。通知要求项目应于2027年4月30日前实质性开工，逾期未开工的由盟市能源主管部门申请移出清单；文件印发至项目建成两年内不得擅自转让股份或更改投资主体。</w:t>
      </w:r>
    </w:p>
    <w:p>
      <w:pPr>
        <w:ind w:firstLine="420"/>
      </w:pPr>
      <w:r>
        <w:rPr>
          <w:rFonts w:ascii="微软雅黑" w:hAnsi="微软雅黑" w:eastAsia="微软雅黑" w:cs="微软雅黑"/>
        </w:rPr>
        <w:t>来源：</w:t>
      </w:r>
      <w:hyperlink w:anchor="source-14358">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19. 全国碳市场扩围专项研究进入实质推进阶段</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9月28日召开全国碳排放权交易市场扩围专项研究阶段性成果汇报会，石化、化工等行业扩围研究进入实质性推进阶段。生态环境部碳市场一处处长王铁出席。</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通报了石化、化工等行业纳入全国碳排放权交易市场的扩围研究进展。9月29日成交量175.26万吨、成交额1.60亿元为周最低；9月30日成交量234.64万吨、成交额2.13亿元为周最高；上周挂牌协议交易成交量160.75万吨，日均环比降低9.55%；大宗协议交易成交量433.80万吨，日均环比增长11.91%；上周无单向竞价成交。10月1日国家标准GB/T 32151.49-2026《温室气体排放核算与报告要求 第49部分：废弃物填埋处理企业》正式实施。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扩围研究推进将为石化、化工等行业纳入全国碳市场做准备，配套核算标准同步落地。</w:t>
      </w:r>
    </w:p>
    <w:p>
      <w:pPr>
        <w:ind w:firstLine="420"/>
      </w:pPr>
      <w:r>
        <w:rPr>
          <w:rFonts w:ascii="微软雅黑" w:hAnsi="微软雅黑" w:eastAsia="微软雅黑" w:cs="微软雅黑"/>
        </w:rPr>
        <w:t>来源：</w:t>
      </w:r>
      <w:hyperlink w:anchor="source-14250">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20. 国庆假期高速新能源车日均充电量同比增长51.42%</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10月1日0时至10月7日24日，全国高速公路新能源汽车充电次数共计671.10万次，充电量达到1.63亿千瓦时，日均充电量2325.66万千瓦时，同比增长51.42%。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假期充电服务保障水平进一步提升。统计基于纳入国家充电设施监测服务平台的6.27万个高速公路充电设施（枪）。国家能源局指导各地提前细化完善充电保障方案，利用信息化平台加强监测并做好应急调度，并表示下一步将持续推进高速公路服务区充电设施建设。</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国庆期间新能源汽车大规模出行的充电需求得到有效保障。</w:t>
      </w:r>
    </w:p>
    <w:p>
      <w:pPr>
        <w:ind w:firstLine="420"/>
      </w:pPr>
      <w:r>
        <w:rPr>
          <w:rFonts w:ascii="微软雅黑" w:hAnsi="微软雅黑" w:eastAsia="微软雅黑" w:cs="微软雅黑"/>
        </w:rPr>
        <w:t>来源：</w:t>
      </w:r>
      <w:hyperlink w:anchor="source-1405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3899">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3804">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13748">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持续监测储气库水平、供应和价格；冬末寒潮与后续库存回填仍是报告强调的风险与任务。 </w:t>
      </w:r>
      <w:hyperlink w:anchor="source-1436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上述为PDE 2036展望中的预计数据，相关方向启动公众咨询。 </w:t>
      </w:r>
      <w:hyperlink w:anchor="source-14338">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中东出口能否在袭击频次上升背景下维持高位，以及霍尔木兹海峡LNG运输是否进一步受到干扰。 </w:t>
      </w:r>
      <w:hyperlink w:anchor="source-1433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本轮制裁具体企业、个人及船舶名单的后续公布与执行情况。 </w:t>
      </w:r>
      <w:hyperlink w:anchor="source-14373">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4201">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420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调峰煤电与1300万千瓦新能源的协同运行实效及AGC调节性能的后续运行数据有待跟踪。 </w:t>
      </w:r>
      <w:hyperlink w:anchor="source-14361">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伊方对美方提议的具体回应内容，以及霍尔木兹海峡“七天计划”后续落实情况。 </w:t>
      </w:r>
      <w:hyperlink w:anchor="source-14367">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517 篇文章，形成 512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4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4364"/>
      <w:bookmarkEnd w:id="1" w:name="source-14364"/>
    </w:p>
    <w:p>
      <w:pPr>
        <w:pStyle w:val="ListBullet"/>
      </w:pPr>
      <w:r>
        <w:rPr>
          <w:rFonts w:ascii="微软雅黑" w:hAnsi="微软雅黑" w:eastAsia="微软雅黑" w:cs="微软雅黑"/>
        </w:rPr>
        <w:t>[1] 欧盟委员会能源总司｜</w:t>
      </w:r>
      <w:hyperlink r:id="rId11">
        <w:r>
          <w:rPr>
            <w:rFonts w:ascii="微软雅黑" w:hAnsi="微软雅黑" w:eastAsia="微软雅黑" w:cs="微软雅黑"/>
            <w:color w:val="087E89"/>
          </w:rPr>
          <w:t>欧盟天然气系统已为冬季做好准备，尽管储气库水平低于历史同期</w:t>
        </w:r>
      </w:hyperlink>
      <w:r>
        <w:rPr>
          <w:rFonts w:ascii="微软雅黑" w:hAnsi="微软雅黑" w:eastAsia="微软雅黑" w:cs="微软雅黑"/>
        </w:rPr>
      </w:r>
    </w:p>
    <w:p>
      <w:pPr>
        <w:spacing w:after="0" w:line="20" w:lineRule="exact"/>
      </w:pPr>
      <w:bookmarkStart w:id="2" w:name="source-14338"/>
      <w:bookmarkEnd w:id="2" w:name="source-14338"/>
    </w:p>
    <w:p>
      <w:pPr>
        <w:pStyle w:val="ListBullet"/>
      </w:pPr>
      <w:r>
        <w:rPr>
          <w:rFonts w:ascii="微软雅黑" w:hAnsi="微软雅黑" w:eastAsia="微软雅黑" w:cs="微软雅黑"/>
        </w:rPr>
        <w:t>[2] 巴西能源研究公司｜</w:t>
      </w:r>
      <w:hyperlink r:id="rId12">
        <w:r>
          <w:rPr>
            <w:rFonts w:ascii="微软雅黑" w:hAnsi="微软雅黑" w:eastAsia="微软雅黑" w:cs="微软雅黑"/>
            <w:color w:val="087E89"/>
          </w:rPr>
          <w:t>更电气化、更可再生、更灵活：PDE 2036展望巴西未来十年能源并启动公众咨询</w:t>
        </w:r>
      </w:hyperlink>
      <w:r>
        <w:rPr>
          <w:rFonts w:ascii="微软雅黑" w:hAnsi="微软雅黑" w:eastAsia="微软雅黑" w:cs="微软雅黑"/>
        </w:rPr>
      </w:r>
    </w:p>
    <w:p>
      <w:pPr>
        <w:spacing w:after="0" w:line="20" w:lineRule="exact"/>
      </w:pPr>
      <w:bookmarkStart w:id="3" w:name="source-14336"/>
      <w:bookmarkEnd w:id="3" w:name="source-14336"/>
    </w:p>
    <w:p>
      <w:pPr>
        <w:pStyle w:val="ListBullet"/>
      </w:pPr>
      <w:r>
        <w:rPr>
          <w:rFonts w:ascii="微软雅黑" w:hAnsi="微软雅黑" w:eastAsia="微软雅黑" w:cs="微软雅黑"/>
        </w:rPr>
        <w:t>[3] 中国能源新闻网｜</w:t>
      </w:r>
      <w:hyperlink r:id="rId13">
        <w:r>
          <w:rPr>
            <w:rFonts w:ascii="微软雅黑" w:hAnsi="微软雅黑" w:eastAsia="微软雅黑" w:cs="微软雅黑"/>
            <w:color w:val="087E89"/>
          </w:rPr>
          <w:t>9月末中东原油出口量超过伊朗战事前</w:t>
        </w:r>
      </w:hyperlink>
      <w:r>
        <w:rPr>
          <w:rFonts w:ascii="微软雅黑" w:hAnsi="微软雅黑" w:eastAsia="微软雅黑" w:cs="微软雅黑"/>
        </w:rPr>
      </w:r>
    </w:p>
    <w:p>
      <w:pPr>
        <w:spacing w:after="0" w:line="20" w:lineRule="exact"/>
      </w:pPr>
      <w:bookmarkStart w:id="4" w:name="source-14373"/>
      <w:bookmarkEnd w:id="4" w:name="source-14373"/>
    </w:p>
    <w:p>
      <w:pPr>
        <w:pStyle w:val="ListBullet"/>
      </w:pPr>
      <w:r>
        <w:rPr>
          <w:rFonts w:ascii="微软雅黑" w:hAnsi="微软雅黑" w:eastAsia="微软雅黑" w:cs="微软雅黑"/>
        </w:rPr>
        <w:t>[4] 中国新闻网｜</w:t>
      </w:r>
      <w:hyperlink r:id="rId14">
        <w:r>
          <w:rPr>
            <w:rFonts w:ascii="微软雅黑" w:hAnsi="微软雅黑" w:eastAsia="微软雅黑" w:cs="微软雅黑"/>
            <w:color w:val="087E89"/>
          </w:rPr>
          <w:t>英国出台对俄新一轮制裁</w:t>
        </w:r>
      </w:hyperlink>
      <w:r>
        <w:rPr>
          <w:rFonts w:ascii="微软雅黑" w:hAnsi="微软雅黑" w:eastAsia="微软雅黑" w:cs="微软雅黑"/>
        </w:rPr>
      </w:r>
    </w:p>
    <w:p>
      <w:pPr>
        <w:spacing w:after="0" w:line="20" w:lineRule="exact"/>
      </w:pPr>
      <w:bookmarkStart w:id="5" w:name="source-14201"/>
      <w:bookmarkEnd w:id="5" w:name="source-14201"/>
    </w:p>
    <w:p>
      <w:pPr>
        <w:pStyle w:val="ListBullet"/>
      </w:pPr>
      <w:r>
        <w:rPr>
          <w:rFonts w:ascii="微软雅黑" w:hAnsi="微软雅黑" w:eastAsia="微软雅黑" w:cs="微软雅黑"/>
        </w:rPr>
        <w:t>[5] 人民财讯等｜</w:t>
      </w:r>
      <w:hyperlink r:id="rId15">
        <w:r>
          <w:rPr>
            <w:rFonts w:ascii="微软雅黑" w:hAnsi="微软雅黑" w:eastAsia="微软雅黑" w:cs="微软雅黑"/>
            <w:color w:val="087E89"/>
          </w:rPr>
          <w:t>英国宣布对俄罗斯实施新一轮制裁</w:t>
        </w:r>
      </w:hyperlink>
      <w:r>
        <w:rPr>
          <w:rFonts w:ascii="微软雅黑" w:hAnsi="微软雅黑" w:eastAsia="微软雅黑" w:cs="微软雅黑"/>
        </w:rPr>
      </w:r>
    </w:p>
    <w:p>
      <w:pPr>
        <w:spacing w:after="0" w:line="20" w:lineRule="exact"/>
      </w:pPr>
      <w:bookmarkStart w:id="6" w:name="source-14206"/>
      <w:bookmarkEnd w:id="6" w:name="source-14206"/>
    </w:p>
    <w:p>
      <w:pPr>
        <w:pStyle w:val="ListBullet"/>
      </w:pPr>
      <w:r>
        <w:rPr>
          <w:rFonts w:ascii="微软雅黑" w:hAnsi="微软雅黑" w:eastAsia="微软雅黑" w:cs="微软雅黑"/>
        </w:rPr>
        <w:t>[6] Interfax｜</w:t>
      </w:r>
      <w:hyperlink r:id="rId16">
        <w:r>
          <w:rPr>
            <w:rFonts w:ascii="微软雅黑" w:hAnsi="微软雅黑" w:eastAsia="微软雅黑" w:cs="微软雅黑"/>
            <w:color w:val="087E89"/>
          </w:rPr>
          <w:t>英国对“扎鲁别什石油”公司及印科控股结构实施制裁</w:t>
        </w:r>
      </w:hyperlink>
      <w:r>
        <w:rPr>
          <w:rFonts w:ascii="微软雅黑" w:hAnsi="微软雅黑" w:eastAsia="微软雅黑" w:cs="微软雅黑"/>
        </w:rPr>
      </w:r>
    </w:p>
    <w:p>
      <w:pPr>
        <w:spacing w:after="0" w:line="20" w:lineRule="exact"/>
      </w:pPr>
      <w:bookmarkStart w:id="7" w:name="source-14361"/>
      <w:bookmarkEnd w:id="7" w:name="source-14361"/>
    </w:p>
    <w:p>
      <w:pPr>
        <w:pStyle w:val="ListBullet"/>
      </w:pPr>
      <w:r>
        <w:rPr>
          <w:rFonts w:ascii="微软雅黑" w:hAnsi="微软雅黑" w:eastAsia="微软雅黑" w:cs="微软雅黑"/>
        </w:rPr>
        <w:t>[7] 北极星电力网｜</w:t>
      </w:r>
      <w:hyperlink r:id="rId17">
        <w:r>
          <w:rPr>
            <w:rFonts w:ascii="微软雅黑" w:hAnsi="微软雅黑" w:eastAsia="微软雅黑" w:cs="微软雅黑"/>
            <w:color w:val="087E89"/>
          </w:rPr>
          <w:t>全国首个“沙戈荒”新能源大基地配套调峰电源全容量投产！</w:t>
        </w:r>
      </w:hyperlink>
      <w:r>
        <w:rPr>
          <w:rFonts w:ascii="微软雅黑" w:hAnsi="微软雅黑" w:eastAsia="微软雅黑" w:cs="微软雅黑"/>
        </w:rPr>
      </w:r>
    </w:p>
    <w:p>
      <w:pPr>
        <w:spacing w:after="0" w:line="20" w:lineRule="exact"/>
      </w:pPr>
      <w:bookmarkStart w:id="8" w:name="source-14367"/>
      <w:bookmarkEnd w:id="8" w:name="source-14367"/>
    </w:p>
    <w:p>
      <w:pPr>
        <w:pStyle w:val="ListBullet"/>
      </w:pPr>
      <w:r>
        <w:rPr>
          <w:rFonts w:ascii="微软雅黑" w:hAnsi="微软雅黑" w:eastAsia="微软雅黑" w:cs="微软雅黑"/>
        </w:rPr>
        <w:t>[8] 新浪财经｜</w:t>
      </w:r>
      <w:hyperlink r:id="rId18">
        <w:r>
          <w:rPr>
            <w:rFonts w:ascii="微软雅黑" w:hAnsi="微软雅黑" w:eastAsia="微软雅黑" w:cs="微软雅黑"/>
            <w:color w:val="087E89"/>
          </w:rPr>
          <w:t>伊朗外长称将在数日内回应美国提议 伊方重申不会放弃铀浓缩权利</w:t>
        </w:r>
      </w:hyperlink>
      <w:r>
        <w:rPr>
          <w:rFonts w:ascii="微软雅黑" w:hAnsi="微软雅黑" w:eastAsia="微软雅黑" w:cs="微软雅黑"/>
        </w:rPr>
      </w:r>
    </w:p>
    <w:p>
      <w:pPr>
        <w:spacing w:after="0" w:line="20" w:lineRule="exact"/>
      </w:pPr>
      <w:bookmarkStart w:id="9" w:name="source-14277"/>
      <w:bookmarkEnd w:id="9" w:name="source-14277"/>
    </w:p>
    <w:p>
      <w:pPr>
        <w:pStyle w:val="ListBullet"/>
      </w:pPr>
      <w:r>
        <w:rPr>
          <w:rFonts w:ascii="微软雅黑" w:hAnsi="微软雅黑" w:eastAsia="微软雅黑" w:cs="微软雅黑"/>
        </w:rPr>
        <w:t>[9] Interfax｜</w:t>
      </w:r>
      <w:hyperlink r:id="rId19">
        <w:r>
          <w:rPr>
            <w:rFonts w:ascii="微软雅黑" w:hAnsi="微软雅黑" w:eastAsia="微软雅黑" w:cs="微软雅黑"/>
            <w:color w:val="087E89"/>
          </w:rPr>
          <w:t>“ Росатом ”开始对中国的田湾核电站7号机组进行能源启动</w:t>
        </w:r>
      </w:hyperlink>
      <w:r>
        <w:rPr>
          <w:rFonts w:ascii="微软雅黑" w:hAnsi="微软雅黑" w:eastAsia="微软雅黑" w:cs="微软雅黑"/>
        </w:rPr>
      </w:r>
    </w:p>
    <w:p>
      <w:pPr>
        <w:spacing w:after="0" w:line="20" w:lineRule="exact"/>
      </w:pPr>
      <w:bookmarkStart w:id="10" w:name="source-14219"/>
      <w:bookmarkEnd w:id="10" w:name="source-14219"/>
    </w:p>
    <w:p>
      <w:pPr>
        <w:pStyle w:val="ListBullet"/>
      </w:pPr>
      <w:r>
        <w:rPr>
          <w:rFonts w:ascii="微软雅黑" w:hAnsi="微软雅黑" w:eastAsia="微软雅黑" w:cs="微软雅黑"/>
        </w:rPr>
        <w:t>[10] 斯伦贝谢｜</w:t>
      </w:r>
      <w:hyperlink r:id="rId20">
        <w:r>
          <w:rPr>
            <w:rFonts w:ascii="微软雅黑" w:hAnsi="微软雅黑" w:eastAsia="微软雅黑" w:cs="微软雅黑"/>
            <w:color w:val="087E89"/>
          </w:rPr>
          <w:t>道达尔能源授予斯伦贝谢数字钻井技术合同</w:t>
        </w:r>
      </w:hyperlink>
      <w:r>
        <w:rPr>
          <w:rFonts w:ascii="微软雅黑" w:hAnsi="微软雅黑" w:eastAsia="微软雅黑" w:cs="微软雅黑"/>
        </w:rPr>
      </w:r>
    </w:p>
    <w:p>
      <w:pPr>
        <w:spacing w:after="0" w:line="20" w:lineRule="exact"/>
      </w:pPr>
      <w:bookmarkStart w:id="11" w:name="source-14075"/>
      <w:bookmarkEnd w:id="11" w:name="source-14075"/>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哈得－富满油田采出6000米下油气突破2600万吨</w:t>
        </w:r>
      </w:hyperlink>
      <w:r>
        <w:rPr>
          <w:rFonts w:ascii="微软雅黑" w:hAnsi="微软雅黑" w:eastAsia="微软雅黑" w:cs="微软雅黑"/>
        </w:rPr>
      </w:r>
    </w:p>
    <w:p>
      <w:pPr>
        <w:spacing w:after="0" w:line="20" w:lineRule="exact"/>
      </w:pPr>
      <w:bookmarkStart w:id="12" w:name="source-14054"/>
      <w:bookmarkEnd w:id="12" w:name="source-14054"/>
    </w:p>
    <w:p>
      <w:pPr>
        <w:pStyle w:val="ListBullet"/>
      </w:pPr>
      <w:r>
        <w:rPr>
          <w:rFonts w:ascii="微软雅黑" w:hAnsi="微软雅黑" w:eastAsia="微软雅黑" w:cs="微软雅黑"/>
        </w:rPr>
        <w:t>[12] 新华社｜</w:t>
      </w:r>
      <w:hyperlink r:id="rId22">
        <w:r>
          <w:rPr>
            <w:rFonts w:ascii="微软雅黑" w:hAnsi="微软雅黑" w:eastAsia="微软雅黑" w:cs="微软雅黑"/>
            <w:color w:val="087E89"/>
          </w:rPr>
          <w:t>国家能源局：国庆假期高速公路新能源汽车日均充电量同比增长51.42% 充电服务保障水平进一步提升</w:t>
        </w:r>
      </w:hyperlink>
      <w:r>
        <w:rPr>
          <w:rFonts w:ascii="微软雅黑" w:hAnsi="微软雅黑" w:eastAsia="微软雅黑" w:cs="微软雅黑"/>
        </w:rPr>
      </w:r>
    </w:p>
    <w:p>
      <w:pPr>
        <w:spacing w:after="0" w:line="20" w:lineRule="exact"/>
      </w:pPr>
      <w:bookmarkStart w:id="13" w:name="source-13899"/>
      <w:bookmarkEnd w:id="13" w:name="source-13899"/>
    </w:p>
    <w:p>
      <w:pPr>
        <w:pStyle w:val="ListBullet"/>
      </w:pPr>
      <w:r>
        <w:rPr>
          <w:rFonts w:ascii="微软雅黑" w:hAnsi="微软雅黑" w:eastAsia="微软雅黑" w:cs="微软雅黑"/>
        </w:rPr>
        <w:t>[13] 中国新闻网｜</w:t>
      </w:r>
      <w:hyperlink r:id="rId23">
        <w:r>
          <w:rPr>
            <w:rFonts w:ascii="微软雅黑" w:hAnsi="微软雅黑" w:eastAsia="微软雅黑" w:cs="微软雅黑"/>
            <w:color w:val="087E89"/>
          </w:rPr>
          <w:t>国庆假期高速公路新能源汽车日均充电量同比增长51.42%</w:t>
        </w:r>
      </w:hyperlink>
      <w:r>
        <w:rPr>
          <w:rFonts w:ascii="微软雅黑" w:hAnsi="微软雅黑" w:eastAsia="微软雅黑" w:cs="微软雅黑"/>
        </w:rPr>
      </w:r>
    </w:p>
    <w:p>
      <w:pPr>
        <w:spacing w:after="0" w:line="20" w:lineRule="exact"/>
      </w:pPr>
      <w:bookmarkStart w:id="14" w:name="source-13804"/>
      <w:bookmarkEnd w:id="14" w:name="source-13804"/>
    </w:p>
    <w:p>
      <w:pPr>
        <w:pStyle w:val="ListBullet"/>
      </w:pPr>
      <w:r>
        <w:rPr>
          <w:rFonts w:ascii="微软雅黑" w:hAnsi="微软雅黑" w:eastAsia="微软雅黑" w:cs="微软雅黑"/>
        </w:rPr>
        <w:t>[14] 国家能源局｜</w:t>
      </w:r>
      <w:hyperlink r:id="rId24">
        <w:r>
          <w:rPr>
            <w:rFonts w:ascii="微软雅黑" w:hAnsi="微软雅黑" w:eastAsia="微软雅黑" w:cs="微软雅黑"/>
            <w:color w:val="087E89"/>
          </w:rPr>
          <w:t>国庆假期前3天高速公路新能源汽车充电近300万次、充电量超0.71亿千瓦时</w:t>
        </w:r>
      </w:hyperlink>
      <w:r>
        <w:rPr>
          <w:rFonts w:ascii="微软雅黑" w:hAnsi="微软雅黑" w:eastAsia="微软雅黑" w:cs="微软雅黑"/>
        </w:rPr>
      </w:r>
    </w:p>
    <w:p>
      <w:pPr>
        <w:spacing w:after="0" w:line="20" w:lineRule="exact"/>
      </w:pPr>
      <w:bookmarkStart w:id="15" w:name="source-13748"/>
      <w:bookmarkEnd w:id="15" w:name="source-13748"/>
    </w:p>
    <w:p>
      <w:pPr>
        <w:pStyle w:val="ListBullet"/>
      </w:pPr>
      <w:r>
        <w:rPr>
          <w:rFonts w:ascii="微软雅黑" w:hAnsi="微软雅黑" w:eastAsia="微软雅黑" w:cs="微软雅黑"/>
        </w:rPr>
        <w:t>[15] 人民日报｜</w:t>
      </w:r>
      <w:hyperlink r:id="rId25">
        <w:r>
          <w:rPr>
            <w:rFonts w:ascii="微软雅黑" w:hAnsi="微软雅黑" w:eastAsia="微软雅黑" w:cs="微软雅黑"/>
            <w:color w:val="087E89"/>
          </w:rPr>
          <w:t>一增一降里的新能源汽车充电新趋势（新场景里看活力）</w:t>
        </w:r>
      </w:hyperlink>
      <w:r>
        <w:rPr>
          <w:rFonts w:ascii="微软雅黑" w:hAnsi="微软雅黑" w:eastAsia="微软雅黑" w:cs="微软雅黑"/>
        </w:rPr>
      </w:r>
    </w:p>
    <w:p>
      <w:pPr>
        <w:spacing w:after="0" w:line="20" w:lineRule="exact"/>
      </w:pPr>
      <w:bookmarkStart w:id="16" w:name="source-14356"/>
      <w:bookmarkEnd w:id="16" w:name="source-14356"/>
    </w:p>
    <w:p>
      <w:pPr>
        <w:pStyle w:val="ListBullet"/>
      </w:pPr>
      <w:r>
        <w:rPr>
          <w:rFonts w:ascii="微软雅黑" w:hAnsi="微软雅黑" w:eastAsia="微软雅黑" w:cs="微软雅黑"/>
        </w:rPr>
        <w:t>[16] Mysteel｜</w:t>
      </w:r>
      <w:hyperlink r:id="rId26">
        <w:r>
          <w:rPr>
            <w:rFonts w:ascii="微软雅黑" w:hAnsi="微软雅黑" w:eastAsia="微软雅黑" w:cs="微软雅黑"/>
            <w:color w:val="087E89"/>
          </w:rPr>
          <w:t>河北公开征集新型能源体系建设“十五五”规划意见建议</w:t>
        </w:r>
      </w:hyperlink>
      <w:r>
        <w:rPr>
          <w:rFonts w:ascii="微软雅黑" w:hAnsi="微软雅黑" w:eastAsia="微软雅黑" w:cs="微软雅黑"/>
        </w:rPr>
      </w:r>
    </w:p>
    <w:p>
      <w:pPr>
        <w:spacing w:after="0" w:line="20" w:lineRule="exact"/>
      </w:pPr>
      <w:bookmarkStart w:id="17" w:name="source-14250"/>
      <w:bookmarkEnd w:id="17" w:name="source-14250"/>
    </w:p>
    <w:p>
      <w:pPr>
        <w:pStyle w:val="ListBullet"/>
      </w:pPr>
      <w:r>
        <w:rPr>
          <w:rFonts w:ascii="微软雅黑" w:hAnsi="微软雅黑" w:eastAsia="微软雅黑" w:cs="微软雅黑"/>
        </w:rPr>
        <w:t>[17] 汾渭能源煤炭资源网｜</w:t>
      </w:r>
      <w:hyperlink r:id="rId27">
        <w:r>
          <w:rPr>
            <w:rFonts w:ascii="微软雅黑" w:hAnsi="微软雅黑" w:eastAsia="微软雅黑" w:cs="微软雅黑"/>
            <w:color w:val="087E89"/>
          </w:rPr>
          <w:t>全国碳交易市场一周总结（2026.9.30）</w:t>
        </w:r>
      </w:hyperlink>
      <w:r>
        <w:rPr>
          <w:rFonts w:ascii="微软雅黑" w:hAnsi="微软雅黑" w:eastAsia="微软雅黑" w:cs="微软雅黑"/>
        </w:rPr>
      </w:r>
    </w:p>
    <w:p>
      <w:pPr>
        <w:spacing w:after="0" w:line="20" w:lineRule="exact"/>
      </w:pPr>
      <w:bookmarkStart w:id="18" w:name="source-14245"/>
      <w:bookmarkEnd w:id="18" w:name="source-14245"/>
    </w:p>
    <w:p>
      <w:pPr>
        <w:pStyle w:val="ListBullet"/>
      </w:pPr>
      <w:r>
        <w:rPr>
          <w:rFonts w:ascii="微软雅黑" w:hAnsi="微软雅黑" w:eastAsia="微软雅黑" w:cs="微软雅黑"/>
        </w:rPr>
        <w:t>[18] 《能源全球》｜</w:t>
      </w:r>
      <w:hyperlink r:id="rId28">
        <w:r>
          <w:rPr>
            <w:rFonts w:ascii="微软雅黑" w:hAnsi="微软雅黑" w:eastAsia="微软雅黑" w:cs="微软雅黑"/>
            <w:color w:val="087E89"/>
          </w:rPr>
          <w:t>Greenvolt为罗马尼亚风电项目获得融资</w:t>
        </w:r>
      </w:hyperlink>
      <w:r>
        <w:rPr>
          <w:rFonts w:ascii="微软雅黑" w:hAnsi="微软雅黑" w:eastAsia="微软雅黑" w:cs="微软雅黑"/>
        </w:rPr>
      </w:r>
    </w:p>
    <w:p>
      <w:pPr>
        <w:spacing w:after="0" w:line="20" w:lineRule="exact"/>
      </w:pPr>
      <w:bookmarkStart w:id="19" w:name="source-14019"/>
      <w:bookmarkEnd w:id="19" w:name="source-14019"/>
    </w:p>
    <w:p>
      <w:pPr>
        <w:pStyle w:val="ListBullet"/>
      </w:pPr>
      <w:r>
        <w:rPr>
          <w:rFonts w:ascii="微软雅黑" w:hAnsi="微软雅黑" w:eastAsia="微软雅黑" w:cs="微软雅黑"/>
        </w:rPr>
        <w:t>[19] 中财网｜</w:t>
      </w:r>
      <w:hyperlink r:id="rId29">
        <w:r>
          <w:rPr>
            <w:rFonts w:ascii="微软雅黑" w:hAnsi="微软雅黑" w:eastAsia="微软雅黑" w:cs="微软雅黑"/>
            <w:color w:val="087E89"/>
          </w:rPr>
          <w:t>煤炭利润大增51.6% 美国煤进口落地+山西稳产加码</w:t>
        </w:r>
      </w:hyperlink>
      <w:r>
        <w:rPr>
          <w:rFonts w:ascii="微软雅黑" w:hAnsi="微软雅黑" w:eastAsia="微软雅黑" w:cs="微软雅黑"/>
        </w:rPr>
      </w:r>
    </w:p>
    <w:p>
      <w:pPr>
        <w:spacing w:after="0" w:line="20" w:lineRule="exact"/>
      </w:pPr>
      <w:bookmarkStart w:id="20" w:name="source-13898"/>
      <w:bookmarkEnd w:id="20" w:name="source-13898"/>
    </w:p>
    <w:p>
      <w:pPr>
        <w:pStyle w:val="ListBullet"/>
      </w:pPr>
      <w:r>
        <w:rPr>
          <w:rFonts w:ascii="微软雅黑" w:hAnsi="微软雅黑" w:eastAsia="微软雅黑" w:cs="微软雅黑"/>
        </w:rPr>
        <w:t>[20] 中国新闻网｜</w:t>
      </w:r>
      <w:hyperlink r:id="rId30">
        <w:r>
          <w:rPr>
            <w:rFonts w:ascii="微软雅黑" w:hAnsi="微软雅黑" w:eastAsia="微软雅黑" w:cs="微软雅黑"/>
            <w:color w:val="087E89"/>
          </w:rPr>
          <w:t>重要能源通道大秦铁路开启集中修施工</w:t>
        </w:r>
      </w:hyperlink>
      <w:r>
        <w:rPr>
          <w:rFonts w:ascii="微软雅黑" w:hAnsi="微软雅黑" w:eastAsia="微软雅黑" w:cs="微软雅黑"/>
        </w:rPr>
      </w:r>
    </w:p>
    <w:p>
      <w:pPr>
        <w:spacing w:after="0" w:line="20" w:lineRule="exact"/>
      </w:pPr>
      <w:bookmarkStart w:id="21" w:name="source-14334"/>
      <w:bookmarkEnd w:id="21" w:name="source-14334"/>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国际能源署成员国同意加快释放1亿桶石油储备</w:t>
        </w:r>
      </w:hyperlink>
      <w:r>
        <w:rPr>
          <w:rFonts w:ascii="微软雅黑" w:hAnsi="微软雅黑" w:eastAsia="微软雅黑" w:cs="微软雅黑"/>
        </w:rPr>
      </w:r>
    </w:p>
    <w:p>
      <w:pPr>
        <w:spacing w:after="0" w:line="20" w:lineRule="exact"/>
      </w:pPr>
      <w:bookmarkStart w:id="22" w:name="source-14371"/>
      <w:bookmarkEnd w:id="22" w:name="source-14371"/>
    </w:p>
    <w:p>
      <w:pPr>
        <w:pStyle w:val="ListBullet"/>
      </w:pPr>
      <w:r>
        <w:rPr>
          <w:rFonts w:ascii="微软雅黑" w:hAnsi="微软雅黑" w:eastAsia="微软雅黑" w:cs="微软雅黑"/>
        </w:rPr>
        <w:t>[22] 欧洲输电系统运营商联盟｜</w:t>
      </w:r>
      <w:hyperlink r:id="rId32">
        <w:r>
          <w:rPr>
            <w:rFonts w:ascii="微软雅黑" w:hAnsi="微软雅黑" w:eastAsia="微软雅黑" w:cs="微软雅黑"/>
            <w:color w:val="087E89"/>
          </w:rPr>
          <w:t>ENTSO-E新版报告揭示欧洲输电费用回收方式</w:t>
        </w:r>
      </w:hyperlink>
      <w:r>
        <w:rPr>
          <w:rFonts w:ascii="微软雅黑" w:hAnsi="微软雅黑" w:eastAsia="微软雅黑" w:cs="微软雅黑"/>
        </w:rPr>
      </w:r>
    </w:p>
    <w:p>
      <w:pPr>
        <w:spacing w:after="0" w:line="20" w:lineRule="exact"/>
      </w:pPr>
      <w:bookmarkStart w:id="23" w:name="source-14360"/>
      <w:bookmarkEnd w:id="23" w:name="source-14360"/>
    </w:p>
    <w:p>
      <w:pPr>
        <w:pStyle w:val="ListBullet"/>
      </w:pPr>
      <w:r>
        <w:rPr>
          <w:rFonts w:ascii="微软雅黑" w:hAnsi="微软雅黑" w:eastAsia="微软雅黑" w:cs="微软雅黑"/>
        </w:rPr>
        <w:t>[23] 北极星电力网｜</w:t>
      </w:r>
      <w:hyperlink r:id="rId33">
        <w:r>
          <w:rPr>
            <w:rFonts w:ascii="微软雅黑" w:hAnsi="微软雅黑" w:eastAsia="微软雅黑" w:cs="微软雅黑"/>
            <w:color w:val="087E89"/>
          </w:rPr>
          <w:t>以有为政府培育有效电力市场——今年以来电力市场运行情况观察</w:t>
        </w:r>
      </w:hyperlink>
      <w:r>
        <w:rPr>
          <w:rFonts w:ascii="微软雅黑" w:hAnsi="微软雅黑" w:eastAsia="微软雅黑" w:cs="微软雅黑"/>
        </w:rPr>
      </w:r>
    </w:p>
    <w:p>
      <w:pPr>
        <w:spacing w:after="0" w:line="20" w:lineRule="exact"/>
      </w:pPr>
      <w:bookmarkStart w:id="24" w:name="source-14358"/>
      <w:bookmarkEnd w:id="24" w:name="source-14358"/>
    </w:p>
    <w:p>
      <w:pPr>
        <w:pStyle w:val="ListBullet"/>
      </w:pPr>
      <w:r>
        <w:rPr>
          <w:rFonts w:ascii="微软雅黑" w:hAnsi="微软雅黑" w:eastAsia="微软雅黑" w:cs="微软雅黑"/>
        </w:rPr>
        <w:t>[24] 北极星电力网｜</w:t>
      </w:r>
      <w:hyperlink r:id="rId34">
        <w:r>
          <w:rPr>
            <w:rFonts w:ascii="微软雅黑" w:hAnsi="微软雅黑" w:eastAsia="微软雅黑" w:cs="微软雅黑"/>
            <w:color w:val="087E89"/>
          </w:rPr>
          <w:t>800MW/3.2GWh！内蒙古2026年第四批独立储能清单印发</w:t>
        </w:r>
      </w:hyperlink>
      <w:r>
        <w:rPr>
          <w:rFonts w:ascii="微软雅黑" w:hAnsi="微软雅黑" w:eastAsia="微软雅黑" w:cs="微软雅黑"/>
        </w:rPr>
      </w:r>
    </w:p>
    <w:p>
      <w:pPr>
        <w:spacing w:after="0" w:line="20" w:lineRule="exact"/>
      </w:pPr>
      <w:bookmarkStart w:id="25" w:name="source-14335"/>
      <w:bookmarkEnd w:id="25" w:name="source-14335"/>
    </w:p>
    <w:p>
      <w:pPr>
        <w:pStyle w:val="ListBullet"/>
      </w:pPr>
      <w:r>
        <w:rPr>
          <w:rFonts w:ascii="微软雅黑" w:hAnsi="微软雅黑" w:eastAsia="微软雅黑" w:cs="微软雅黑"/>
        </w:rPr>
        <w:t>[25] 中国能源新闻网｜</w:t>
      </w:r>
      <w:hyperlink r:id="rId35">
        <w:r>
          <w:rPr>
            <w:rFonts w:ascii="微软雅黑" w:hAnsi="微软雅黑" w:eastAsia="微软雅黑" w:cs="微软雅黑"/>
            <w:color w:val="087E89"/>
          </w:rPr>
          <w:t>日本开始第24轮核污染水排海</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energy.ec.europa.eu/news/eu-gas-system-prepared-winter-despite-lower-storage-levels-2026-10-08_en" TargetMode="External"/><Relationship Id="rId12" Type="http://schemas.openxmlformats.org/officeDocument/2006/relationships/hyperlink" Target="https://www.epe.gov.br/pt/imprensa/noticias/mais-eletrico-mais-renovavel-mais-flexivel-pde-2036-projeta-a-energia-do-brasil-nos-proximos-dez-anos-e-abre-consulta-publica" TargetMode="External"/><Relationship Id="rId13" Type="http://schemas.openxmlformats.org/officeDocument/2006/relationships/hyperlink" Target="https://www.cpnn.com.cn/news/gj/202610/t20261008_1918453.html" TargetMode="External"/><Relationship Id="rId14" Type="http://schemas.openxmlformats.org/officeDocument/2006/relationships/hyperlink" Target="https://www.chinanews.com.cn/gj/2026/10-08/10709418.shtml" TargetMode="External"/><Relationship Id="rId15" Type="http://schemas.openxmlformats.org/officeDocument/2006/relationships/hyperlink" Target="https://www.stcn.com/article/detail/4208749.html" TargetMode="External"/><Relationship Id="rId16" Type="http://schemas.openxmlformats.org/officeDocument/2006/relationships/hyperlink" Target="https://www.interfax.ru/world/1121111" TargetMode="External"/><Relationship Id="rId17" Type="http://schemas.openxmlformats.org/officeDocument/2006/relationships/hyperlink" Target="https://www.bjx.com.cn/html/20261008/1515043.shtml" TargetMode="External"/><Relationship Id="rId18" Type="http://schemas.openxmlformats.org/officeDocument/2006/relationships/hyperlink" Target="https://finance.sina.com.cn/stock/usstock/c/2026-10-08/doc-iniupnux4301222.shtml" TargetMode="External"/><Relationship Id="rId19" Type="http://schemas.openxmlformats.org/officeDocument/2006/relationships/hyperlink" Target="https://www.interfax.ru/business/1121131" TargetMode="External"/><Relationship Id="rId20" Type="http://schemas.openxmlformats.org/officeDocument/2006/relationships/hyperlink" Target="https://www.slb.com/newsroom/press-release/2026/pr-2026-1008-total-energies-drillplan" TargetMode="External"/><Relationship Id="rId21" Type="http://schemas.openxmlformats.org/officeDocument/2006/relationships/hyperlink" Target="https://www.cpnn.com.cn/news/yq/202610/t20261008_1918455.html" TargetMode="External"/><Relationship Id="rId22" Type="http://schemas.openxmlformats.org/officeDocument/2006/relationships/hyperlink" Target="https://www.news.cn/energy/20261008/1109ba71e8324214941b0af7398e1a26/c.html" TargetMode="External"/><Relationship Id="rId23" Type="http://schemas.openxmlformats.org/officeDocument/2006/relationships/hyperlink" Target="https://www.chinanews.com.cn/cj/2026/10-08/10709013.shtml" TargetMode="External"/><Relationship Id="rId24" Type="http://schemas.openxmlformats.org/officeDocument/2006/relationships/hyperlink" Target="https://www.nea.gov.cn/20261008/397036e746f9461f9d4c4b67b740cbe7/c.html" TargetMode="External"/><Relationship Id="rId25" Type="http://schemas.openxmlformats.org/officeDocument/2006/relationships/hyperlink" Target="http://finance.people.com.cn/n1/2026/1008/c1004-40810276.html" TargetMode="External"/><Relationship Id="rId26" Type="http://schemas.openxmlformats.org/officeDocument/2006/relationships/hyperlink" Target="https://news.mysteel.com/a/26100815/76F9C801BE092AAE.html" TargetMode="External"/><Relationship Id="rId27" Type="http://schemas.openxmlformats.org/officeDocument/2006/relationships/hyperlink" Target="https://www.sxcoal.com/news/detail/2108095823786635265" TargetMode="External"/><Relationship Id="rId28" Type="http://schemas.openxmlformats.org/officeDocument/2006/relationships/hyperlink" Target="https://www.energyglobal.com/wind/08102026/greenvolt-secures-financing-for-wind-project-in-romania/" TargetMode="External"/><Relationship Id="rId29" Type="http://schemas.openxmlformats.org/officeDocument/2006/relationships/hyperlink" Target="https://industry.cfi.cn/p20261008000486.html" TargetMode="External"/><Relationship Id="rId30" Type="http://schemas.openxmlformats.org/officeDocument/2006/relationships/hyperlink" Target="https://www.chinanews.com.cn/sh/2026/10-08/10709026.shtml" TargetMode="External"/><Relationship Id="rId31" Type="http://schemas.openxmlformats.org/officeDocument/2006/relationships/hyperlink" Target="https://www.cpnn.com.cn/news/gj/202610/t20261008_1918464.html" TargetMode="External"/><Relationship Id="rId32" Type="http://schemas.openxmlformats.org/officeDocument/2006/relationships/hyperlink" Target="https://www.entsoe.eu/news/2026/10/08/new-entso-e-reports-map-how-transmission-costs-are-recovered-across-europe/" TargetMode="External"/><Relationship Id="rId33" Type="http://schemas.openxmlformats.org/officeDocument/2006/relationships/hyperlink" Target="https://www.bjx.com.cn/html/20261008/1515044.shtml" TargetMode="External"/><Relationship Id="rId34" Type="http://schemas.openxmlformats.org/officeDocument/2006/relationships/hyperlink" Target="https://www.bjx.com.cn/html/20261008/1515047.shtml" TargetMode="External"/><Relationship Id="rId35" Type="http://schemas.openxmlformats.org/officeDocument/2006/relationships/hyperlink" Target="https://www.cpnn.com.cn/news/gj/202610/t20261008_19184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2026年10月8日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