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发布日：2026-11-02（北京时间）。</w:t>
      </w:r>
    </w:p>
    <w:p>
      <w:pPr>
        <w:ind w:firstLine="420"/>
      </w:pPr>
      <w:r>
        <w:rPr>
          <w:rFonts w:ascii="微软雅黑" w:hAnsi="微软雅黑" w:eastAsia="微软雅黑" w:cs="微软雅黑"/>
        </w:rPr>
        <w:t>信息覆盖时段：2026-11-01 04:00 至 2026-11-02 04:00（不含），Asia/Shanghai。</w:t>
      </w:r>
    </w:p>
    <w:p>
      <w:pPr/>
      <w:r>
        <w:rPr>
          <w:rFonts w:ascii="微软雅黑" w:hAnsi="微软雅黑" w:eastAsia="微软雅黑" w:cs="微软雅黑"/>
        </w:rPr>
        <w:t>统计区间：2026-11-01 04:00 至 2026-11-02 04:00（结束时刻不含，北京时间）</w:t>
      </w:r>
    </w:p>
    <w:p>
      <w:pPr>
        <w:ind w:firstLine="420"/>
      </w:pPr>
      <w:r>
        <w:rPr>
          <w:rFonts w:ascii="微软雅黑" w:hAnsi="微软雅黑" w:eastAsia="微软雅黑" w:cs="微软雅黑"/>
        </w:rPr>
        <w:t>选材快照：2026-11-02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埃尼印尼Maha气田投产，同批披露上游资产出售与2028年接入计划 </w:t>
      </w:r>
      <w:hyperlink w:anchor="source-32374">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埃尼委内瑞拉Junín-5重油田启动生产，Cardón IV签署Perla可持续性协议 </w:t>
      </w:r>
      <w:hyperlink w:anchor="source-32429">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机构研报：政策倒逼下四季度电池与新能源车出口加快 </w:t>
      </w:r>
      <w:hyperlink w:anchor="source-32494">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美伊停火斡旋与军事威胁并存，霍尔木兹海峡两日方案磋商未形成结论 </w:t>
      </w:r>
      <w:hyperlink w:anchor="source-32294">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32517">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32320">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32381">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32422">
        <w:r>
          <w:rPr>
            <w:rFonts w:ascii="微软雅黑" w:hAnsi="微软雅黑" w:eastAsia="微软雅黑" w:cs="微软雅黑"/>
            <w:color w:val="087E89"/>
          </w:rPr>
          <w:t>8</w:t>
        </w:r>
      </w:hyperlink>
      <w:r>
        <w:rPr>
          <w:rFonts w:ascii="微软雅黑" w:hAnsi="微软雅黑" w:eastAsia="微软雅黑" w:cs="微软雅黑"/>
        </w:rPr>
      </w:r>
    </w:p>
    <w:p>
      <w:pPr>
        <w:pStyle w:val="ListBullet"/>
      </w:pPr>
      <w:r>
        <w:rPr>
          <w:rFonts w:ascii="微软雅黑" w:hAnsi="微软雅黑" w:eastAsia="微软雅黑" w:cs="微软雅黑"/>
        </w:rPr>
        <w:t xml:space="preserve">美国汽油均价升至每加仑4.29美元，柴油涨至6.35美元 </w:t>
      </w:r>
      <w:hyperlink w:anchor="source-32369">
        <w:r>
          <w:rPr>
            <w:rFonts w:ascii="微软雅黑" w:hAnsi="微软雅黑" w:eastAsia="微软雅黑" w:cs="微软雅黑"/>
            <w:color w:val="087E89"/>
          </w:rPr>
          <w:t>9</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数据时间与性质</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印尼Maha气田产能</w:t>
            </w:r>
          </w:p>
        </w:tc>
        <w:tc>
          <w:tcPr>
            <w:tcW w:type="dxa" w:w="2268"/>
          </w:tcPr>
          <w:p>
            <w:pPr>
              <w:spacing w:after="40"/>
            </w:pPr>
            <w:r>
              <w:rPr>
                <w:rFonts w:ascii="微软雅黑" w:hAnsi="微软雅黑" w:eastAsia="微软雅黑" w:cs="微软雅黑"/>
              </w:rPr>
              <w:t>250 MMSCFD</w:t>
            </w:r>
          </w:p>
        </w:tc>
        <w:tc>
          <w:tcPr>
            <w:tcW w:type="dxa" w:w="2268"/>
          </w:tcPr>
          <w:p>
            <w:pPr>
              <w:spacing w:after="40"/>
            </w:pPr>
            <w:r>
              <w:rPr>
                <w:rFonts w:ascii="微软雅黑" w:hAnsi="微软雅黑" w:eastAsia="微软雅黑" w:cs="微软雅黑"/>
              </w:rPr>
              <w:t>2026-10 · 实绩</w:t>
            </w:r>
          </w:p>
        </w:tc>
        <w:tc>
          <w:tcPr>
            <w:tcW w:type="dxa" w:w="2268"/>
          </w:tcPr>
          <w:p>
            <w:pPr>
              <w:spacing w:after="40"/>
            </w:pPr>
            <w:r>
              <w:rPr>
                <w:rFonts w:ascii="微软雅黑" w:hAnsi="微软雅黑" w:eastAsia="微软雅黑" w:cs="微软雅黑"/>
              </w:rPr>
            </w:r>
            <w:hyperlink w:anchor="source-32374">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委内瑞拉Junín-5已认证石油地质储量</w:t>
            </w:r>
          </w:p>
        </w:tc>
        <w:tc>
          <w:tcPr>
            <w:tcW w:type="dxa" w:w="2268"/>
          </w:tcPr>
          <w:p>
            <w:pPr>
              <w:spacing w:after="40"/>
            </w:pPr>
            <w:r>
              <w:rPr>
                <w:rFonts w:ascii="微软雅黑" w:hAnsi="微软雅黑" w:eastAsia="微软雅黑" w:cs="微软雅黑"/>
              </w:rPr>
              <w:t>约350亿桶</w:t>
            </w:r>
          </w:p>
        </w:tc>
        <w:tc>
          <w:tcPr>
            <w:tcW w:type="dxa" w:w="2268"/>
          </w:tcPr>
          <w:p>
            <w:pPr>
              <w:spacing w:after="40"/>
            </w:pPr>
            <w:r>
              <w:rPr>
                <w:rFonts w:ascii="微软雅黑" w:hAnsi="微软雅黑" w:eastAsia="微软雅黑" w:cs="微软雅黑"/>
              </w:rPr>
              <w:t>2026-10 · 实绩</w:t>
            </w:r>
          </w:p>
        </w:tc>
        <w:tc>
          <w:tcPr>
            <w:tcW w:type="dxa" w:w="2268"/>
          </w:tcPr>
          <w:p>
            <w:pPr>
              <w:spacing w:after="40"/>
            </w:pPr>
            <w:r>
              <w:rPr>
                <w:rFonts w:ascii="微软雅黑" w:hAnsi="微软雅黑" w:eastAsia="微软雅黑" w:cs="微软雅黑"/>
              </w:rPr>
            </w:r>
            <w:hyperlink w:anchor="source-32429">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美国普通汽油平均价格</w:t>
            </w:r>
          </w:p>
        </w:tc>
        <w:tc>
          <w:tcPr>
            <w:tcW w:type="dxa" w:w="2268"/>
          </w:tcPr>
          <w:p>
            <w:pPr>
              <w:spacing w:after="40"/>
            </w:pPr>
            <w:r>
              <w:rPr>
                <w:rFonts w:ascii="微软雅黑" w:hAnsi="微软雅黑" w:eastAsia="微软雅黑" w:cs="微软雅黑"/>
              </w:rPr>
              <w:t>4.29美元/加仑</w:t>
            </w:r>
          </w:p>
        </w:tc>
        <w:tc>
          <w:tcPr>
            <w:tcW w:type="dxa" w:w="2268"/>
          </w:tcPr>
          <w:p>
            <w:pPr>
              <w:spacing w:after="40"/>
            </w:pPr>
            <w:r>
              <w:rPr>
                <w:rFonts w:ascii="微软雅黑" w:hAnsi="微软雅黑" w:eastAsia="微软雅黑" w:cs="微软雅黑"/>
              </w:rPr>
              <w:t>2026-10-26 · 实绩</w:t>
            </w:r>
          </w:p>
        </w:tc>
        <w:tc>
          <w:tcPr>
            <w:tcW w:type="dxa" w:w="2268"/>
          </w:tcPr>
          <w:p>
            <w:pPr>
              <w:spacing w:after="40"/>
            </w:pPr>
            <w:r>
              <w:rPr>
                <w:rFonts w:ascii="微软雅黑" w:hAnsi="微软雅黑" w:eastAsia="微软雅黑" w:cs="微软雅黑"/>
              </w:rPr>
            </w:r>
            <w:hyperlink w:anchor="source-32369">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反对建设数据中心的共和党选民比例</w:t>
            </w:r>
          </w:p>
        </w:tc>
        <w:tc>
          <w:tcPr>
            <w:tcW w:type="dxa" w:w="2268"/>
          </w:tcPr>
          <w:p>
            <w:pPr>
              <w:spacing w:after="40"/>
            </w:pPr>
            <w:r>
              <w:rPr>
                <w:rFonts w:ascii="微软雅黑" w:hAnsi="微软雅黑" w:eastAsia="微软雅黑" w:cs="微软雅黑"/>
              </w:rPr>
              <w:t>约40%</w:t>
            </w:r>
          </w:p>
        </w:tc>
        <w:tc>
          <w:tcPr>
            <w:tcW w:type="dxa" w:w="2268"/>
          </w:tcPr>
          <w:p>
            <w:pPr>
              <w:spacing w:after="40"/>
            </w:pPr>
            <w:r>
              <w:rPr>
                <w:rFonts w:ascii="微软雅黑" w:hAnsi="微软雅黑" w:eastAsia="微软雅黑" w:cs="微软雅黑"/>
              </w:rPr>
              <w:t>2026-10-26 · 来源说法</w:t>
            </w:r>
          </w:p>
        </w:tc>
        <w:tc>
          <w:tcPr>
            <w:tcW w:type="dxa" w:w="2268"/>
          </w:tcPr>
          <w:p>
            <w:pPr>
              <w:spacing w:after="40"/>
            </w:pPr>
            <w:r>
              <w:rPr>
                <w:rFonts w:ascii="微软雅黑" w:hAnsi="微软雅黑" w:eastAsia="微软雅黑" w:cs="微软雅黑"/>
              </w:rPr>
            </w:r>
            <w:hyperlink w:anchor="source-32369">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沙特阿美2026年向HUMAIN现金出资额</w:t>
            </w:r>
          </w:p>
        </w:tc>
        <w:tc>
          <w:tcPr>
            <w:tcW w:type="dxa" w:w="2268"/>
          </w:tcPr>
          <w:p>
            <w:pPr>
              <w:spacing w:after="40"/>
            </w:pPr>
            <w:r>
              <w:rPr>
                <w:rFonts w:ascii="微软雅黑" w:hAnsi="微软雅黑" w:eastAsia="微软雅黑" w:cs="微软雅黑"/>
              </w:rPr>
              <w:t>约99亿沙特里亚尔（26亿美元）</w:t>
            </w:r>
          </w:p>
        </w:tc>
        <w:tc>
          <w:tcPr>
            <w:tcW w:type="dxa" w:w="2268"/>
          </w:tcPr>
          <w:p>
            <w:pPr>
              <w:spacing w:after="40"/>
            </w:pPr>
            <w:r>
              <w:rPr>
                <w:rFonts w:ascii="微软雅黑" w:hAnsi="微软雅黑" w:eastAsia="微软雅黑" w:cs="微软雅黑"/>
              </w:rPr>
              <w:t>2026 · 计划</w:t>
            </w:r>
          </w:p>
        </w:tc>
        <w:tc>
          <w:tcPr>
            <w:tcW w:type="dxa" w:w="2268"/>
          </w:tcPr>
          <w:p>
            <w:pPr>
              <w:spacing w:after="40"/>
            </w:pPr>
            <w:r>
              <w:rPr>
                <w:rFonts w:ascii="微软雅黑" w:hAnsi="微软雅黑" w:eastAsia="微软雅黑" w:cs="微软雅黑"/>
              </w:rPr>
            </w:r>
            <w:hyperlink w:anchor="source-32426">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32477">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OPEC+七国现行原油产量配额：沙特</w:t>
            </w:r>
          </w:p>
        </w:tc>
        <w:tc>
          <w:tcPr>
            <w:tcW w:type="dxa" w:w="2268"/>
          </w:tcPr>
          <w:p>
            <w:pPr>
              <w:spacing w:after="40"/>
            </w:pPr>
            <w:r>
              <w:rPr>
                <w:rFonts w:ascii="微软雅黑" w:hAnsi="微软雅黑" w:eastAsia="微软雅黑" w:cs="微软雅黑"/>
              </w:rPr>
              <w:t>1047.8万桶/日</w:t>
            </w:r>
          </w:p>
        </w:tc>
        <w:tc>
          <w:tcPr>
            <w:tcW w:type="dxa" w:w="2268"/>
          </w:tcPr>
          <w:p>
            <w:pPr>
              <w:spacing w:after="40"/>
            </w:pPr>
            <w:r>
              <w:rPr>
                <w:rFonts w:ascii="微软雅黑" w:hAnsi="微软雅黑" w:eastAsia="微软雅黑" w:cs="微软雅黑"/>
              </w:rPr>
              <w:t>2026-12 · 计划</w:t>
            </w:r>
          </w:p>
        </w:tc>
        <w:tc>
          <w:tcPr>
            <w:tcW w:type="dxa" w:w="2268"/>
          </w:tcPr>
          <w:p>
            <w:pPr>
              <w:spacing w:after="40"/>
            </w:pPr>
            <w:r>
              <w:rPr>
                <w:rFonts w:ascii="微软雅黑" w:hAnsi="微软雅黑" w:eastAsia="微软雅黑" w:cs="微软雅黑"/>
              </w:rPr>
            </w:r>
            <w:hyperlink w:anchor="source-32516">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32469">
              <w:r>
                <w:rPr>
                  <w:rFonts w:ascii="微软雅黑" w:hAnsi="微软雅黑" w:eastAsia="微软雅黑" w:cs="微软雅黑"/>
                  <w:color w:val="087E89"/>
                </w:rPr>
                <w:t>13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宁德时代与北汽换电战略合作涉及车辆规模</w:t>
            </w:r>
          </w:p>
        </w:tc>
        <w:tc>
          <w:tcPr>
            <w:tcW w:type="dxa" w:w="2268"/>
          </w:tcPr>
          <w:p>
            <w:pPr>
              <w:spacing w:after="40"/>
            </w:pPr>
            <w:r>
              <w:rPr>
                <w:rFonts w:ascii="微软雅黑" w:hAnsi="微软雅黑" w:eastAsia="微软雅黑" w:cs="微软雅黑"/>
              </w:rPr>
              <w:t>百万辆级（原文表述为“百万辆换电战略合作”）</w:t>
            </w:r>
          </w:p>
        </w:tc>
        <w:tc>
          <w:tcPr>
            <w:tcW w:type="dxa" w:w="2268"/>
          </w:tcPr>
          <w:p>
            <w:pPr>
              <w:spacing w:after="40"/>
            </w:pPr>
            <w:r>
              <w:rPr>
                <w:rFonts w:ascii="微软雅黑" w:hAnsi="微软雅黑" w:eastAsia="微软雅黑" w:cs="微软雅黑"/>
              </w:rPr>
              <w:t>时间未注明 · 来源说法</w:t>
            </w:r>
          </w:p>
        </w:tc>
        <w:tc>
          <w:tcPr>
            <w:tcW w:type="dxa" w:w="2268"/>
          </w:tcPr>
          <w:p>
            <w:pPr>
              <w:spacing w:after="40"/>
            </w:pPr>
            <w:r>
              <w:rPr>
                <w:rFonts w:ascii="微软雅黑" w:hAnsi="微软雅黑" w:eastAsia="微软雅黑" w:cs="微软雅黑"/>
              </w:rPr>
            </w:r>
            <w:hyperlink w:anchor="source-32539">
              <w:r>
                <w:rPr>
                  <w:rFonts w:ascii="微软雅黑" w:hAnsi="微软雅黑" w:eastAsia="微软雅黑" w:cs="微软雅黑"/>
                  <w:color w:val="087E89"/>
                </w:rPr>
                <w:t>14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宁德时代与德国INTILION欧洲储能合作规模</w:t>
            </w:r>
          </w:p>
        </w:tc>
        <w:tc>
          <w:tcPr>
            <w:tcW w:type="dxa" w:w="2268"/>
          </w:tcPr>
          <w:p>
            <w:pPr>
              <w:spacing w:after="40"/>
            </w:pPr>
            <w:r>
              <w:rPr>
                <w:rFonts w:ascii="微软雅黑" w:hAnsi="微软雅黑" w:eastAsia="微软雅黑" w:cs="微软雅黑"/>
              </w:rPr>
              <w:t>5年3GWh</w:t>
            </w:r>
          </w:p>
        </w:tc>
        <w:tc>
          <w:tcPr>
            <w:tcW w:type="dxa" w:w="2268"/>
          </w:tcPr>
          <w:p>
            <w:pPr>
              <w:spacing w:after="40"/>
            </w:pPr>
            <w:r>
              <w:rPr>
                <w:rFonts w:ascii="微软雅黑" w:hAnsi="微软雅黑" w:eastAsia="微软雅黑" w:cs="微软雅黑"/>
              </w:rPr>
              <w:t>时间未注明 · 来源说法</w:t>
            </w:r>
          </w:p>
        </w:tc>
        <w:tc>
          <w:tcPr>
            <w:tcW w:type="dxa" w:w="2268"/>
          </w:tcPr>
          <w:p>
            <w:pPr>
              <w:spacing w:after="40"/>
            </w:pPr>
            <w:r>
              <w:rPr>
                <w:rFonts w:ascii="微软雅黑" w:hAnsi="微软雅黑" w:eastAsia="微软雅黑" w:cs="微软雅黑"/>
              </w:rPr>
            </w:r>
            <w:hyperlink w:anchor="source-32539">
              <w:r>
                <w:rPr>
                  <w:rFonts w:ascii="微软雅黑" w:hAnsi="微软雅黑" w:eastAsia="微软雅黑" w:cs="微软雅黑"/>
                  <w:color w:val="087E89"/>
                </w:rPr>
                <w:t>14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Chereh大坝漂浮式光伏项目装机规模</w:t>
            </w:r>
          </w:p>
        </w:tc>
        <w:tc>
          <w:tcPr>
            <w:tcW w:type="dxa" w:w="2268"/>
          </w:tcPr>
          <w:p>
            <w:pPr>
              <w:spacing w:after="40"/>
            </w:pPr>
            <w:r>
              <w:rPr>
                <w:rFonts w:ascii="微软雅黑" w:hAnsi="微软雅黑" w:eastAsia="微软雅黑" w:cs="微软雅黑"/>
              </w:rPr>
              <w:t>200兆瓦</w:t>
            </w:r>
          </w:p>
        </w:tc>
        <w:tc>
          <w:tcPr>
            <w:tcW w:type="dxa" w:w="2268"/>
          </w:tcPr>
          <w:p>
            <w:pPr>
              <w:spacing w:after="40"/>
            </w:pPr>
            <w:r>
              <w:rPr>
                <w:rFonts w:ascii="微软雅黑" w:hAnsi="微软雅黑" w:eastAsia="微软雅黑" w:cs="微软雅黑"/>
              </w:rPr>
              <w:t>时间未注明 · 计划</w:t>
            </w:r>
          </w:p>
        </w:tc>
        <w:tc>
          <w:tcPr>
            <w:tcW w:type="dxa" w:w="2268"/>
          </w:tcPr>
          <w:p>
            <w:pPr>
              <w:spacing w:after="40"/>
            </w:pPr>
            <w:r>
              <w:rPr>
                <w:rFonts w:ascii="微软雅黑" w:hAnsi="微软雅黑" w:eastAsia="微软雅黑" w:cs="微软雅黑"/>
              </w:rPr>
            </w:r>
            <w:hyperlink w:anchor="source-32377">
              <w:r>
                <w:rPr>
                  <w:rFonts w:ascii="微软雅黑" w:hAnsi="微软雅黑" w:eastAsia="微软雅黑" w:cs="微软雅黑"/>
                  <w:color w:val="087E89"/>
                </w:rPr>
                <w:t>15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巴林麦纳麦美国第五舰队总部设备与基础设施受损金额</w:t>
            </w:r>
          </w:p>
        </w:tc>
        <w:tc>
          <w:tcPr>
            <w:tcW w:type="dxa" w:w="2268"/>
          </w:tcPr>
          <w:p>
            <w:pPr>
              <w:spacing w:after="40"/>
            </w:pPr>
            <w:r>
              <w:rPr>
                <w:rFonts w:ascii="微软雅黑" w:hAnsi="微软雅黑" w:eastAsia="微软雅黑" w:cs="微软雅黑"/>
              </w:rPr>
              <w:t>数亿美元（分析师估算）</w:t>
            </w:r>
          </w:p>
        </w:tc>
        <w:tc>
          <w:tcPr>
            <w:tcW w:type="dxa" w:w="2268"/>
          </w:tcPr>
          <w:p>
            <w:pPr>
              <w:spacing w:after="40"/>
            </w:pPr>
            <w:r>
              <w:rPr>
                <w:rFonts w:ascii="微软雅黑" w:hAnsi="微软雅黑" w:eastAsia="微软雅黑" w:cs="微软雅黑"/>
              </w:rPr>
              <w:t>时间未注明 · 估算</w:t>
            </w:r>
          </w:p>
        </w:tc>
        <w:tc>
          <w:tcPr>
            <w:tcW w:type="dxa" w:w="2268"/>
          </w:tcPr>
          <w:p>
            <w:pPr>
              <w:spacing w:after="40"/>
            </w:pPr>
            <w:r>
              <w:rPr>
                <w:rFonts w:ascii="微软雅黑" w:hAnsi="微软雅黑" w:eastAsia="微软雅黑" w:cs="微软雅黑"/>
              </w:rPr>
            </w:r>
            <w:hyperlink w:anchor="source-32294">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电池级碳酸锂周均价</w:t>
            </w:r>
          </w:p>
        </w:tc>
        <w:tc>
          <w:tcPr>
            <w:tcW w:type="dxa" w:w="2268"/>
          </w:tcPr>
          <w:p>
            <w:pPr>
              <w:spacing w:after="40"/>
            </w:pPr>
            <w:r>
              <w:rPr>
                <w:rFonts w:ascii="微软雅黑" w:hAnsi="微软雅黑" w:eastAsia="微软雅黑" w:cs="微软雅黑"/>
              </w:rPr>
              <w:t>9.92万元/吨</w:t>
            </w:r>
          </w:p>
        </w:tc>
        <w:tc>
          <w:tcPr>
            <w:tcW w:type="dxa" w:w="2268"/>
          </w:tcPr>
          <w:p>
            <w:pPr>
              <w:spacing w:after="40"/>
            </w:pPr>
            <w:r>
              <w:rPr>
                <w:rFonts w:ascii="微软雅黑" w:hAnsi="微软雅黑" w:eastAsia="微软雅黑" w:cs="微软雅黑"/>
              </w:rPr>
              <w:t>本周 · 实绩</w:t>
            </w:r>
          </w:p>
        </w:tc>
        <w:tc>
          <w:tcPr>
            <w:tcW w:type="dxa" w:w="2268"/>
          </w:tcPr>
          <w:p>
            <w:pPr>
              <w:spacing w:after="40"/>
            </w:pPr>
            <w:r>
              <w:rPr>
                <w:rFonts w:ascii="微软雅黑" w:hAnsi="微软雅黑" w:eastAsia="微软雅黑" w:cs="微软雅黑"/>
              </w:rPr>
            </w:r>
            <w:hyperlink w:anchor="source-32539">
              <w:r>
                <w:rPr>
                  <w:rFonts w:ascii="微软雅黑" w:hAnsi="微软雅黑" w:eastAsia="微软雅黑" w:cs="微软雅黑"/>
                  <w:color w:val="087E89"/>
                </w:rPr>
                <w:t>14</w:t>
              </w:r>
            </w:hyperlink>
            <w:r>
              <w:rPr>
                <w:rFonts w:ascii="微软雅黑" w:hAnsi="微软雅黑" w:eastAsia="微软雅黑" w:cs="微软雅黑"/>
              </w:rPr>
              <w:t xml:space="preserve"> </w:t>
            </w:r>
            <w:hyperlink w:anchor="source-32495">
              <w:r>
                <w:rPr>
                  <w:rFonts w:ascii="微软雅黑" w:hAnsi="微软雅黑" w:eastAsia="微软雅黑" w:cs="微软雅黑"/>
                  <w:color w:val="087E89"/>
                </w:rPr>
                <w:t>16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双湖、班戈、比如三县光伏保供项目年均新增清洁电力</w:t>
            </w:r>
          </w:p>
        </w:tc>
        <w:tc>
          <w:tcPr>
            <w:tcW w:type="dxa" w:w="2268"/>
          </w:tcPr>
          <w:p>
            <w:pPr>
              <w:spacing w:after="40"/>
            </w:pPr>
            <w:r>
              <w:rPr>
                <w:rFonts w:ascii="微软雅黑" w:hAnsi="微软雅黑" w:eastAsia="微软雅黑" w:cs="微软雅黑"/>
              </w:rPr>
              <w:t>超8500万千瓦时</w:t>
            </w:r>
          </w:p>
        </w:tc>
        <w:tc>
          <w:tcPr>
            <w:tcW w:type="dxa" w:w="2268"/>
          </w:tcPr>
          <w:p>
            <w:pPr>
              <w:spacing w:after="40"/>
            </w:pPr>
            <w:r>
              <w:rPr>
                <w:rFonts w:ascii="微软雅黑" w:hAnsi="微软雅黑" w:eastAsia="微软雅黑" w:cs="微软雅黑"/>
              </w:rPr>
              <w:t>时间未注明 · 预测</w:t>
            </w:r>
          </w:p>
        </w:tc>
        <w:tc>
          <w:tcPr>
            <w:tcW w:type="dxa" w:w="2268"/>
          </w:tcPr>
          <w:p>
            <w:pPr>
              <w:spacing w:after="40"/>
            </w:pPr>
            <w:r>
              <w:rPr>
                <w:rFonts w:ascii="微软雅黑" w:hAnsi="微软雅黑" w:eastAsia="微软雅黑" w:cs="微软雅黑"/>
              </w:rPr>
            </w:r>
            <w:hyperlink w:anchor="source-32373">
              <w:r>
                <w:rPr>
                  <w:rFonts w:ascii="微软雅黑" w:hAnsi="微软雅黑" w:eastAsia="微软雅黑" w:cs="微软雅黑"/>
                  <w:color w:val="087E89"/>
                </w:rPr>
                <w:t>17</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埃尼印尼Maha气田投产，同批披露上游资产出售与2028年接入计划</w:t>
      </w:r>
    </w:p>
    <w:p>
      <w:pPr>
        <w:keepNext/>
      </w:pPr>
      <w:r>
        <w:rPr>
          <w:rFonts w:ascii="微软雅黑" w:hAnsi="微软雅黑" w:eastAsia="微软雅黑" w:cs="微软雅黑"/>
        </w:rPr>
        <w:t>领域：天然气与液化天然气</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据OGN News，埃尼宣布印尼库泰盆地Maha气田开始产气，距最终投资决定（FID）仅21个月。Maha位于West Ganal区块，水深约1000米，包含两口海底生产井，通过约12公里海底管线接入现有Jangkrik浮式生产装置（FPU）。气田产能为250 MMSCFD，使Jangkrik FPU与South Hub合计产量达到750 MMSCFD的平台水平；气体经FPU初步处理后通过管道网络供应印尼国内市场，并输送至Bontang液化厂，后者同时服务国内与国际LNG市场。Maha由Searah运营，该公司于2026年6月成立，由埃尼与马来西亚国家石油公司各持50%股权，组合包含19个产气及开发资产（印尼14个、马来西亚5个），当前产量约35万桶油当量/日，目标2028年可持续产量超过50万桶油当量/日。同一来源另披露，Gendalo与Gendang项目计划2028年投产并接入Jangkrik FPU，库泰盆地产量平台期可延续至本十年末以后；2026年10月埃尼还签署两项约束性协议，将Searah运营的部分印尼上游资产权益出售给印度尼西亚国家石油公司Pertamina和Medco，具体资产范围、交易金额与交割条件原文未披露。</w:t>
      </w:r>
    </w:p>
    <w:p>
      <w:pPr>
        <w:ind w:firstLine="420"/>
      </w:pPr>
      <w:r>
        <w:rPr>
          <w:rFonts w:ascii="微软雅黑" w:hAnsi="微软雅黑" w:eastAsia="微软雅黑" w:cs="微软雅黑"/>
        </w:rPr>
        <w:t>来源：</w:t>
      </w:r>
      <w:hyperlink w:anchor="source-32374">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2. 埃尼委内瑞拉Junín-5重油田启动生产，Cardón IV签署Perla可持续性协议</w:t>
      </w:r>
    </w:p>
    <w:p>
      <w:pPr>
        <w:keepNext/>
      </w:pPr>
      <w:r>
        <w:rPr>
          <w:rFonts w:ascii="微软雅黑" w:hAnsi="微软雅黑" w:eastAsia="微软雅黑" w:cs="微软雅黑"/>
        </w:rPr>
        <w:t>领域：石油与炼化</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据OGN News，埃尼已在委内瑞拉奥里诺科重油带Junín-5超巨型重油田启动生产，距委内瑞拉政府与埃尼2026年9月2日签署“碳氢化合物产品分成合同”不到两个月；签署仪式在委内瑞拉代理总统德尔西·罗德里格斯和埃尼首席执行官克劳迪奥·德·斯卡尔齐出席下举行，时值美国能源部长克里斯·赖特访问加拉加斯。埃尼为Junín-5唯一作业者，全面负责技术、财务和商业管理；该陆上油田拥有约350亿桶已认证石油地质储量。开发计划包括恢复废弃井并开展密集钻井以使新井投产，第一阶段产量预计大幅提升，到2028年达到20万桶/日，并将利用该地区现有基础设施。埃尼称活动的快速启动获得委内瑞拉碳氢化合物部与国家石油公司PDVSA支持。同一来源另称，由埃尼与雷普索尔各持50%股权的Cardón IV近期签署Perla气田可持续性协议，支持Perla产量延续与扩张、增加对委内瑞拉国内市场的天然气供应，并为潜在额外出口创造条件；Perla为拉丁美洲最大的海上天然气发现，供应委内瑞拉全国天然气消费量约35%，也是埃尼2025年在委内瑞拉平均6.4万桶油当量/日产量份额的主要来源。合同分成条款以及协议涉及的产量增量与出口安排的具体数量原文均未披露。</w:t>
      </w:r>
    </w:p>
    <w:p>
      <w:pPr>
        <w:ind w:firstLine="420"/>
      </w:pPr>
      <w:r>
        <w:rPr>
          <w:rFonts w:ascii="微软雅黑" w:hAnsi="微软雅黑" w:eastAsia="微软雅黑" w:cs="微软雅黑"/>
        </w:rPr>
        <w:t>来源：</w:t>
      </w:r>
      <w:hyperlink w:anchor="source-32429">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3. 美伊停火斡旋与军事威胁并存，霍尔木兹海峡两日方案磋商未形成结论</w:t>
      </w:r>
    </w:p>
    <w:p>
      <w:pPr>
        <w:keepNext/>
      </w:pPr>
      <w:r>
        <w:rPr>
          <w:rFonts w:ascii="微软雅黑" w:hAnsi="微软雅黑" w:eastAsia="微软雅黑" w:cs="微软雅黑"/>
        </w:rPr>
        <w:t>领域：石油与炼化</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每日经济新闻》与新浪财经报道，卡塔尔调停人员已于周五抵达德黑兰，争取促成美伊临时协议，相关谈判周六在多哈继续进行；知情人士称此次与德黑兰方面的沟通与美方协调开展，白宫官员称美国目前在霍尔木兹海峡取得进展、伊朗经济处境艰难，此为美方单方面表述。据新浪财经，伊朗外长称正与调解方继续磋商旨在重开霍尔木兹海峡的“两日方案”，方案推进落实工作仍在进行但尚未形成最终结论，赴卡塔尔的伊朗代表团由副外长带队，与近几周到访德黑兰的卡塔尔调解人员展开会谈。报道另称，美国国务卿鲁比奥10月31日表示特朗普“尚未决定是否对伊朗发动新的军事打击”；特朗普称美国已摧毁伊朗大部分军事力量，仍需“处理”一两个目标，其中包括伊斯法罕省纳坦兹核设施附近的镐山地下核设施，伊朗方面表示该设施“是空的”，双方说法均未获独立证实。《以色列时报》10月31日报道称美国已向海湾盟友发出警告，最快可能于11月4日对伊朗发动新一轮打击。伊朗最高领袖10月31日下令武装部队做好反击任何袭击的准备，并警告对任何可能的美国和以色列威胁作出“即时、有力且不受地理限制的回应”。上述斡旋与威胁并存的状态直接关系霍尔木兹海峡通航与海湾原油、LNG供应风险预期。</w:t>
      </w:r>
    </w:p>
    <w:p>
      <w:pPr>
        <w:ind w:firstLine="420"/>
      </w:pPr>
      <w:r>
        <w:rPr>
          <w:rFonts w:ascii="微软雅黑" w:hAnsi="微软雅黑" w:eastAsia="微软雅黑" w:cs="微软雅黑"/>
        </w:rPr>
        <w:t>来源：</w:t>
      </w:r>
      <w:hyperlink w:anchor="source-32294">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32517">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32320">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32381">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32422">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4. 美国汽油均价升至每加仑4.29美元，柴油涨至6.35美元</w:t>
      </w:r>
    </w:p>
    <w:p>
      <w:pPr>
        <w:keepNext/>
      </w:pPr>
      <w:r>
        <w:rPr>
          <w:rFonts w:ascii="微软雅黑" w:hAnsi="微软雅黑" w:eastAsia="微软雅黑" w:cs="微软雅黑"/>
        </w:rPr>
        <w:t>领域：石油与炼化</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每日经济新闻》报道援引美国汽车协会数据，截至10月26日，美国普通汽油平均价格达到每加仑4.29美元，远高于2月28日美伊战事爆发前的2.98美元；柴油价格则从每加仑3.76美元上涨至6.35美元。报道援引摩根士丹利报告称，1978年以来，在选举前一年1月至选举当年10月汽油价格上涨的中期选举周期中，执政党平均失去32个众议院席位，而同期汽油价格下降的周期中平均仅失去6席。报道并称，今年8月以来油价进一步上涨，影响正扩散到农村地区和农场主等共和党的传统支持群体；报道援引国际关系学院美国问题专家孙冰岩的说法，能源价格上涨是目前最主要的政治风险。</w:t>
      </w:r>
    </w:p>
    <w:p>
      <w:pPr>
        <w:ind w:firstLine="420"/>
      </w:pPr>
      <w:r>
        <w:rPr>
          <w:rFonts w:ascii="微软雅黑" w:hAnsi="微软雅黑" w:eastAsia="微软雅黑" w:cs="微软雅黑"/>
        </w:rPr>
        <w:t>来源：</w:t>
      </w:r>
      <w:hyperlink w:anchor="source-32369">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5. 美国多州就AI数据中心陆续出台行政令与审查要求</w:t>
      </w:r>
    </w:p>
    <w:p>
      <w:pPr>
        <w:keepNext/>
      </w:pPr>
      <w:r>
        <w:rPr>
          <w:rFonts w:ascii="微软雅黑" w:hAnsi="微软雅黑" w:eastAsia="微软雅黑" w:cs="微软雅黑"/>
        </w:rPr>
        <w:t>领域：电力与储能</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每日经济新闻》报道，纽约州、弗吉尼亚州、得克萨斯州州长已陆续出台针对人工智能数据中心的行政令、监管框架与审查要求。报道援引摩根士丹利10月20日报告称，州政府、公共事业委员会和地方政府掌握着电网接入、电价设计、项目选址及税收优惠等关键政策工具，相关选举结果可能直接影响数据中心项目的建设与运营；该行并指出，选举结果还可能推动加强对大型AI企业的监管和反垄断调查，甚至在监管规则完善之前暂停部分人工智能模型开发或数据中心建设。报道还称，目前约40%的共和党选民反对建设数据中心。上述行政令与审查要求的具体范围原文未披露。</w:t>
      </w:r>
    </w:p>
    <w:p>
      <w:pPr>
        <w:ind w:firstLine="420"/>
      </w:pPr>
      <w:r>
        <w:rPr>
          <w:rFonts w:ascii="微软雅黑" w:hAnsi="微软雅黑" w:eastAsia="微软雅黑" w:cs="微软雅黑"/>
        </w:rPr>
        <w:t>来源：</w:t>
      </w:r>
      <w:hyperlink w:anchor="source-32369">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6. 沙特阿美完成收购HUMAIN 49%股权，2026年拟出资约99亿里亚尔</w:t>
      </w:r>
    </w:p>
    <w:p>
      <w:pPr>
        <w:keepNext/>
      </w:pPr>
      <w:r>
        <w:rPr>
          <w:rFonts w:ascii="微软雅黑" w:hAnsi="微软雅黑" w:eastAsia="微软雅黑" w:cs="微软雅黑"/>
        </w:rPr>
        <w:t>领域：电力与储能</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据沙特阿美公告，沙特公共投资基金（PIF）与阿美宣布完成一项交易交割：阿美通过全资子公司收购HUMAIN 49%股权，PIF保留51%所有权；阿美以转让关键AI资产、并于2026年向HUMAIN出资约99亿沙特里亚尔（26亿美元）现金获得该股权。公告称，PIF与阿美将共同向HUMAIN注入AI资产、能力和人才，加快其数据中心容量开发与全栈AI能力建设。HUMAIN于2025年5月成立，业务覆盖下一代数据中心、超高性能基础设施与云平台、含ALLaM在内的先进AI模型以及AI解决方案四个领域。据同一公告，HUMAIN计划到2030年部署3吉瓦AI数据中心容量，以满足区域和全球AI算力需求增长；3吉瓦为到2030年的计划目标，公告未披露已投运容量、机房选址、电力供应方案与分期投产节奏。股权交割已完成，但现金出资与资产转让的具体执行安排按公告表述在2026年进行。</w:t>
      </w:r>
    </w:p>
    <w:p>
      <w:pPr>
        <w:ind w:firstLine="420"/>
      </w:pPr>
      <w:r>
        <w:rPr>
          <w:rFonts w:ascii="微软雅黑" w:hAnsi="微软雅黑" w:eastAsia="微软雅黑" w:cs="微软雅黑"/>
        </w:rPr>
        <w:t>来源：</w:t>
      </w:r>
      <w:hyperlink w:anchor="source-32426">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32477">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7. 欧佩克+“七国”决定将现行原油产量配额延长至12月，9月产量仍低于计划</w:t>
      </w:r>
    </w:p>
    <w:p>
      <w:pPr>
        <w:keepNext/>
      </w:pPr>
      <w:r>
        <w:rPr>
          <w:rFonts w:ascii="微软雅黑" w:hAnsi="微软雅黑" w:eastAsia="微软雅黑" w:cs="微软雅黑"/>
        </w:rPr>
        <w:t>领域：石油与炼化</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Interfax援引OPEC新闻稿，俄罗斯、沙特阿拉伯、阿尔及利亚、科威特、伊拉克、哈萨克斯坦和阿曼七国欧佩克+部长在例行月度线上会议后决定，将现行原油产量配额延长至12月，各国产量上限维持不变：沙特1047.8万桶/日、俄罗斯994.9万桶/日、伊拉克443.1万桶/日、科威特267.6万桶/日、哈萨克斯坦162.8万桶/日、阿尔及利亚100.7万桶/日、阿曼84.1万桶/日。OPEC消息称协议参与方确认致力于实现协议的全面执行，七国将继续每月开会评估市场行情，下次会议定于11月29日，与欧佩克+全量会议同日举行。此前据彭博社援引两名代表消息，七国原则同意不改变12月现行生产计划，尚待预计莫斯科时间周日15:00开始的在线部长级会议批准。此次决定为维持现行配额，不涉及增减。报道另指，自3月起波斯湾多数参与国因中东冲突产量低于配额，俄罗斯因炼油厂计划外检修未达配额；据欧佩克报告，9月参与协议的欧佩克+国家产量环比增加95.6万桶/日至3075.3万桶/日，仍落后计划545万桶/日，中间馏分油、煤油和柴油仍存在明显短缺。</w:t>
      </w:r>
    </w:p>
    <w:p>
      <w:pPr>
        <w:ind w:firstLine="420"/>
      </w:pPr>
      <w:r>
        <w:rPr>
          <w:rFonts w:ascii="微软雅黑" w:hAnsi="微软雅黑" w:eastAsia="微软雅黑" w:cs="微软雅黑"/>
        </w:rPr>
        <w:t>来源：</w:t>
      </w:r>
      <w:hyperlink w:anchor="source-32516">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32469">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8. 宁德时代与德国INTILION达成5年3GWh欧洲储能合作（研报转述）</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该报道转述的近期机构研报信息，宁德时代与德国INTILION达成5年3GWh欧洲储能合作，是公司在欧洲储能市场取得的订单合作事项。该内容由研报转述，报道未披露合同价格、交付批次、项目所在国家与投运时间表，3GWh为5年期合作规模口径，不等同于已交付或已投运容量。</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报道同时称公司推动钠锂多元技术落地；研报关于换电网络与海外储能订单的判断属机构观点，未升级为公司承诺。</w:t>
      </w:r>
    </w:p>
    <w:p>
      <w:pPr>
        <w:ind w:firstLine="420"/>
      </w:pPr>
      <w:r>
        <w:rPr>
          <w:rFonts w:ascii="微软雅黑" w:hAnsi="微软雅黑" w:eastAsia="微软雅黑" w:cs="微软雅黑"/>
        </w:rPr>
        <w:t>来源：</w:t>
      </w:r>
      <w:hyperlink w:anchor="source-32539">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9. 马来西亚Chereh大坝200兆瓦漂浮式光伏开工，完成约5.8亿林吉特融资交割</w:t>
      </w:r>
    </w:p>
    <w:p>
      <w:pPr>
        <w:keepNext/>
      </w:pPr>
      <w:r>
        <w:rPr>
          <w:rFonts w:ascii="微软雅黑" w:hAnsi="微软雅黑" w:eastAsia="微软雅黑" w:cs="微软雅黑"/>
        </w:rPr>
        <w:t>领域：新能源与能源转型</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据OGN News，由阿布扎比未来能源公司Masdar牵头、Citaglobal Berhad与TIZA Global组成的财团在马来西亚彭亨州举行开工仪式，启动200兆瓦Chereh大坝漂浮式光伏项目建设。项目通过项目公司Chereh Solar Sdn Bhd开发，预计2028年投运，预计可产生足够清洁电力供约10万户家庭使用，并在开发和建设期间创造约1,500个就业岗位；项目采用双面光伏组件等设计以适配水库水面条件，并已与彭亨州水务与能源资源公司签署场址协议。项目通过马来西亚大型太阳能（LSS）第五轮+计划获得，财团在漂浮式光伏类别提交了最低电价投标；项目公司已于2025年12月与马来西亚国家电力公司Tenaga Nasional Berhad签署21年购电协议。10月27日，项目公司完成融资交割，从三家国际贷款机构获得约5.8亿林吉特（1.43亿美元）资金，融资结构将项目资金与未来收入挂钩。对Masdar而言，这是其在马来西亚的首笔投资，也是其2023年与马来西亚投资发展局（MIDA）商定的10吉瓦可再生能源路线图下的首个开发项目。</w:t>
      </w:r>
    </w:p>
    <w:p>
      <w:pPr>
        <w:ind w:firstLine="420"/>
      </w:pPr>
      <w:r>
        <w:rPr>
          <w:rFonts w:ascii="微软雅黑" w:hAnsi="微软雅黑" w:eastAsia="微软雅黑" w:cs="微软雅黑"/>
        </w:rPr>
        <w:t>来源：</w:t>
      </w:r>
      <w:hyperlink w:anchor="source-32377">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10. 巴林第五舰队总部设施受损，霍尔木兹航运萎缩推高当地物价</w:t>
      </w:r>
    </w:p>
    <w:p>
      <w:pPr>
        <w:keepNext/>
      </w:pPr>
      <w:r>
        <w:rPr>
          <w:rFonts w:ascii="微软雅黑" w:hAnsi="微软雅黑" w:eastAsia="微软雅黑" w:cs="微软雅黑"/>
        </w:rPr>
        <w:t>领域：石油与炼化</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该媒体报道，美国第五舰队驻巴林麦纳麦总部的设备与基础设施在袭击中受损，分析师估算受损金额达数亿美元；绝大多数美军人员已经撤离，军人及其家属常去的餐厅商铺大多人去楼空。受霍尔木兹海峡航运萎缩、供应链中断影响，巴林当地超市物价大幅上涨，有超市经理正在囤积食物和饮用水以备冲突升级。报道还称白宫官员表示美国目前在霍尔木兹海峡取得进展、伊朗经济处境艰难，该表述为美方单方面说法，未获独立证实。</w:t>
      </w:r>
    </w:p>
    <w:p>
      <w:pPr>
        <w:ind w:firstLine="420"/>
      </w:pPr>
      <w:r>
        <w:rPr>
          <w:rFonts w:ascii="微软雅黑" w:hAnsi="微软雅黑" w:eastAsia="微软雅黑" w:cs="微软雅黑"/>
        </w:rPr>
        <w:t>来源：</w:t>
      </w:r>
      <w:hyperlink w:anchor="source-32294">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11. 道达尔能源签署协议出售尼日利亚OPL257区块40%权益，拟开展Egina South评价作业</w:t>
      </w:r>
    </w:p>
    <w:p>
      <w:pPr>
        <w:keepNext/>
      </w:pPr>
      <w:r>
        <w:rPr>
          <w:rFonts w:ascii="微软雅黑" w:hAnsi="微软雅黑" w:eastAsia="微软雅黑" w:cs="微软雅黑"/>
        </w:rPr>
        <w:t>领域：石油与炼化</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据OGN News，道达尔能源已签署出让协议（Farm-Out Agreement），向南非大西洋石油公司SAPETRO出售尼日利亚海上区块OPL257的40%参与权益。交易完成后，道达尔将持有OPL257区块50%的作业者权益，SAPETRO持40%，Conoil持10%；OPL257位于距尼日利亚海岸150公里的海域，与PPL261相邻。交易完成尚需满足包括监管审批在内的常规条件，权益结构目前尚未生效。报道同时称，道达尔及合作伙伴将在未来数月于Egina South油田OPL257一侧开展评价作业（appraisal campaign），以支持将该油田作为回接开发目标（tie-back）至约30公里外的Egina FPSO；Egina South由道达尔（在PPL261持24%权益）及包括SAPETRO在内的伙伴于2005年发现，横跨OPL257与PPL261两个区块。目前评价作业尚处计划阶段，具体作业井数、启动时间与投资规模未披露。</w:t>
      </w:r>
    </w:p>
    <w:p>
      <w:pPr>
        <w:ind w:firstLine="420"/>
      </w:pPr>
      <w:r>
        <w:rPr>
          <w:rFonts w:ascii="微软雅黑" w:hAnsi="微软雅黑" w:eastAsia="微软雅黑" w:cs="微软雅黑"/>
        </w:rPr>
        <w:t>来源：</w:t>
      </w:r>
      <w:hyperlink w:anchor="source-32375">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12. 德国储气库填充率约61%，低于法定冬季门槛</w:t>
      </w:r>
    </w:p>
    <w:p>
      <w:pPr>
        <w:keepNext/>
      </w:pPr>
      <w:r>
        <w:rPr>
          <w:rFonts w:ascii="微软雅黑" w:hAnsi="微软雅黑" w:eastAsia="微软雅黑" w:cs="微软雅黑"/>
        </w:rPr>
        <w:t>领域：天然气与液化天然气</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俄罗斯卫星通讯社援引德国《图片报》数据，截至2026年11月1日，德国储气库填充率仅为61.4%，低于法律规定的11月1日前不得低于70%的硬性指标；绿党籍联邦议院议员米夏埃尔·克尔纳称储气库空到德国今冬几无缓冲余地。据阿纳多卢通讯社援引行业联盟INES数据，德国储气库周日容量为61%，未达多数储气库11月1日前80%的要求，六个指定库适用45%的较低门槛，全国加权平均目标约70%；INES执行董事塞巴斯蒂安·海恩纳曼称这是“严重警示信号”，呼吁以更具约束力的要求确保未来冬季储气。德国经济部发言人称按当前评估德国将顺利过冬，并表示供应安全不仅取决于库存水平，也取决于实际提取量、持续进口和额外预防措施；德国联邦网络局称天然气供应仍保持稳定，当局寄望挪威及其他欧洲国家的管道气和经液化天然气接收站进口的气。报道还称今年价格相对较高削弱夏季低价购入的注气动力，霍尔木兹海峡关闭扰乱油气海运；战前俄罗斯供应德国近55%的天然气，此后德国以挪威、比利时、法国进口及主要来自美国的LNG替代了大部分俄气。</w:t>
      </w:r>
    </w:p>
    <w:p>
      <w:pPr>
        <w:ind w:firstLine="420"/>
      </w:pPr>
      <w:r>
        <w:rPr>
          <w:rFonts w:ascii="微软雅黑" w:hAnsi="微软雅黑" w:eastAsia="微软雅黑" w:cs="微软雅黑"/>
        </w:rPr>
        <w:t>来源：</w:t>
      </w:r>
      <w:hyperlink w:anchor="source-32558">
        <w:r>
          <w:rPr>
            <w:rFonts w:ascii="微软雅黑" w:hAnsi="微软雅黑" w:eastAsia="微软雅黑" w:cs="微软雅黑"/>
            <w:color w:val="087E89"/>
          </w:rPr>
          <w:t>19</w:t>
        </w:r>
      </w:hyperlink>
      <w:r>
        <w:rPr>
          <w:rFonts w:ascii="微软雅黑" w:hAnsi="微软雅黑" w:eastAsia="微软雅黑" w:cs="微软雅黑"/>
        </w:rPr>
        <w:t xml:space="preserve"> </w:t>
      </w:r>
      <w:hyperlink w:anchor="source-32491">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13. 挪威Afrodite气藏评价井将可采资源量上调至最高1.8亿桶油当量</w:t>
      </w:r>
    </w:p>
    <w:p>
      <w:pPr>
        <w:keepNext/>
      </w:pPr>
      <w:r>
        <w:rPr>
          <w:rFonts w:ascii="微软雅黑" w:hAnsi="微软雅黑" w:eastAsia="微软雅黑" w:cs="微软雅黑"/>
        </w:rPr>
        <w:t>领域：天然气与液化天然气</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OGN报道，挪威大陆架Kvitebjørn气田附近Afrodite气藏新钻评价井揭示可采天然气和凝析油资源量较此前估计翻倍以上，现估计为7700万至1.8亿桶油当量，总储层体积约为可采量的三倍，但受地质条件限制仅部分资源可采。该气藏2008年由Eni Norway发现，储层渗透率低、天然气流经岩石缓慢，开采难度大，本次所钻评价井属高压高温（HPHT）井，储层为致密地层；资源量上调系通过2026年秋钻探一条分支井确立。Equinor认为该发现具商业可行性，将继续评估通过海底回接至Kvitebjørn平台、利用现有基础设施将气输送至Øygarden的Kollsnes处理厂再输往欧洲市场的方案。生产许可证PL293由四家公司持有：Equinor 60%、ORLEN Upstream Norway AS 25%、DNO Norway AS 10%、Wellesley Petroleum AS 5%；评价井由Wellesley Petroleum作业，Equinor为许可证作业者，钻井平台为Deepsea Yantai。最新评价结果仍将进一步分析，以评估资源潜力和开发选项。</w:t>
      </w:r>
    </w:p>
    <w:p>
      <w:pPr>
        <w:ind w:firstLine="420"/>
      </w:pPr>
      <w:r>
        <w:rPr>
          <w:rFonts w:ascii="微软雅黑" w:hAnsi="微软雅黑" w:eastAsia="微软雅黑" w:cs="微软雅黑"/>
        </w:rPr>
        <w:t>来源：</w:t>
      </w:r>
      <w:hyperlink w:anchor="source-32376">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14. 卡塔尔液化天然气运输船在海湾水域遭不明物体击中，船舶仍可运营</w:t>
      </w:r>
    </w:p>
    <w:p>
      <w:pPr>
        <w:keepNext/>
      </w:pPr>
      <w:r>
        <w:rPr>
          <w:rFonts w:ascii="微软雅黑" w:hAnsi="微软雅黑" w:eastAsia="微软雅黑" w:cs="微软雅黑"/>
        </w:rPr>
        <w:t>领域：天然气与液化天然气</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据阿纳多卢通讯社援引卡塔尔天然气运输公司（Nakilat）声明，该公司在卡塔尔证券交易所发布公告称，其一艘液化天然气运输船周五晚间在海湾水域航行时被不明物体击中。公司表示涉事船舶为Al Mayeda号，事件未造成船员受伤，也未造成环境损害；事发后该船仍然安全并可正常运营。公司称正在评估事件影响，并与该地区相关海上安全部门保持直接联系、持续密切关注局势。事件显示海湾水域LNG运输安全风险抬升，涉事船舶来源与袭击方身份原文未说明。</w:t>
      </w:r>
    </w:p>
    <w:p>
      <w:pPr>
        <w:ind w:firstLine="420"/>
      </w:pPr>
      <w:r>
        <w:rPr>
          <w:rFonts w:ascii="微软雅黑" w:hAnsi="微软雅黑" w:eastAsia="微软雅黑" w:cs="微软雅黑"/>
        </w:rPr>
        <w:t>来源：</w:t>
      </w:r>
      <w:hyperlink w:anchor="source-32490">
        <w:r>
          <w:rPr>
            <w:rFonts w:ascii="微软雅黑" w:hAnsi="微软雅黑" w:eastAsia="微软雅黑" w:cs="微软雅黑"/>
            <w:color w:val="087E89"/>
          </w:rPr>
          <w:t>22</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15. 机构研报：政策倒逼下四季度电池与新能源车出口加快</w:t>
      </w:r>
    </w:p>
    <w:p>
      <w:pPr>
        <w:keepNext/>
      </w:pPr>
      <w:r>
        <w:rPr>
          <w:rFonts w:ascii="微软雅黑" w:hAnsi="微软雅黑" w:eastAsia="微软雅黑" w:cs="微软雅黑"/>
        </w:rPr>
        <w:t>领域：政策与能源安全</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中财网报道引述的机构研报，2027年电池出口退税取消、新能源汽车退税率下调以及欧盟混动车限额等政策变化构成倒逼，企业正加快出口节奏，“抢出口”将成为四季度出口的关键支撑因素；研报认为这一窗口期将使具备全球供应链能力的动力电池、整车及零部件出口企业受益。相关退税与税率调整的具体政策文号、幅度及执行时间表原文未披露。该内容为媒体所载研报观点，并非官方政策发布或企业公告。</w:t>
      </w:r>
    </w:p>
    <w:p>
      <w:pPr>
        <w:ind w:firstLine="420"/>
      </w:pPr>
      <w:r>
        <w:rPr>
          <w:rFonts w:ascii="微软雅黑" w:hAnsi="微软雅黑" w:eastAsia="微软雅黑" w:cs="微软雅黑"/>
        </w:rPr>
        <w:t>来源：</w:t>
      </w:r>
      <w:hyperlink w:anchor="source-32494">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16. 宁德时代与北汽签署百万辆换电战略合作（研报转述）</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该报道转述的近期机构研报信息，宁德时代与北汽签署百万辆换电战略合作，同时推动钠锂多元技术落地。上述内容由研报转述而非公司公告原文，报道未披露换电站建设数量、投运时间表、车型范围与投资金额，百万辆为战略合作框架口径，尚未形成已投运的换电网络规模。</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报道同时提到宁德时代推动钠锂多元技术落地。</w:t>
      </w:r>
    </w:p>
    <w:p>
      <w:pPr>
        <w:ind w:firstLine="420"/>
      </w:pPr>
      <w:r>
        <w:rPr>
          <w:rFonts w:ascii="微软雅黑" w:hAnsi="微软雅黑" w:eastAsia="微软雅黑" w:cs="微软雅黑"/>
        </w:rPr>
        <w:t>来源：</w:t>
      </w:r>
      <w:hyperlink w:anchor="source-32539">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17. 锂电上游价格回落，电池级碳酸锂周跌3.36%至9.92万元/吨</w:t>
      </w:r>
    </w:p>
    <w:p>
      <w:pPr>
        <w:keepNext/>
      </w:pPr>
      <w:r>
        <w:rPr>
          <w:rFonts w:ascii="微软雅黑" w:hAnsi="微软雅黑" w:eastAsia="微软雅黑" w:cs="微软雅黑"/>
        </w:rPr>
        <w:t>领域：电力与储能</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中财网援引的数据，本周电池级碳酸锂均价跌3.36%至9.92万元/吨，氢氧化锂跌3.32%，电解钴均价大跌6.54%；SMM统计显示碳酸锂周产量增5.48%、库存降1.83%。中财网另称锂电上游聚苯硫醚（PS）、锂辉石、钴锂材料价格本周回落，行业成本压力边际缓解，但该报道未给出这些材料的具体价格点位与涨跌幅，也未说明周度区间的起止日期。报道另称宜春锂矿环评获批、津巴布韦锂矿到港量回升，供应增量预期持续兑现。据媒体所载研报观点，锂价短期延续震荡筑底，主因空头情绪未根本扭转，但去库已持续，尚未达逼仓临界点。研报关于价格企稳的判断不构成已实现走势。</w:t>
      </w:r>
    </w:p>
    <w:p>
      <w:pPr>
        <w:ind w:firstLine="420"/>
      </w:pPr>
      <w:r>
        <w:rPr>
          <w:rFonts w:ascii="微软雅黑" w:hAnsi="微软雅黑" w:eastAsia="微软雅黑" w:cs="微软雅黑"/>
        </w:rPr>
        <w:t>来源：</w:t>
      </w:r>
      <w:hyperlink w:anchor="source-32539">
        <w:r>
          <w:rPr>
            <w:rFonts w:ascii="微软雅黑" w:hAnsi="微软雅黑" w:eastAsia="微软雅黑" w:cs="微软雅黑"/>
            <w:color w:val="087E89"/>
          </w:rPr>
          <w:t>14</w:t>
        </w:r>
      </w:hyperlink>
      <w:r>
        <w:rPr>
          <w:rFonts w:ascii="微软雅黑" w:hAnsi="微软雅黑" w:eastAsia="微软雅黑" w:cs="微软雅黑"/>
        </w:rPr>
        <w:t xml:space="preserve"> </w:t>
      </w:r>
      <w:hyperlink w:anchor="source-32495">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18. 西藏双湖、班戈、比如三县高海拔光储保供项目建成投运</w:t>
      </w:r>
    </w:p>
    <w:p>
      <w:pPr>
        <w:keepNext/>
      </w:pPr>
      <w:r>
        <w:rPr>
          <w:rFonts w:ascii="微软雅黑" w:hAnsi="微软雅黑" w:eastAsia="微软雅黑" w:cs="微软雅黑"/>
        </w:rPr>
        <w:t>领域：新能源与能源转型</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央视报道，西藏藏北高原一批高海拔光储保供项目近日建成。其中双湖县10兆瓦光储电站由16000多块光伏板组成，光伏组件按5000米超高海拔环境定制，双面发电可使发电效率提升7.4%；项目建成投运后年发电量可达1559万千瓦时，相当于目前双湖全县半年以上的用电量，每年可节约标准煤约4700吨、减排二氧化碳约1.3万吨。此次同步建成的还有班戈县20兆瓦、比如县33兆瓦光伏保供项目，平均海拔都在4700米以上。三个项目均配置了构网型储能系统，保供时长不低于4小时，主网因风雪、冰雹等极端天气中断时储能可在毫秒级时间黑启动，独立保障县城核心负荷供电。投产后三县年均新增清洁电力超8500万千瓦时。</w:t>
      </w:r>
    </w:p>
    <w:p>
      <w:pPr>
        <w:ind w:firstLine="420"/>
      </w:pPr>
      <w:r>
        <w:rPr>
          <w:rFonts w:ascii="微软雅黑" w:hAnsi="微软雅黑" w:eastAsia="微软雅黑" w:cs="微软雅黑"/>
        </w:rPr>
        <w:t>来源：</w:t>
      </w:r>
      <w:hyperlink w:anchor="source-32373">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19. 西藏那曲吉措100兆瓦风储一体化项目并网发电</w:t>
      </w:r>
    </w:p>
    <w:p>
      <w:pPr>
        <w:keepNext/>
      </w:pPr>
      <w:r>
        <w:rPr>
          <w:rFonts w:ascii="微软雅黑" w:hAnsi="微软雅黑" w:eastAsia="微软雅黑" w:cs="微软雅黑"/>
        </w:rPr>
        <w:t>领域：电力与储能</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央视报道，全国超高海拔地区装机规模最大的风储一体化项目——那曲吉措100兆瓦风储项目，在西藏那曲市色尼区成功并网发电。项目所在区域年平均风速7.51米每秒，最高风速42米每秒；风机海拔在4850米至5127米之间，共安装18台单机容量5.56兆瓦的风电机组，配套建设20兆瓦/80兆瓦时构网型储能系统。风机叶轮直径增大到200米，发电与控制系统针对高原稀薄空气和阵风紊流做了针对性优化，以改善低空气密度下的“有风难出力”问题。报道引述专家介绍，项目投运后预计每年可输送清洁电能约2.11亿千瓦时，节约标煤约7.2万吨，减少二氧化碳排放约19.6万吨，用于提升那曲区域电网供电能力与稳定性、保障农牧民温暖过冬。</w:t>
      </w:r>
    </w:p>
    <w:p>
      <w:pPr>
        <w:ind w:firstLine="420"/>
      </w:pPr>
      <w:r>
        <w:rPr>
          <w:rFonts w:ascii="微软雅黑" w:hAnsi="微软雅黑" w:eastAsia="微软雅黑" w:cs="微软雅黑"/>
        </w:rPr>
        <w:t>来源：</w:t>
      </w:r>
      <w:hyperlink w:anchor="source-32373">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20. 涩北气田31年累计产天然气1091.48亿立方米，稳产安排至2035年</w:t>
      </w:r>
    </w:p>
    <w:p>
      <w:pPr>
        <w:keepNext/>
      </w:pPr>
      <w:r>
        <w:rPr>
          <w:rFonts w:ascii="微软雅黑" w:hAnsi="微软雅黑" w:eastAsia="微软雅黑" w:cs="微软雅黑"/>
        </w:rPr>
        <w:t>领域：天然气与液化天然气</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中国新闻网报道，中国石油天然气集团公司青海油田分公司采气一厂消息，涩北气田自1995年投入试采开发至2026年10月31日已累计生产天然气1091.48亿立方米，连续31年为青海、西藏、甘肃、宁夏四省区天然气供应提供支撑，服务4省区9市6县。涩北气田位于青海柴达木盆地东部涩聂湖畔，1964年被发现，属第四系疏松砂岩自生自储式生物成因气藏，是中国海拔最高、条件最艰苦、环境最恶劣的产气区；2007年产量首次累计突破100亿立方米，此后经技术工艺改造、产能技术调整、开发工艺升级和自动化场站建设，连续15年保持每年50亿立方米稳产。青海油田采气一厂技术研究中心副主任赵玉琴介绍，经气藏动态评估，涩北气田可按每年40亿立方米以上的产量任务稳产至2035年；周边一些区块正开展试采与潜力评价，形成梯度接替布局。</w:t>
      </w:r>
    </w:p>
    <w:p>
      <w:pPr>
        <w:ind w:firstLine="420"/>
      </w:pPr>
      <w:r>
        <w:rPr>
          <w:rFonts w:ascii="微软雅黑" w:hAnsi="微软雅黑" w:eastAsia="微软雅黑" w:cs="微软雅黑"/>
        </w:rPr>
        <w:t>来源：</w:t>
      </w:r>
      <w:hyperlink w:anchor="source-32525">
        <w:r>
          <w:rPr>
            <w:rFonts w:ascii="微软雅黑" w:hAnsi="微软雅黑" w:eastAsia="微软雅黑" w:cs="微软雅黑"/>
            <w:color w:val="087E89"/>
          </w:rPr>
          <w:t>23</w:t>
        </w:r>
      </w:hyperlink>
      <w:r>
        <w:rPr>
          <w:rFonts w:ascii="微软雅黑" w:hAnsi="微软雅黑" w:eastAsia="微软雅黑" w:cs="微软雅黑"/>
        </w:rPr>
      </w:r>
    </w:p>
    <w:p>
      <w:pPr>
        <w:pStyle w:val="Heading2"/>
      </w:pPr>
      <w:r>
        <w:rPr>
          <w:rFonts w:ascii="微软雅黑" w:hAnsi="微软雅黑" w:eastAsia="微软雅黑" w:cs="微软雅黑"/>
        </w:rPr>
        <w:t>后续观察</w:t>
      </w:r>
    </w:p>
    <w:p>
      <w:pPr>
        <w:pStyle w:val="ListBullet"/>
      </w:pPr>
      <w:r>
        <w:rPr>
          <w:rFonts w:ascii="微软雅黑" w:hAnsi="微软雅黑" w:eastAsia="微软雅黑" w:cs="微软雅黑"/>
        </w:rPr>
      </w:r>
      <w:r>
        <w:rPr>
          <w:rFonts w:ascii="微软雅黑" w:hAnsi="微软雅黑" w:eastAsia="微软雅黑" w:cs="微软雅黑"/>
          <w:b/>
        </w:rPr>
        <w:t>印尼Maha气田及Jangkrik FPU产量（2028年）：</w:t>
      </w:r>
      <w:r>
        <w:rPr>
          <w:rFonts w:ascii="微软雅黑" w:hAnsi="微软雅黑" w:eastAsia="微软雅黑" w:cs="微软雅黑"/>
        </w:rPr>
        <w:t xml:space="preserve">Maha产量能否按250 MMSCFD达产，以及印尼国内供气与LNG原料分流比例的实际落实情况。 后续看：Jangkrik FPU与South Hub的实际产量数据，以及Maha气供应印尼国内管网和Bontang液化厂的装船与供应安排披露。 关注原因：Maha达产节奏决定Jangkrik平台产量及印尼LNG原料供给的实际增量，是评估该气田对区域LNG市场的实质影响的关键。 </w:t>
      </w:r>
      <w:hyperlink w:anchor="source-32374">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r>
      <w:r>
        <w:rPr>
          <w:rFonts w:ascii="微软雅黑" w:hAnsi="微软雅黑" w:eastAsia="微软雅黑" w:cs="微软雅黑"/>
          <w:b/>
        </w:rPr>
        <w:t>霍尔木兹海峡重开安排：</w:t>
      </w:r>
      <w:r>
        <w:rPr>
          <w:rFonts w:ascii="微软雅黑" w:hAnsi="微软雅黑" w:eastAsia="微软雅黑" w:cs="微软雅黑"/>
        </w:rPr>
        <w:t xml:space="preserve">两日方案能否达成最终结论并落地执行，霍尔木兹海峡通行状态是否随之改变。 后续看：伊朗与卡塔尔调解方关于两日方案的进一步公告，以及美方对伊方问题的正式答复。 关注原因：海峡通行状态直接影响海运原油与LNG通道安全，是评估原油运输与价格风险的关键变量。 </w:t>
      </w:r>
      <w:hyperlink w:anchor="source-32294">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32517">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32320">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32381">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32422">
        <w:r>
          <w:rPr>
            <w:rFonts w:ascii="微软雅黑" w:hAnsi="微软雅黑" w:eastAsia="微软雅黑" w:cs="微软雅黑"/>
            <w:color w:val="087E89"/>
          </w:rPr>
          <w:t>8</w:t>
        </w:r>
      </w:hyperlink>
      <w:r>
        <w:rPr>
          <w:rFonts w:ascii="微软雅黑" w:hAnsi="微软雅黑" w:eastAsia="微软雅黑" w:cs="微软雅黑"/>
        </w:rPr>
      </w:r>
    </w:p>
    <w:p>
      <w:pPr>
        <w:pStyle w:val="ListBullet"/>
      </w:pPr>
      <w:r>
        <w:rPr>
          <w:rFonts w:ascii="微软雅黑" w:hAnsi="微软雅黑" w:eastAsia="微软雅黑" w:cs="微软雅黑"/>
        </w:rPr>
      </w:r>
      <w:r>
        <w:rPr>
          <w:rFonts w:ascii="微软雅黑" w:hAnsi="微软雅黑" w:eastAsia="微软雅黑" w:cs="微软雅黑"/>
          <w:b/>
        </w:rPr>
        <w:t>OPEC+七国产量配额决定（2026-11-29）：</w:t>
      </w:r>
      <w:r>
        <w:rPr>
          <w:rFonts w:ascii="微软雅黑" w:hAnsi="微软雅黑" w:eastAsia="微软雅黑" w:cs="微软雅黑"/>
        </w:rPr>
        <w:t xml:space="preserve">12月之后各成员产量配额水平及协议执行情况的后续调整。 后续看：11月29日OPEC+全量会议及其会后新闻稿，确认12月之后配额与执行安排是否调整。 关注原因：配额延续仅覆盖12月，之后的政策取向将影响下一阶段全球原油供给预期。 </w:t>
      </w:r>
      <w:hyperlink w:anchor="source-32516">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32469">
        <w:r>
          <w:rPr>
            <w:rFonts w:ascii="微软雅黑" w:hAnsi="微软雅黑" w:eastAsia="微软雅黑" w:cs="微软雅黑"/>
            <w:color w:val="087E89"/>
          </w:rPr>
          <w:t>13</w:t>
        </w:r>
      </w:hyperlink>
      <w:r>
        <w:rPr>
          <w:rFonts w:ascii="微软雅黑" w:hAnsi="微软雅黑" w:eastAsia="微软雅黑" w:cs="微软雅黑"/>
        </w:rPr>
      </w:r>
    </w:p>
    <w:p>
      <w:pPr>
        <w:pStyle w:val="ListBullet"/>
      </w:pPr>
      <w:r>
        <w:rPr>
          <w:rFonts w:ascii="微软雅黑" w:hAnsi="微软雅黑" w:eastAsia="微软雅黑" w:cs="微软雅黑"/>
        </w:rPr>
      </w:r>
      <w:r>
        <w:rPr>
          <w:rFonts w:ascii="微软雅黑" w:hAnsi="微软雅黑" w:eastAsia="微软雅黑" w:cs="微软雅黑"/>
          <w:b/>
        </w:rPr>
        <w:t>德国储气义务立法与冬季实际进口：</w:t>
      </w:r>
      <w:r>
        <w:rPr>
          <w:rFonts w:ascii="微软雅黑" w:hAnsi="微软雅黑" w:eastAsia="微软雅黑" w:cs="微软雅黑"/>
        </w:rPr>
        <w:t xml:space="preserve">储气义务是否被写入法律、冬季实际提取与LNG及管道气进口能否补足缺口 后续看：德国经济部关于过冬评估的后续表态、INES关于储气义务设计的说明、AGS储气数据与冬季进口量 关注原因：决定欧洲冬季气价与补库需求，是当前供应安全判断的关键变量 </w:t>
      </w:r>
      <w:hyperlink w:anchor="source-32558">
        <w:r>
          <w:rPr>
            <w:rFonts w:ascii="微软雅黑" w:hAnsi="微软雅黑" w:eastAsia="微软雅黑" w:cs="微软雅黑"/>
            <w:color w:val="087E89"/>
          </w:rPr>
          <w:t>19</w:t>
        </w:r>
      </w:hyperlink>
      <w:r>
        <w:rPr>
          <w:rFonts w:ascii="微软雅黑" w:hAnsi="微软雅黑" w:eastAsia="微软雅黑" w:cs="微软雅黑"/>
        </w:rPr>
        <w:t xml:space="preserve"> </w:t>
      </w:r>
      <w:hyperlink w:anchor="source-32491">
        <w:r>
          <w:rPr>
            <w:rFonts w:ascii="微软雅黑" w:hAnsi="微软雅黑" w:eastAsia="微软雅黑" w:cs="微软雅黑"/>
            <w:color w:val="087E89"/>
          </w:rPr>
          <w:t>20</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本期候选范围 68 篇；实际选读 46 篇，正文引用 23 篇来源，整理 20 个事件。</w:t>
      </w:r>
    </w:p>
    <w:p>
      <w:pPr>
        <w:ind w:firstLine="420"/>
      </w:pPr>
      <w:r>
        <w:rPr>
          <w:rFonts w:ascii="微软雅黑" w:hAnsi="微软雅黑" w:eastAsia="微软雅黑" w:cs="微软雅黑"/>
        </w:rPr>
        <w:t>选读包含 26 篇已有评分文章和 20 篇未评分候补；另有 22 篇未进入本次选读。</w:t>
      </w:r>
    </w:p>
    <w:p>
      <w:pPr>
        <w:ind w:firstLine="420"/>
      </w:pPr>
      <w:r>
        <w:rPr>
          <w:rFonts w:ascii="微软雅黑" w:hAnsi="微软雅黑" w:eastAsia="微软雅黑" w:cs="微软雅黑"/>
        </w:rPr>
        <w:t>按报道发布时间归档。正文分别标明历史数据、计划、预测和来源观点；引用与格式检查不代表独立事实核实。</w:t>
      </w:r>
    </w:p>
    <w:p>
      <w:pPr>
        <w:pStyle w:val="Heading2"/>
      </w:pPr>
      <w:r>
        <w:rPr>
          <w:rFonts w:ascii="微软雅黑" w:hAnsi="微软雅黑" w:eastAsia="微软雅黑" w:cs="微软雅黑"/>
        </w:rPr>
        <w:t>资料来源</w:t>
      </w:r>
    </w:p>
    <w:p>
      <w:pPr>
        <w:spacing w:after="0" w:line="20" w:lineRule="exact"/>
      </w:pPr>
      <w:bookmarkStart w:id="1" w:name="source-32374"/>
      <w:bookmarkEnd w:id="1" w:name="source-32374"/>
    </w:p>
    <w:p>
      <w:pPr>
        <w:pStyle w:val="ListBullet"/>
      </w:pPr>
      <w:r>
        <w:rPr>
          <w:rFonts w:ascii="微软雅黑" w:hAnsi="微软雅黑" w:eastAsia="微软雅黑" w:cs="微软雅黑"/>
        </w:rPr>
        <w:t>[1] OGN News｜</w:t>
      </w:r>
      <w:hyperlink r:id="rId11">
        <w:r>
          <w:rPr>
            <w:rFonts w:ascii="微软雅黑" w:hAnsi="微软雅黑" w:eastAsia="微软雅黑" w:cs="微软雅黑"/>
            <w:color w:val="087E89"/>
          </w:rPr>
          <w:t>埃尼在印度尼西亚Maha气田投产，距最终投资决定（FID）仅21个月</w:t>
        </w:r>
      </w:hyperlink>
      <w:r>
        <w:rPr>
          <w:rFonts w:ascii="微软雅黑" w:hAnsi="微软雅黑" w:eastAsia="微软雅黑" w:cs="微软雅黑"/>
        </w:rPr>
      </w:r>
    </w:p>
    <w:p>
      <w:pPr>
        <w:spacing w:after="0" w:line="20" w:lineRule="exact"/>
      </w:pPr>
      <w:bookmarkStart w:id="2" w:name="source-32429"/>
      <w:bookmarkEnd w:id="2" w:name="source-32429"/>
    </w:p>
    <w:p>
      <w:pPr>
        <w:pStyle w:val="ListBullet"/>
      </w:pPr>
      <w:r>
        <w:rPr>
          <w:rFonts w:ascii="微软雅黑" w:hAnsi="微软雅黑" w:eastAsia="微软雅黑" w:cs="微软雅黑"/>
        </w:rPr>
        <w:t>[2] OGN News｜</w:t>
      </w:r>
      <w:hyperlink r:id="rId12">
        <w:r>
          <w:rPr>
            <w:rFonts w:ascii="微软雅黑" w:hAnsi="微软雅黑" w:eastAsia="微软雅黑" w:cs="微软雅黑"/>
            <w:color w:val="087E89"/>
          </w:rPr>
          <w:t>埃尼在委内瑞拉胡宁-5油田恢复产量</w:t>
        </w:r>
      </w:hyperlink>
      <w:r>
        <w:rPr>
          <w:rFonts w:ascii="微软雅黑" w:hAnsi="微软雅黑" w:eastAsia="微软雅黑" w:cs="微软雅黑"/>
        </w:rPr>
      </w:r>
    </w:p>
    <w:p>
      <w:pPr>
        <w:spacing w:after="0" w:line="20" w:lineRule="exact"/>
      </w:pPr>
      <w:bookmarkStart w:id="3" w:name="source-32494"/>
      <w:bookmarkEnd w:id="3" w:name="source-32494"/>
    </w:p>
    <w:p>
      <w:pPr>
        <w:pStyle w:val="ListBullet"/>
      </w:pPr>
      <w:r>
        <w:rPr>
          <w:rFonts w:ascii="微软雅黑" w:hAnsi="微软雅黑" w:eastAsia="微软雅黑" w:cs="微软雅黑"/>
        </w:rPr>
        <w:t>[3] 中财网｜</w:t>
      </w:r>
      <w:hyperlink r:id="rId13">
        <w:r>
          <w:rPr>
            <w:rFonts w:ascii="微软雅黑" w:hAnsi="微软雅黑" w:eastAsia="微软雅黑" w:cs="微软雅黑"/>
            <w:color w:val="087E89"/>
          </w:rPr>
          <w:t>抢出口支撑四季度外贸 新能源车与电池出口加速出海</w:t>
        </w:r>
      </w:hyperlink>
      <w:r>
        <w:rPr>
          <w:rFonts w:ascii="微软雅黑" w:hAnsi="微软雅黑" w:eastAsia="微软雅黑" w:cs="微软雅黑"/>
        </w:rPr>
      </w:r>
    </w:p>
    <w:p>
      <w:pPr>
        <w:spacing w:after="0" w:line="20" w:lineRule="exact"/>
      </w:pPr>
      <w:bookmarkStart w:id="4" w:name="source-32294"/>
      <w:bookmarkEnd w:id="4" w:name="source-32294"/>
    </w:p>
    <w:p>
      <w:pPr>
        <w:pStyle w:val="ListBullet"/>
      </w:pPr>
      <w:r>
        <w:rPr>
          <w:rFonts w:ascii="微软雅黑" w:hAnsi="微软雅黑" w:eastAsia="微软雅黑" w:cs="微软雅黑"/>
        </w:rPr>
        <w:t>[4] 新浪财经美股市场（经济）｜</w:t>
      </w:r>
      <w:hyperlink r:id="rId14">
        <w:r>
          <w:rPr>
            <w:rFonts w:ascii="微软雅黑" w:hAnsi="微软雅黑" w:eastAsia="微软雅黑" w:cs="微软雅黑"/>
            <w:color w:val="087E89"/>
          </w:rPr>
          <w:t>海湾国家急于斡旋美伊和谈：难承担战事重启风险 但美国高层意见存在分歧</w:t>
        </w:r>
      </w:hyperlink>
      <w:r>
        <w:rPr>
          <w:rFonts w:ascii="微软雅黑" w:hAnsi="微软雅黑" w:eastAsia="微软雅黑" w:cs="微软雅黑"/>
        </w:rPr>
      </w:r>
    </w:p>
    <w:p>
      <w:pPr>
        <w:spacing w:after="0" w:line="20" w:lineRule="exact"/>
      </w:pPr>
      <w:bookmarkStart w:id="5" w:name="source-32517"/>
      <w:bookmarkEnd w:id="5" w:name="source-32517"/>
    </w:p>
    <w:p>
      <w:pPr>
        <w:pStyle w:val="ListBullet"/>
      </w:pPr>
      <w:r>
        <w:rPr>
          <w:rFonts w:ascii="微软雅黑" w:hAnsi="微软雅黑" w:eastAsia="微软雅黑" w:cs="微软雅黑"/>
        </w:rPr>
        <w:t>[5] 新浪财经｜</w:t>
      </w:r>
      <w:hyperlink r:id="rId15">
        <w:r>
          <w:rPr>
            <w:rFonts w:ascii="微软雅黑" w:hAnsi="微软雅黑" w:eastAsia="微软雅黑" w:cs="微软雅黑"/>
            <w:color w:val="087E89"/>
          </w:rPr>
          <w:t>伊朗称与调解方就霍尔木兹海峡两日方案的谈判仍在推进</w:t>
        </w:r>
      </w:hyperlink>
      <w:r>
        <w:rPr>
          <w:rFonts w:ascii="微软雅黑" w:hAnsi="微软雅黑" w:eastAsia="微软雅黑" w:cs="微软雅黑"/>
        </w:rPr>
      </w:r>
    </w:p>
    <w:p>
      <w:pPr>
        <w:spacing w:after="0" w:line="20" w:lineRule="exact"/>
      </w:pPr>
      <w:bookmarkStart w:id="6" w:name="source-32320"/>
      <w:bookmarkEnd w:id="6" w:name="source-32320"/>
    </w:p>
    <w:p>
      <w:pPr>
        <w:pStyle w:val="ListBullet"/>
      </w:pPr>
      <w:r>
        <w:rPr>
          <w:rFonts w:ascii="微软雅黑" w:hAnsi="微软雅黑" w:eastAsia="微软雅黑" w:cs="微软雅黑"/>
        </w:rPr>
        <w:t>[6] 新浪财经｜</w:t>
      </w:r>
      <w:hyperlink r:id="rId16">
        <w:r>
          <w:rPr>
            <w:rFonts w:ascii="微软雅黑" w:hAnsi="微软雅黑" w:eastAsia="微软雅黑" w:cs="微软雅黑"/>
            <w:color w:val="087E89"/>
          </w:rPr>
          <w:t>特朗普“尚未决定是否对伊朗发动新的军事打击”</w:t>
        </w:r>
      </w:hyperlink>
      <w:r>
        <w:rPr>
          <w:rFonts w:ascii="微软雅黑" w:hAnsi="微软雅黑" w:eastAsia="微软雅黑" w:cs="微软雅黑"/>
        </w:rPr>
      </w:r>
    </w:p>
    <w:p>
      <w:pPr>
        <w:spacing w:after="0" w:line="20" w:lineRule="exact"/>
      </w:pPr>
      <w:bookmarkStart w:id="7" w:name="source-32381"/>
      <w:bookmarkEnd w:id="7" w:name="source-32381"/>
    </w:p>
    <w:p>
      <w:pPr>
        <w:pStyle w:val="ListBullet"/>
      </w:pPr>
      <w:r>
        <w:rPr>
          <w:rFonts w:ascii="微软雅黑" w:hAnsi="微软雅黑" w:eastAsia="微软雅黑" w:cs="微软雅黑"/>
        </w:rPr>
        <w:t>[7] 中国新闻网｜</w:t>
      </w:r>
      <w:hyperlink r:id="rId17">
        <w:r>
          <w:rPr>
            <w:rFonts w:ascii="微软雅黑" w:hAnsi="微软雅黑" w:eastAsia="微软雅黑" w:cs="微软雅黑"/>
            <w:color w:val="087E89"/>
          </w:rPr>
          <w:t>特朗普：美国在伊朗仍需处理一两个目标，包括镐山核设施</w:t>
        </w:r>
      </w:hyperlink>
      <w:r>
        <w:rPr>
          <w:rFonts w:ascii="微软雅黑" w:hAnsi="微软雅黑" w:eastAsia="微软雅黑" w:cs="微软雅黑"/>
        </w:rPr>
      </w:r>
    </w:p>
    <w:p>
      <w:pPr>
        <w:spacing w:after="0" w:line="20" w:lineRule="exact"/>
      </w:pPr>
      <w:bookmarkStart w:id="8" w:name="source-32422"/>
      <w:bookmarkEnd w:id="8" w:name="source-32422"/>
    </w:p>
    <w:p>
      <w:pPr>
        <w:pStyle w:val="ListBullet"/>
      </w:pPr>
      <w:r>
        <w:rPr>
          <w:rFonts w:ascii="微软雅黑" w:hAnsi="微软雅黑" w:eastAsia="微软雅黑" w:cs="微软雅黑"/>
        </w:rPr>
        <w:t>[8] 新浪财经｜</w:t>
      </w:r>
      <w:hyperlink r:id="rId18">
        <w:r>
          <w:rPr>
            <w:rFonts w:ascii="微软雅黑" w:hAnsi="微软雅黑" w:eastAsia="微软雅黑" w:cs="微软雅黑"/>
            <w:color w:val="087E89"/>
          </w:rPr>
          <w:t>特朗普：美国已摧毁伊朗大部分军事力量，可能会对伊朗再来一次“史诗怒火”军事行动，伊朗战事将“很快结束”</w:t>
        </w:r>
      </w:hyperlink>
      <w:r>
        <w:rPr>
          <w:rFonts w:ascii="微软雅黑" w:hAnsi="微软雅黑" w:eastAsia="微软雅黑" w:cs="微软雅黑"/>
        </w:rPr>
      </w:r>
    </w:p>
    <w:p>
      <w:pPr>
        <w:spacing w:after="0" w:line="20" w:lineRule="exact"/>
      </w:pPr>
      <w:bookmarkStart w:id="9" w:name="source-32369"/>
      <w:bookmarkEnd w:id="9" w:name="source-32369"/>
    </w:p>
    <w:p>
      <w:pPr>
        <w:pStyle w:val="ListBullet"/>
      </w:pPr>
      <w:r>
        <w:rPr>
          <w:rFonts w:ascii="微软雅黑" w:hAnsi="微软雅黑" w:eastAsia="微软雅黑" w:cs="微软雅黑"/>
        </w:rPr>
        <w:t>[9] 新浪财经｜</w:t>
      </w:r>
      <w:hyperlink r:id="rId19">
        <w:r>
          <w:rPr>
            <w:rFonts w:ascii="微软雅黑" w:hAnsi="微软雅黑" w:eastAsia="微软雅黑" w:cs="微软雅黑"/>
            <w:color w:val="087E89"/>
          </w:rPr>
          <w:t>美国中期选举倒计时，特朗普遇大考：民主党拿下参众两院概率超60%！选举后股市、黄金怎么走</w:t>
        </w:r>
      </w:hyperlink>
      <w:r>
        <w:rPr>
          <w:rFonts w:ascii="微软雅黑" w:hAnsi="微软雅黑" w:eastAsia="微软雅黑" w:cs="微软雅黑"/>
        </w:rPr>
      </w:r>
    </w:p>
    <w:p>
      <w:pPr>
        <w:spacing w:after="0" w:line="20" w:lineRule="exact"/>
      </w:pPr>
      <w:bookmarkStart w:id="10" w:name="source-32426"/>
      <w:bookmarkEnd w:id="10" w:name="source-32426"/>
    </w:p>
    <w:p>
      <w:pPr>
        <w:pStyle w:val="ListBullet"/>
      </w:pPr>
      <w:r>
        <w:rPr>
          <w:rFonts w:ascii="微软雅黑" w:hAnsi="微软雅黑" w:eastAsia="微软雅黑" w:cs="微软雅黑"/>
        </w:rPr>
        <w:t>[10] 沙特阿美｜</w:t>
      </w:r>
      <w:hyperlink r:id="rId20">
        <w:r>
          <w:rPr>
            <w:rFonts w:ascii="微软雅黑" w:hAnsi="微软雅黑" w:eastAsia="微软雅黑" w:cs="微软雅黑"/>
            <w:color w:val="087E89"/>
          </w:rPr>
          <w:t>沙特公共投资基金（PIF）与阿美（Aramco）完成HUMAIN交易，加速HUMAIN全球增长</w:t>
        </w:r>
      </w:hyperlink>
      <w:r>
        <w:rPr>
          <w:rFonts w:ascii="微软雅黑" w:hAnsi="微软雅黑" w:eastAsia="微软雅黑" w:cs="微软雅黑"/>
        </w:rPr>
      </w:r>
    </w:p>
    <w:p>
      <w:pPr>
        <w:spacing w:after="0" w:line="20" w:lineRule="exact"/>
      </w:pPr>
      <w:bookmarkStart w:id="11" w:name="source-32477"/>
      <w:bookmarkEnd w:id="11" w:name="source-32477"/>
    </w:p>
    <w:p>
      <w:pPr>
        <w:pStyle w:val="ListBullet"/>
      </w:pPr>
      <w:r>
        <w:rPr>
          <w:rFonts w:ascii="微软雅黑" w:hAnsi="微软雅黑" w:eastAsia="微软雅黑" w:cs="微软雅黑"/>
        </w:rPr>
        <w:t>[11] OGN News｜</w:t>
      </w:r>
      <w:hyperlink r:id="rId21">
        <w:r>
          <w:rPr>
            <w:rFonts w:ascii="微软雅黑" w:hAnsi="微软雅黑" w:eastAsia="微软雅黑" w:cs="微软雅黑"/>
            <w:color w:val="087E89"/>
          </w:rPr>
          <w:t>沙特阿美收购沙特PIF旗下人工智能公司Humain 49%股份</w:t>
        </w:r>
      </w:hyperlink>
      <w:r>
        <w:rPr>
          <w:rFonts w:ascii="微软雅黑" w:hAnsi="微软雅黑" w:eastAsia="微软雅黑" w:cs="微软雅黑"/>
        </w:rPr>
      </w:r>
    </w:p>
    <w:p>
      <w:pPr>
        <w:spacing w:after="0" w:line="20" w:lineRule="exact"/>
      </w:pPr>
      <w:bookmarkStart w:id="12" w:name="source-32516"/>
      <w:bookmarkEnd w:id="12" w:name="source-32516"/>
    </w:p>
    <w:p>
      <w:pPr>
        <w:pStyle w:val="ListBullet"/>
      </w:pPr>
      <w:r>
        <w:rPr>
          <w:rFonts w:ascii="微软雅黑" w:hAnsi="微软雅黑" w:eastAsia="微软雅黑" w:cs="微软雅黑"/>
        </w:rPr>
        <w:t>[12] Interfax｜</w:t>
      </w:r>
      <w:hyperlink r:id="rId22">
        <w:r>
          <w:rPr>
            <w:rFonts w:ascii="微软雅黑" w:hAnsi="微软雅黑" w:eastAsia="微软雅黑" w:cs="微软雅黑"/>
            <w:color w:val="087E89"/>
          </w:rPr>
          <w:t>“七国”欧佩克+决定维持12月石油产量现行配额不变</w:t>
        </w:r>
      </w:hyperlink>
      <w:r>
        <w:rPr>
          <w:rFonts w:ascii="微软雅黑" w:hAnsi="微软雅黑" w:eastAsia="微软雅黑" w:cs="微软雅黑"/>
        </w:rPr>
      </w:r>
    </w:p>
    <w:p>
      <w:pPr>
        <w:spacing w:after="0" w:line="20" w:lineRule="exact"/>
      </w:pPr>
      <w:bookmarkStart w:id="13" w:name="source-32469"/>
      <w:bookmarkEnd w:id="13" w:name="source-32469"/>
    </w:p>
    <w:p>
      <w:pPr>
        <w:pStyle w:val="ListBullet"/>
      </w:pPr>
      <w:r>
        <w:rPr>
          <w:rFonts w:ascii="微软雅黑" w:hAnsi="微软雅黑" w:eastAsia="微软雅黑" w:cs="微软雅黑"/>
        </w:rPr>
        <w:t>[13] Interfax｜</w:t>
      </w:r>
      <w:hyperlink r:id="rId23">
        <w:r>
          <w:rPr>
            <w:rFonts w:ascii="微软雅黑" w:hAnsi="微软雅黑" w:eastAsia="微软雅黑" w:cs="微软雅黑"/>
            <w:color w:val="087E89"/>
          </w:rPr>
          <w:t>彭博社报道：欧佩克+“七国”拟在12月维持现行石油产量配额</w:t>
        </w:r>
      </w:hyperlink>
      <w:r>
        <w:rPr>
          <w:rFonts w:ascii="微软雅黑" w:hAnsi="微软雅黑" w:eastAsia="微软雅黑" w:cs="微软雅黑"/>
        </w:rPr>
      </w:r>
    </w:p>
    <w:p>
      <w:pPr>
        <w:spacing w:after="0" w:line="20" w:lineRule="exact"/>
      </w:pPr>
      <w:bookmarkStart w:id="14" w:name="source-32539"/>
      <w:bookmarkEnd w:id="14" w:name="source-32539"/>
    </w:p>
    <w:p>
      <w:pPr>
        <w:pStyle w:val="ListBullet"/>
      </w:pPr>
      <w:r>
        <w:rPr>
          <w:rFonts w:ascii="微软雅黑" w:hAnsi="微软雅黑" w:eastAsia="微软雅黑" w:cs="微软雅黑"/>
        </w:rPr>
        <w:t>[14] 中财网｜</w:t>
      </w:r>
      <w:hyperlink r:id="rId24">
        <w:r>
          <w:rPr>
            <w:rFonts w:ascii="微软雅黑" w:hAnsi="微软雅黑" w:eastAsia="微软雅黑" w:cs="微软雅黑"/>
            <w:color w:val="087E89"/>
          </w:rPr>
          <w:t>宁德时代换电+欧洲储能双突破 锂电板块迎底部反转信号</w:t>
        </w:r>
      </w:hyperlink>
      <w:r>
        <w:rPr>
          <w:rFonts w:ascii="微软雅黑" w:hAnsi="微软雅黑" w:eastAsia="微软雅黑" w:cs="微软雅黑"/>
        </w:rPr>
      </w:r>
    </w:p>
    <w:p>
      <w:pPr>
        <w:spacing w:after="0" w:line="20" w:lineRule="exact"/>
      </w:pPr>
      <w:bookmarkStart w:id="15" w:name="source-32377"/>
      <w:bookmarkEnd w:id="15" w:name="source-32377"/>
    </w:p>
    <w:p>
      <w:pPr>
        <w:pStyle w:val="ListBullet"/>
      </w:pPr>
      <w:r>
        <w:rPr>
          <w:rFonts w:ascii="微软雅黑" w:hAnsi="微软雅黑" w:eastAsia="微软雅黑" w:cs="微软雅黑"/>
        </w:rPr>
        <w:t>[15] OGN News｜</w:t>
      </w:r>
      <w:hyperlink r:id="rId25">
        <w:r>
          <w:rPr>
            <w:rFonts w:ascii="微软雅黑" w:hAnsi="微软雅黑" w:eastAsia="微软雅黑" w:cs="微软雅黑"/>
            <w:color w:val="087E89"/>
          </w:rPr>
          <w:t>马斯达尔牵头的联合体在马来西亚启动200兆瓦漂浮式光伏项目建设</w:t>
        </w:r>
      </w:hyperlink>
      <w:r>
        <w:rPr>
          <w:rFonts w:ascii="微软雅黑" w:hAnsi="微软雅黑" w:eastAsia="微软雅黑" w:cs="微软雅黑"/>
        </w:rPr>
      </w:r>
    </w:p>
    <w:p>
      <w:pPr>
        <w:spacing w:after="0" w:line="20" w:lineRule="exact"/>
      </w:pPr>
      <w:bookmarkStart w:id="16" w:name="source-32495"/>
      <w:bookmarkEnd w:id="16" w:name="source-32495"/>
    </w:p>
    <w:p>
      <w:pPr>
        <w:pStyle w:val="ListBullet"/>
      </w:pPr>
      <w:r>
        <w:rPr>
          <w:rFonts w:ascii="微软雅黑" w:hAnsi="微软雅黑" w:eastAsia="微软雅黑" w:cs="微软雅黑"/>
        </w:rPr>
        <w:t>[16] 中财网｜</w:t>
      </w:r>
      <w:hyperlink r:id="rId26">
        <w:r>
          <w:rPr>
            <w:rFonts w:ascii="微软雅黑" w:hAnsi="微软雅黑" w:eastAsia="微软雅黑" w:cs="微软雅黑"/>
            <w:color w:val="087E89"/>
          </w:rPr>
          <w:t>锂钴价格筑底 新能源链库存出清加速</w:t>
        </w:r>
      </w:hyperlink>
      <w:r>
        <w:rPr>
          <w:rFonts w:ascii="微软雅黑" w:hAnsi="微软雅黑" w:eastAsia="微软雅黑" w:cs="微软雅黑"/>
        </w:rPr>
      </w:r>
    </w:p>
    <w:p>
      <w:pPr>
        <w:spacing w:after="0" w:line="20" w:lineRule="exact"/>
      </w:pPr>
      <w:bookmarkStart w:id="17" w:name="source-32373"/>
      <w:bookmarkEnd w:id="17" w:name="source-32373"/>
    </w:p>
    <w:p>
      <w:pPr>
        <w:pStyle w:val="ListBullet"/>
      </w:pPr>
      <w:r>
        <w:rPr>
          <w:rFonts w:ascii="微软雅黑" w:hAnsi="微软雅黑" w:eastAsia="微软雅黑" w:cs="微软雅黑"/>
        </w:rPr>
        <w:t>[17] 央视新闻等｜</w:t>
      </w:r>
      <w:hyperlink r:id="rId27">
        <w:r>
          <w:rPr>
            <w:rFonts w:ascii="微软雅黑" w:hAnsi="微软雅黑" w:eastAsia="微软雅黑" w:cs="微软雅黑"/>
            <w:color w:val="087E89"/>
          </w:rPr>
          <w:t>高原新能源“充电宝”破解供电难题 绿色电力保障民生需求</w:t>
        </w:r>
      </w:hyperlink>
      <w:r>
        <w:rPr>
          <w:rFonts w:ascii="微软雅黑" w:hAnsi="微软雅黑" w:eastAsia="微软雅黑" w:cs="微软雅黑"/>
        </w:rPr>
      </w:r>
    </w:p>
    <w:p>
      <w:pPr>
        <w:spacing w:after="0" w:line="20" w:lineRule="exact"/>
      </w:pPr>
      <w:bookmarkStart w:id="18" w:name="source-32375"/>
      <w:bookmarkEnd w:id="18" w:name="source-32375"/>
    </w:p>
    <w:p>
      <w:pPr>
        <w:pStyle w:val="ListBullet"/>
      </w:pPr>
      <w:r>
        <w:rPr>
          <w:rFonts w:ascii="微软雅黑" w:hAnsi="微软雅黑" w:eastAsia="微软雅黑" w:cs="微软雅黑"/>
        </w:rPr>
        <w:t>[18] OGN News｜</w:t>
      </w:r>
      <w:hyperlink r:id="rId28">
        <w:r>
          <w:rPr>
            <w:rFonts w:ascii="微软雅黑" w:hAnsi="微软雅黑" w:eastAsia="微软雅黑" w:cs="微软雅黑"/>
            <w:color w:val="087E89"/>
          </w:rPr>
          <w:t>道达尔能源向SAPETRO出售尼日利亚海上区块OPL257的40%股份</w:t>
        </w:r>
      </w:hyperlink>
      <w:r>
        <w:rPr>
          <w:rFonts w:ascii="微软雅黑" w:hAnsi="微软雅黑" w:eastAsia="微软雅黑" w:cs="微软雅黑"/>
        </w:rPr>
      </w:r>
    </w:p>
    <w:p>
      <w:pPr>
        <w:spacing w:after="0" w:line="20" w:lineRule="exact"/>
      </w:pPr>
      <w:bookmarkStart w:id="19" w:name="source-32558"/>
      <w:bookmarkEnd w:id="19" w:name="source-32558"/>
    </w:p>
    <w:p>
      <w:pPr>
        <w:pStyle w:val="ListBullet"/>
      </w:pPr>
      <w:r>
        <w:rPr>
          <w:rFonts w:ascii="微软雅黑" w:hAnsi="微软雅黑" w:eastAsia="微软雅黑" w:cs="微软雅黑"/>
        </w:rPr>
        <w:t>[19] 俄罗斯卫星通讯社｜</w:t>
      </w:r>
      <w:hyperlink r:id="rId29">
        <w:r>
          <w:rPr>
            <w:rFonts w:ascii="微软雅黑" w:hAnsi="微软雅黑" w:eastAsia="微软雅黑" w:cs="微软雅黑"/>
            <w:color w:val="087E89"/>
          </w:rPr>
          <w:t>德联邦议院议员警告：德国今冬几无天然气战略储备</w:t>
        </w:r>
      </w:hyperlink>
      <w:r>
        <w:rPr>
          <w:rFonts w:ascii="微软雅黑" w:hAnsi="微软雅黑" w:eastAsia="微软雅黑" w:cs="微软雅黑"/>
        </w:rPr>
      </w:r>
    </w:p>
    <w:p>
      <w:pPr>
        <w:spacing w:after="0" w:line="20" w:lineRule="exact"/>
      </w:pPr>
      <w:bookmarkStart w:id="20" w:name="source-32491"/>
      <w:bookmarkEnd w:id="20" w:name="source-32491"/>
    </w:p>
    <w:p>
      <w:pPr>
        <w:pStyle w:val="ListBullet"/>
      </w:pPr>
      <w:r>
        <w:rPr>
          <w:rFonts w:ascii="微软雅黑" w:hAnsi="微软雅黑" w:eastAsia="微软雅黑" w:cs="微软雅黑"/>
        </w:rPr>
        <w:t>[20] Anadolu Agency｜</w:t>
      </w:r>
      <w:hyperlink r:id="rId30">
        <w:r>
          <w:rPr>
            <w:rFonts w:ascii="微软雅黑" w:hAnsi="微软雅黑" w:eastAsia="微软雅黑" w:cs="微软雅黑"/>
            <w:color w:val="087E89"/>
          </w:rPr>
          <w:t>德国天然气储存未达80%冬季目标，引发供应担忧</w:t>
        </w:r>
      </w:hyperlink>
      <w:r>
        <w:rPr>
          <w:rFonts w:ascii="微软雅黑" w:hAnsi="微软雅黑" w:eastAsia="微软雅黑" w:cs="微软雅黑"/>
        </w:rPr>
      </w:r>
    </w:p>
    <w:p>
      <w:pPr>
        <w:spacing w:after="0" w:line="20" w:lineRule="exact"/>
      </w:pPr>
      <w:bookmarkStart w:id="21" w:name="source-32376"/>
      <w:bookmarkEnd w:id="21" w:name="source-32376"/>
    </w:p>
    <w:p>
      <w:pPr>
        <w:pStyle w:val="ListBullet"/>
      </w:pPr>
      <w:r>
        <w:rPr>
          <w:rFonts w:ascii="微软雅黑" w:hAnsi="微软雅黑" w:eastAsia="微软雅黑" w:cs="微软雅黑"/>
        </w:rPr>
        <w:t>[21] OGN News｜</w:t>
      </w:r>
      <w:hyperlink r:id="rId31">
        <w:r>
          <w:rPr>
            <w:rFonts w:ascii="微软雅黑" w:hAnsi="微软雅黑" w:eastAsia="微软雅黑" w:cs="微软雅黑"/>
            <w:color w:val="087E89"/>
          </w:rPr>
          <w:t>挪威新评价井将阿芙罗狄蒂（Afrodite）气田天然气资源量提升至最高1.8亿桶油当量</w:t>
        </w:r>
      </w:hyperlink>
      <w:r>
        <w:rPr>
          <w:rFonts w:ascii="微软雅黑" w:hAnsi="微软雅黑" w:eastAsia="微软雅黑" w:cs="微软雅黑"/>
        </w:rPr>
      </w:r>
    </w:p>
    <w:p>
      <w:pPr>
        <w:spacing w:after="0" w:line="20" w:lineRule="exact"/>
      </w:pPr>
      <w:bookmarkStart w:id="22" w:name="source-32490"/>
      <w:bookmarkEnd w:id="22" w:name="source-32490"/>
    </w:p>
    <w:p>
      <w:pPr>
        <w:pStyle w:val="ListBullet"/>
      </w:pPr>
      <w:r>
        <w:rPr>
          <w:rFonts w:ascii="微软雅黑" w:hAnsi="微软雅黑" w:eastAsia="微软雅黑" w:cs="微软雅黑"/>
        </w:rPr>
        <w:t>[22] Anadolu Agency｜</w:t>
      </w:r>
      <w:hyperlink r:id="rId32">
        <w:r>
          <w:rPr>
            <w:rFonts w:ascii="微软雅黑" w:hAnsi="微软雅黑" w:eastAsia="微软雅黑" w:cs="微软雅黑"/>
            <w:color w:val="087E89"/>
          </w:rPr>
          <w:t>卡塔尔液化天然气运输船在波斯湾水域遭“不明物体”袭击：公司</w:t>
        </w:r>
      </w:hyperlink>
      <w:r>
        <w:rPr>
          <w:rFonts w:ascii="微软雅黑" w:hAnsi="微软雅黑" w:eastAsia="微软雅黑" w:cs="微软雅黑"/>
        </w:rPr>
      </w:r>
    </w:p>
    <w:p>
      <w:pPr>
        <w:spacing w:after="0" w:line="20" w:lineRule="exact"/>
      </w:pPr>
      <w:bookmarkStart w:id="23" w:name="source-32525"/>
      <w:bookmarkEnd w:id="23" w:name="source-32525"/>
    </w:p>
    <w:p>
      <w:pPr>
        <w:pStyle w:val="ListBullet"/>
      </w:pPr>
      <w:r>
        <w:rPr>
          <w:rFonts w:ascii="微软雅黑" w:hAnsi="微软雅黑" w:eastAsia="微软雅黑" w:cs="微软雅黑"/>
        </w:rPr>
        <w:t>[23] 中国新闻网｜</w:t>
      </w:r>
      <w:hyperlink r:id="rId33">
        <w:r>
          <w:rPr>
            <w:rFonts w:ascii="微软雅黑" w:hAnsi="微软雅黑" w:eastAsia="微软雅黑" w:cs="微软雅黑"/>
            <w:color w:val="087E89"/>
          </w:rPr>
          <w:t>中国海拔最高气田31年累计生产天然气超1091亿立方米</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ognnews.com/ArticleTA/488972/eni-starts-gas-production-at-indonesias-maha-field-21-months-after-fid" TargetMode="External"/><Relationship Id="rId12" Type="http://schemas.openxmlformats.org/officeDocument/2006/relationships/hyperlink" Target="https://ognnews.com/ArticleTA/488979/eni-relaunches-production-at-junn-5-in-venezuela" TargetMode="External"/><Relationship Id="rId13" Type="http://schemas.openxmlformats.org/officeDocument/2006/relationships/hyperlink" Target="https://industry.cfi.cn/p20261101000835.html" TargetMode="External"/><Relationship Id="rId14" Type="http://schemas.openxmlformats.org/officeDocument/2006/relationships/hyperlink" Target="https://finance.sina.com.cn/stock/usstock/c/2026-11-01/doc-inixeuac3236972.shtml" TargetMode="External"/><Relationship Id="rId15" Type="http://schemas.openxmlformats.org/officeDocument/2006/relationships/hyperlink" Target="https://finance.sina.com.cn/stock/usstock/c/2026-11-01/doc-inixfvpw3533046.shtml" TargetMode="External"/><Relationship Id="rId16" Type="http://schemas.openxmlformats.org/officeDocument/2006/relationships/hyperlink" Target="https://finance.sina.com.cn/stock/2026-11-01/doc-inixepty4343881.shtml" TargetMode="External"/><Relationship Id="rId17" Type="http://schemas.openxmlformats.org/officeDocument/2006/relationships/hyperlink" Target="https://www.chinanews.com.cn/gj/2026/11-01/10724256.shtml" TargetMode="External"/><Relationship Id="rId18" Type="http://schemas.openxmlformats.org/officeDocument/2006/relationships/hyperlink" Target="https://finance.sina.com.cn/roll/2026-11-01/doc-inixeyiz3189886.shtml" TargetMode="External"/><Relationship Id="rId19" Type="http://schemas.openxmlformats.org/officeDocument/2006/relationships/hyperlink" Target="https://finance.sina.com.cn/stock/2026-11-01/doc-inixeyiz3189408.shtml" TargetMode="External"/><Relationship Id="rId20" Type="http://schemas.openxmlformats.org/officeDocument/2006/relationships/hyperlink" Target="https://www.aramco.com/en/news-media/news/2026/pif-and-aramco-close-humain-transaction-to-accelerate-humains-global-growth" TargetMode="External"/><Relationship Id="rId21" Type="http://schemas.openxmlformats.org/officeDocument/2006/relationships/hyperlink" Target="https://ognnews.com/ArticleTA/489006/aramco-acquires-49pc-stake-in-saudi-pif-company-humain" TargetMode="External"/><Relationship Id="rId22" Type="http://schemas.openxmlformats.org/officeDocument/2006/relationships/hyperlink" Target="https://www.interfax.ru/business/1126402" TargetMode="External"/><Relationship Id="rId23" Type="http://schemas.openxmlformats.org/officeDocument/2006/relationships/hyperlink" Target="https://www.interfax.ru/business/1126392" TargetMode="External"/><Relationship Id="rId24" Type="http://schemas.openxmlformats.org/officeDocument/2006/relationships/hyperlink" Target="https://industry.cfi.cn/p20261101000958.html" TargetMode="External"/><Relationship Id="rId25" Type="http://schemas.openxmlformats.org/officeDocument/2006/relationships/hyperlink" Target="https://ognnews.com/ArticleTA/488968/masdar-led-consortium-begins-construction-of-200-mw-floating-solar-project-in-malaysia" TargetMode="External"/><Relationship Id="rId26" Type="http://schemas.openxmlformats.org/officeDocument/2006/relationships/hyperlink" Target="https://industry.cfi.cn/p20261101000621.html" TargetMode="External"/><Relationship Id="rId27" Type="http://schemas.openxmlformats.org/officeDocument/2006/relationships/hyperlink" Target="https://news.cctv.com/2026/11/01/ARTILfWs5y2Hu72hMd6PJPRj261101.shtml" TargetMode="External"/><Relationship Id="rId28" Type="http://schemas.openxmlformats.org/officeDocument/2006/relationships/hyperlink" Target="https://ognnews.com/ArticleTA/488971/totalenergies-sells-40pc-stake-in-nigerias-offshore-opl257-to-sapetro" TargetMode="External"/><Relationship Id="rId29" Type="http://schemas.openxmlformats.org/officeDocument/2006/relationships/hyperlink" Target="https://sputniknews.cn/20261101/1073899212.html" TargetMode="External"/><Relationship Id="rId30" Type="http://schemas.openxmlformats.org/officeDocument/2006/relationships/hyperlink" Target="https://www.aa.com.tr/en/energy/natural-gas/germanys-gas-storage-misses-80-winter-target-raising-concerns-over-supply/60645" TargetMode="External"/><Relationship Id="rId31" Type="http://schemas.openxmlformats.org/officeDocument/2006/relationships/hyperlink" Target="https://ognnews.com/ArticleTA/488970/new-appraisal-well-boosts-afrodite-gas-resources-to-up-to-180m-boe" TargetMode="External"/><Relationship Id="rId32" Type="http://schemas.openxmlformats.org/officeDocument/2006/relationships/hyperlink" Target="https://www.aa.com.tr/en/energy/natural-gas/qatari-lng-carrier-struck-by-unidentified-objects-in-gulf-waters-company/60646" TargetMode="External"/><Relationship Id="rId33" Type="http://schemas.openxmlformats.org/officeDocument/2006/relationships/hyperlink" Target="https://www.chinanews.com.cn/cj/2026/11-01/10724477.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11月2日 能源每日观察</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