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信息覆盖时段：2026-10-12 00:00 至 2026-10-13 00:00（不含），Asia/Shanghai。</w:t>
      </w:r>
    </w:p>
    <w:p>
      <w:pPr/>
      <w:r>
        <w:rPr>
          <w:rFonts w:ascii="微软雅黑" w:hAnsi="微软雅黑" w:eastAsia="微软雅黑" w:cs="微软雅黑"/>
        </w:rPr>
        <w:t>统计区间：2026-10-12 至 2026-10-13（结束日不含，北京时间）</w:t>
      </w:r>
    </w:p>
    <w:p>
      <w:pPr>
        <w:ind w:firstLine="420"/>
      </w:pPr>
      <w:r>
        <w:rPr>
          <w:rFonts w:ascii="微软雅黑" w:hAnsi="微软雅黑" w:eastAsia="微软雅黑" w:cs="微软雅黑"/>
        </w:rPr>
        <w:t>资料更新截止：2026-10-13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扎波罗热核电站因无人机袭击面临柴油供应短缺 </w:t>
      </w:r>
      <w:hyperlink w:anchor="source-17420">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欧洲以历史低位储气进入冬季，LNG与储气灵活性需求凸显 </w:t>
      </w:r>
      <w:hyperlink w:anchor="source-17262">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特朗普宣布俄乌立即能源停火 俄方未证实乌方遭袭 </w:t>
      </w:r>
      <w:hyperlink w:anchor="source-16770">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6915">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印尼8月煤炭出口创14个月新低，供应侧多重约束收紧 </w:t>
      </w:r>
      <w:hyperlink w:anchor="source-1735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6936">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道路运输氢能网络借助SWiM补贴扩张 </w:t>
      </w:r>
      <w:hyperlink w:anchor="source-17355">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欧盟地下储气覆盖率（2025/26冬季）</w:t>
            </w:r>
          </w:p>
        </w:tc>
        <w:tc>
          <w:tcPr>
            <w:tcW w:type="dxa" w:w="2268"/>
          </w:tcPr>
          <w:p>
            <w:pPr>
              <w:spacing w:after="40"/>
            </w:pPr>
            <w:r>
              <w:rPr>
                <w:rFonts w:ascii="微软雅黑" w:hAnsi="微软雅黑" w:eastAsia="微软雅黑" w:cs="微软雅黑"/>
              </w:rPr>
              <w:t>约26%</w:t>
            </w:r>
          </w:p>
        </w:tc>
        <w:tc>
          <w:tcPr>
            <w:tcW w:type="dxa" w:w="2268"/>
          </w:tcPr>
          <w:p>
            <w:pPr>
              <w:spacing w:after="40"/>
            </w:pPr>
            <w:r>
              <w:rPr>
                <w:rFonts w:ascii="微软雅黑" w:hAnsi="微软雅黑" w:eastAsia="微软雅黑" w:cs="微软雅黑"/>
              </w:rPr>
              <w:t>2025/26冬季</w:t>
            </w:r>
          </w:p>
        </w:tc>
        <w:tc>
          <w:tcPr>
            <w:tcW w:type="dxa" w:w="2268"/>
          </w:tcPr>
          <w:p>
            <w:pPr>
              <w:spacing w:after="40"/>
            </w:pPr>
            <w:r>
              <w:rPr>
                <w:rFonts w:ascii="微软雅黑" w:hAnsi="微软雅黑" w:eastAsia="微软雅黑" w:cs="微软雅黑"/>
              </w:rPr>
            </w:r>
            <w:hyperlink w:anchor="source-17262">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欧盟地下储气覆盖率（2024/25冬季）</w:t>
            </w:r>
          </w:p>
        </w:tc>
        <w:tc>
          <w:tcPr>
            <w:tcW w:type="dxa" w:w="2268"/>
          </w:tcPr>
          <w:p>
            <w:pPr>
              <w:spacing w:after="40"/>
            </w:pPr>
            <w:r>
              <w:rPr>
                <w:rFonts w:ascii="微软雅黑" w:hAnsi="微软雅黑" w:eastAsia="微软雅黑" w:cs="微软雅黑"/>
              </w:rPr>
              <w:t>约30%</w:t>
            </w:r>
          </w:p>
        </w:tc>
        <w:tc>
          <w:tcPr>
            <w:tcW w:type="dxa" w:w="2268"/>
          </w:tcPr>
          <w:p>
            <w:pPr>
              <w:spacing w:after="40"/>
            </w:pPr>
            <w:r>
              <w:rPr>
                <w:rFonts w:ascii="微软雅黑" w:hAnsi="微软雅黑" w:eastAsia="微软雅黑" w:cs="微软雅黑"/>
              </w:rPr>
              <w:t>2024/25冬季</w:t>
            </w:r>
          </w:p>
        </w:tc>
        <w:tc>
          <w:tcPr>
            <w:tcW w:type="dxa" w:w="2268"/>
          </w:tcPr>
          <w:p>
            <w:pPr>
              <w:spacing w:after="40"/>
            </w:pPr>
            <w:r>
              <w:rPr>
                <w:rFonts w:ascii="微软雅黑" w:hAnsi="微软雅黑" w:eastAsia="微软雅黑" w:cs="微软雅黑"/>
              </w:rPr>
            </w:r>
            <w:hyperlink w:anchor="source-17262">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印尼2026年8月煤炭出口量</w:t>
            </w:r>
          </w:p>
        </w:tc>
        <w:tc>
          <w:tcPr>
            <w:tcW w:type="dxa" w:w="2268"/>
          </w:tcPr>
          <w:p>
            <w:pPr>
              <w:spacing w:after="40"/>
            </w:pPr>
            <w:r>
              <w:rPr>
                <w:rFonts w:ascii="微软雅黑" w:hAnsi="微软雅黑" w:eastAsia="微软雅黑" w:cs="微软雅黑"/>
              </w:rPr>
              <w:t>3646.81万吨</w:t>
            </w:r>
          </w:p>
        </w:tc>
        <w:tc>
          <w:tcPr>
            <w:tcW w:type="dxa" w:w="2268"/>
          </w:tcPr>
          <w:p>
            <w:pPr>
              <w:spacing w:after="40"/>
            </w:pPr>
            <w:r>
              <w:rPr>
                <w:rFonts w:ascii="微软雅黑" w:hAnsi="微软雅黑" w:eastAsia="微软雅黑" w:cs="微软雅黑"/>
              </w:rPr>
              <w:t>2026年8月</w:t>
            </w:r>
          </w:p>
        </w:tc>
        <w:tc>
          <w:tcPr>
            <w:tcW w:type="dxa" w:w="2268"/>
          </w:tcPr>
          <w:p>
            <w:pPr>
              <w:spacing w:after="40"/>
            </w:pPr>
            <w:r>
              <w:rPr>
                <w:rFonts w:ascii="微软雅黑" w:hAnsi="微软雅黑" w:eastAsia="微软雅黑" w:cs="微软雅黑"/>
              </w:rPr>
            </w:r>
            <w:hyperlink w:anchor="source-1735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6936">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印尼2026年8月煤炭出口额</w:t>
            </w:r>
          </w:p>
        </w:tc>
        <w:tc>
          <w:tcPr>
            <w:tcW w:type="dxa" w:w="2268"/>
          </w:tcPr>
          <w:p>
            <w:pPr>
              <w:spacing w:after="40"/>
            </w:pPr>
            <w:r>
              <w:rPr>
                <w:rFonts w:ascii="微软雅黑" w:hAnsi="微软雅黑" w:eastAsia="微软雅黑" w:cs="微软雅黑"/>
              </w:rPr>
              <w:t>27.1亿美元</w:t>
            </w:r>
          </w:p>
        </w:tc>
        <w:tc>
          <w:tcPr>
            <w:tcW w:type="dxa" w:w="2268"/>
          </w:tcPr>
          <w:p>
            <w:pPr>
              <w:spacing w:after="40"/>
            </w:pPr>
            <w:r>
              <w:rPr>
                <w:rFonts w:ascii="微软雅黑" w:hAnsi="微软雅黑" w:eastAsia="微软雅黑" w:cs="微软雅黑"/>
              </w:rPr>
              <w:t>2026年8月</w:t>
            </w:r>
          </w:p>
        </w:tc>
        <w:tc>
          <w:tcPr>
            <w:tcW w:type="dxa" w:w="2268"/>
          </w:tcPr>
          <w:p>
            <w:pPr>
              <w:spacing w:after="40"/>
            </w:pPr>
            <w:r>
              <w:rPr>
                <w:rFonts w:ascii="微软雅黑" w:hAnsi="微软雅黑" w:eastAsia="微软雅黑" w:cs="微软雅黑"/>
              </w:rPr>
            </w:r>
            <w:hyperlink w:anchor="source-1735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6936">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印尼2026年8月煤炭对华出口量</w:t>
            </w:r>
          </w:p>
        </w:tc>
        <w:tc>
          <w:tcPr>
            <w:tcW w:type="dxa" w:w="2268"/>
          </w:tcPr>
          <w:p>
            <w:pPr>
              <w:spacing w:after="40"/>
            </w:pPr>
            <w:r>
              <w:rPr>
                <w:rFonts w:ascii="微软雅黑" w:hAnsi="微软雅黑" w:eastAsia="微软雅黑" w:cs="微软雅黑"/>
              </w:rPr>
              <w:t>1415.69万吨</w:t>
            </w:r>
          </w:p>
        </w:tc>
        <w:tc>
          <w:tcPr>
            <w:tcW w:type="dxa" w:w="2268"/>
          </w:tcPr>
          <w:p>
            <w:pPr>
              <w:spacing w:after="40"/>
            </w:pPr>
            <w:r>
              <w:rPr>
                <w:rFonts w:ascii="微软雅黑" w:hAnsi="微软雅黑" w:eastAsia="微软雅黑" w:cs="微软雅黑"/>
              </w:rPr>
              <w:t>2026年8月</w:t>
            </w:r>
          </w:p>
        </w:tc>
        <w:tc>
          <w:tcPr>
            <w:tcW w:type="dxa" w:w="2268"/>
          </w:tcPr>
          <w:p>
            <w:pPr>
              <w:spacing w:after="40"/>
            </w:pPr>
            <w:r>
              <w:rPr>
                <w:rFonts w:ascii="微软雅黑" w:hAnsi="微软雅黑" w:eastAsia="微软雅黑" w:cs="微软雅黑"/>
              </w:rPr>
            </w:r>
            <w:hyperlink w:anchor="source-1735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6936">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印度POWERGRID拉贾斯坦邦可再生能源区（REZ）外送输电项目对应可再生能源容量</w:t>
            </w:r>
          </w:p>
        </w:tc>
        <w:tc>
          <w:tcPr>
            <w:tcW w:type="dxa" w:w="2268"/>
          </w:tcPr>
          <w:p>
            <w:pPr>
              <w:spacing w:after="40"/>
            </w:pPr>
            <w:r>
              <w:rPr>
                <w:rFonts w:ascii="微软雅黑" w:hAnsi="微软雅黑" w:eastAsia="微软雅黑" w:cs="微软雅黑"/>
              </w:rPr>
              <w:t>20GW</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7266">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中国新能源汽车2026年前三季度产量</w:t>
            </w:r>
          </w:p>
        </w:tc>
        <w:tc>
          <w:tcPr>
            <w:tcW w:type="dxa" w:w="2268"/>
          </w:tcPr>
          <w:p>
            <w:pPr>
              <w:spacing w:after="40"/>
            </w:pPr>
            <w:r>
              <w:rPr>
                <w:rFonts w:ascii="微软雅黑" w:hAnsi="微软雅黑" w:eastAsia="微软雅黑" w:cs="微软雅黑"/>
              </w:rPr>
              <w:t>1248.3万辆</w:t>
            </w:r>
          </w:p>
        </w:tc>
        <w:tc>
          <w:tcPr>
            <w:tcW w:type="dxa" w:w="2268"/>
          </w:tcPr>
          <w:p>
            <w:pPr>
              <w:spacing w:after="40"/>
            </w:pPr>
            <w:r>
              <w:rPr>
                <w:rFonts w:ascii="微软雅黑" w:hAnsi="微软雅黑" w:eastAsia="微软雅黑" w:cs="微软雅黑"/>
              </w:rPr>
              <w:t>2026年1-9月</w:t>
            </w:r>
          </w:p>
        </w:tc>
        <w:tc>
          <w:tcPr>
            <w:tcW w:type="dxa" w:w="2268"/>
          </w:tcPr>
          <w:p>
            <w:pPr>
              <w:spacing w:after="40"/>
            </w:pPr>
            <w:r>
              <w:rPr>
                <w:rFonts w:ascii="微软雅黑" w:hAnsi="微软雅黑" w:eastAsia="微软雅黑" w:cs="微软雅黑"/>
              </w:rPr>
            </w:r>
            <w:hyperlink w:anchor="source-17461">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17334">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17240">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17124">
              <w:r>
                <w:rPr>
                  <w:rFonts w:ascii="微软雅黑" w:hAnsi="微软雅黑" w:eastAsia="微软雅黑" w:cs="微软雅黑"/>
                  <w:color w:val="087E89"/>
                </w:rPr>
                <w:t>14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中国新能源汽车2026年前三季度销量</w:t>
            </w:r>
          </w:p>
        </w:tc>
        <w:tc>
          <w:tcPr>
            <w:tcW w:type="dxa" w:w="2268"/>
          </w:tcPr>
          <w:p>
            <w:pPr>
              <w:spacing w:after="40"/>
            </w:pPr>
            <w:r>
              <w:rPr>
                <w:rFonts w:ascii="微软雅黑" w:hAnsi="微软雅黑" w:eastAsia="微软雅黑" w:cs="微软雅黑"/>
              </w:rPr>
              <w:t>1247.2万辆</w:t>
            </w:r>
          </w:p>
        </w:tc>
        <w:tc>
          <w:tcPr>
            <w:tcW w:type="dxa" w:w="2268"/>
          </w:tcPr>
          <w:p>
            <w:pPr>
              <w:spacing w:after="40"/>
            </w:pPr>
            <w:r>
              <w:rPr>
                <w:rFonts w:ascii="微软雅黑" w:hAnsi="微软雅黑" w:eastAsia="微软雅黑" w:cs="微软雅黑"/>
              </w:rPr>
              <w:t>2026年1-9月</w:t>
            </w:r>
          </w:p>
        </w:tc>
        <w:tc>
          <w:tcPr>
            <w:tcW w:type="dxa" w:w="2268"/>
          </w:tcPr>
          <w:p>
            <w:pPr>
              <w:spacing w:after="40"/>
            </w:pPr>
            <w:r>
              <w:rPr>
                <w:rFonts w:ascii="微软雅黑" w:hAnsi="微软雅黑" w:eastAsia="微软雅黑" w:cs="微软雅黑"/>
              </w:rPr>
            </w:r>
            <w:hyperlink w:anchor="source-17461">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17334">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17240">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17124">
              <w:r>
                <w:rPr>
                  <w:rFonts w:ascii="微软雅黑" w:hAnsi="微软雅黑" w:eastAsia="微软雅黑" w:cs="微软雅黑"/>
                  <w:color w:val="087E89"/>
                </w:rPr>
                <w:t>14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中国2026年9月新能源汽车销量占当月汽车新车销量比重</w:t>
            </w:r>
          </w:p>
        </w:tc>
        <w:tc>
          <w:tcPr>
            <w:tcW w:type="dxa" w:w="2268"/>
          </w:tcPr>
          <w:p>
            <w:pPr>
              <w:spacing w:after="40"/>
            </w:pPr>
            <w:r>
              <w:rPr>
                <w:rFonts w:ascii="微软雅黑" w:hAnsi="微软雅黑" w:eastAsia="微软雅黑" w:cs="微软雅黑"/>
              </w:rPr>
              <w:t>61.6%</w:t>
            </w:r>
          </w:p>
        </w:tc>
        <w:tc>
          <w:tcPr>
            <w:tcW w:type="dxa" w:w="2268"/>
          </w:tcPr>
          <w:p>
            <w:pPr>
              <w:spacing w:after="40"/>
            </w:pPr>
            <w:r>
              <w:rPr>
                <w:rFonts w:ascii="微软雅黑" w:hAnsi="微软雅黑" w:eastAsia="微软雅黑" w:cs="微软雅黑"/>
              </w:rPr>
              <w:t>2026年9月</w:t>
            </w:r>
          </w:p>
        </w:tc>
        <w:tc>
          <w:tcPr>
            <w:tcW w:type="dxa" w:w="2268"/>
          </w:tcPr>
          <w:p>
            <w:pPr>
              <w:spacing w:after="40"/>
            </w:pPr>
            <w:r>
              <w:rPr>
                <w:rFonts w:ascii="微软雅黑" w:hAnsi="微软雅黑" w:eastAsia="微软雅黑" w:cs="微软雅黑"/>
              </w:rPr>
            </w:r>
            <w:hyperlink w:anchor="source-17461">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17334">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17240">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17124">
              <w:r>
                <w:rPr>
                  <w:rFonts w:ascii="微软雅黑" w:hAnsi="微软雅黑" w:eastAsia="微软雅黑" w:cs="微软雅黑"/>
                  <w:color w:val="087E89"/>
                </w:rPr>
                <w:t>14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中国核电2026年前三季度累计商运发电量</w:t>
            </w:r>
          </w:p>
        </w:tc>
        <w:tc>
          <w:tcPr>
            <w:tcW w:type="dxa" w:w="2268"/>
          </w:tcPr>
          <w:p>
            <w:pPr>
              <w:spacing w:after="40"/>
            </w:pPr>
            <w:r>
              <w:rPr>
                <w:rFonts w:ascii="微软雅黑" w:hAnsi="微软雅黑" w:eastAsia="微软雅黑" w:cs="微软雅黑"/>
              </w:rPr>
              <w:t>1866.60亿千瓦时（同比+1.25%）</w:t>
            </w:r>
          </w:p>
        </w:tc>
        <w:tc>
          <w:tcPr>
            <w:tcW w:type="dxa" w:w="2268"/>
          </w:tcPr>
          <w:p>
            <w:pPr>
              <w:spacing w:after="40"/>
            </w:pPr>
            <w:r>
              <w:rPr>
                <w:rFonts w:ascii="微软雅黑" w:hAnsi="微软雅黑" w:eastAsia="微软雅黑" w:cs="微软雅黑"/>
              </w:rPr>
              <w:t>2026年前三季度（截至9月30日）</w:t>
            </w:r>
          </w:p>
        </w:tc>
        <w:tc>
          <w:tcPr>
            <w:tcW w:type="dxa" w:w="2268"/>
          </w:tcPr>
          <w:p>
            <w:pPr>
              <w:spacing w:after="40"/>
            </w:pPr>
            <w:r>
              <w:rPr>
                <w:rFonts w:ascii="微软雅黑" w:hAnsi="微软雅黑" w:eastAsia="微软雅黑" w:cs="微软雅黑"/>
              </w:rPr>
            </w:r>
            <w:hyperlink w:anchor="source-17305">
              <w:r>
                <w:rPr>
                  <w:rFonts w:ascii="微软雅黑" w:hAnsi="微软雅黑" w:eastAsia="微软雅黑" w:cs="微软雅黑"/>
                  <w:color w:val="087E89"/>
                </w:rPr>
                <w:t>15</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特朗普宣布俄乌立即能源停火 俄方未证实乌方遭袭</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总统特朗普宣布俄乌就“能源停火”达成一致，声称立即生效，双方将停止相互打击对方炼油厂、电网及供热网络等能源与民生设施。乌克兰总统泽连斯基表示事先并不知情，正等待美方披露协议细节，随后又表示基辅支持停火并期待俄方同样支持。俄罗斯方面截至报道时未作评论。</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特朗普通过Truth Social发布相关消息，未披露协议细节。泽连斯基提出对等条件：俄方希望乌方停止远程打击俄炼油厂和石油出口，俄方就必须停止袭击乌克兰能源系统和关键基础设施，并停止杀伤乌民众。宣布停火前，特朗普已临时放宽美国对俄柴油制裁，泽连斯基批评该做法“不公平、不诚实”。路透社报道，美方曾威胁切断对乌情报共享并暂停“乌克兰优先需求清单”（PURL）武器采购机制，以迫乌停止攻击俄能源设施。</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来源未提供对全球能源市场的直接量化影响。</w:t>
      </w:r>
    </w:p>
    <w:p>
      <w:pPr>
        <w:ind w:firstLine="420"/>
      </w:pPr>
      <w:r>
        <w:rPr>
          <w:rFonts w:ascii="微软雅黑" w:hAnsi="微软雅黑" w:eastAsia="微软雅黑" w:cs="微软雅黑"/>
        </w:rPr>
        <w:t>来源：</w:t>
      </w:r>
      <w:hyperlink w:anchor="source-16770">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6915">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2. 美威胁暂停对乌武器与情报共享 施压乌方停袭俄炼厂</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据《金融时报》报道，美国威胁暂停向乌克兰供应美国武器的机制，要求乌克兰及欧洲官员停止袭击俄罗斯炼油厂，以迫使基辅停止对俄罗斯能源基础设施的打击。</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称美方威胁切断情报共享并暂停“乌克兰优先需求清单”（PURL）机制。路透社表示无法独立核实该报道，白宫未立即回应置评请求。乌克兰总统泽连斯基称基辅正在等待拟议协议细节。该威胁与特朗普宣布的俄乌“能源停火”同步出台。</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来源未提供对全球能源市场的直接量化影响。</w:t>
      </w:r>
    </w:p>
    <w:p>
      <w:pPr>
        <w:ind w:firstLine="420"/>
      </w:pPr>
      <w:r>
        <w:rPr>
          <w:rFonts w:ascii="微软雅黑" w:hAnsi="微软雅黑" w:eastAsia="微软雅黑" w:cs="微软雅黑"/>
        </w:rPr>
        <w:t>来源：</w:t>
      </w:r>
      <w:hyperlink w:anchor="source-16796">
        <w:r>
          <w:rPr>
            <w:rFonts w:ascii="微软雅黑" w:hAnsi="微软雅黑" w:eastAsia="微软雅黑" w:cs="微软雅黑"/>
            <w:color w:val="087E89"/>
          </w:rPr>
          <w:t>26</w:t>
        </w:r>
      </w:hyperlink>
      <w:r>
        <w:rPr>
          <w:rFonts w:ascii="微软雅黑" w:hAnsi="微软雅黑" w:eastAsia="微软雅黑" w:cs="微软雅黑"/>
        </w:rPr>
        <w:t xml:space="preserve"> </w:t>
      </w:r>
      <w:hyperlink w:anchor="source-16915">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3. 扎波罗热核电站因无人机袭击面临柴油供应短缺</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扎波罗热核电站新闻发言人表示，由于无人机袭击进厂道路和运油卡车，柴油等物资的物流和运输极其困难，目前只能安排单次、零散供应。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扎波罗热核电站方面进一步告知IAEA，一名向电站运送物资的司机在无人机袭击中死亡。IAEA总干事格罗西警告，柴油库存枯竭若叠加外电再次丧失将增加核安全风险，并强调必须在冬季前增加站内柴油储备。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格罗西明确表示柴油储备不足叠加失电将抬升核安全风险，凸显核电站外部后勤通道的脆弱性。</w:t>
      </w:r>
    </w:p>
    <w:p>
      <w:pPr>
        <w:ind w:firstLine="420"/>
      </w:pPr>
      <w:r>
        <w:rPr>
          <w:rFonts w:ascii="微软雅黑" w:hAnsi="微软雅黑" w:eastAsia="微软雅黑" w:cs="微软雅黑"/>
        </w:rPr>
        <w:t>来源：</w:t>
      </w:r>
      <w:hyperlink w:anchor="source-17420">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4. IEF17部长会议呼吁加强国际能源安全合作与投资</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第十七届国际能源论坛部长级会议（IEF17）在利雅得闭幕，呼吁加强国际合作、持续投资及改进市场数据以强化全球能源安全。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由沙特主办，意大利与尼日利亚共同主办，主题为“新形势下的能源安全与共同目标”，在利雅得丽思卡尔顿酒店举行。部长们欢迎美国宣布重新加入国际能源论坛。闭幕讨论提出的优先事项包括保护关键基础设施与贸易通道、实现供应商和运输走廊多元化，以及保持充足的产能和库存以应对中断。与会者强调需持续投资于油气生产、炼化、LNG、电力电网与储能，以及新兴技术和关键矿产供应链。IEA方面，成员国支持加快完成应急石油储备释放，并尽可能优先释放柴油库存，IEA理事会本周四将召开会议评估进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本次会议为美国重新加入IEF提供了多边合作平台，并将应急储备释放与基础设施保护纳入集体行动议程。</w:t>
      </w:r>
    </w:p>
    <w:p>
      <w:pPr>
        <w:ind w:firstLine="420"/>
      </w:pPr>
      <w:r>
        <w:rPr>
          <w:rFonts w:ascii="微软雅黑" w:hAnsi="微软雅黑" w:eastAsia="微软雅黑" w:cs="微软雅黑"/>
        </w:rPr>
        <w:t>来源：</w:t>
      </w:r>
      <w:hyperlink w:anchor="source-17156">
        <w:r>
          <w:rPr>
            <w:rFonts w:ascii="微软雅黑" w:hAnsi="微软雅黑" w:eastAsia="微软雅黑" w:cs="微软雅黑"/>
            <w:color w:val="087E89"/>
          </w:rPr>
          <w:t>24</w:t>
        </w:r>
      </w:hyperlink>
      <w:r>
        <w:rPr>
          <w:rFonts w:ascii="微软雅黑" w:hAnsi="微软雅黑" w:eastAsia="微软雅黑" w:cs="微软雅黑"/>
        </w:rPr>
        <w:t xml:space="preserve"> </w:t>
      </w:r>
      <w:hyperlink w:anchor="source-17150">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5. 欧洲以历史低位储气进入冬季，LNG与储气灵活性需求凸显</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据报道，欧盟在2025/26冬季以历史低位天然气库存进入采暖季，地下储气仅覆盖约26%的天然气消费量，低于2024/25冬季的约30%。</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指出，中欧、东欧及东南欧的内陆国家在保障LNG供应方面面临更大挑战，低储气、高需求叠加供应中断可能在这些地区形成输送瓶颈。报道强调，储气库库存偏低进一步凸显欧洲对液化天然气进口以及储气灵活性的依赖。</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可能加剧中欧、东欧及东南欧内陆国家的LNG供应紧张，并提升欧洲整体对LNG进口和储气设施的依赖度。</w:t>
      </w:r>
    </w:p>
    <w:p>
      <w:pPr>
        <w:ind w:firstLine="420"/>
      </w:pPr>
      <w:r>
        <w:rPr>
          <w:rFonts w:ascii="微软雅黑" w:hAnsi="微软雅黑" w:eastAsia="微软雅黑" w:cs="微软雅黑"/>
        </w:rPr>
        <w:t>来源：</w:t>
      </w:r>
      <w:hyperlink w:anchor="source-17262">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6. 印尼8月煤炭出口创14个月新低，供应侧多重约束收紧</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印尼2026年8月煤炭出口量为3646.81万吨，同比下降25.83%、环比下降6.34%，创过去14个月新低；出口额27.1亿美元，同比增长4.87%、环比下降10.46%。</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出口下降主因包括：政府对RKAB生产配额审批进度缓慢，多数大型矿商未及时获得2026年剩余时间生产配额批复，部分煤企暂缓远期销售；获批增量多需定向供应PLN或优先履行DMO，可流通国际市场的货量受限。加里曼丹持续干旱致巴里托河、马哈坎河等水位下降，驳船减载或停运，部分矿商宣布不可抗力，森林火灾亦干扰开采与运输。当月对华出口1415.69万吨，同比下降32.26%，环比微降0.07%，占出口总量38.82%；前五大目的地为中国、印度、菲律宾、马来西亚和日本，合计占78.82%。推算当月出口均价74.32美元/吨，同比上涨41.38%、环比下降4.4%。</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RKAB审批、河道运输与DMO定向供应叠加，使印尼可出口货源阶段性收紧，对依赖印尼煤的下游市场补给形成约束。</w:t>
      </w:r>
    </w:p>
    <w:p>
      <w:pPr>
        <w:ind w:firstLine="420"/>
      </w:pPr>
      <w:r>
        <w:rPr>
          <w:rFonts w:ascii="微软雅黑" w:hAnsi="微软雅黑" w:eastAsia="微软雅黑" w:cs="微软雅黑"/>
        </w:rPr>
        <w:t>来源：</w:t>
      </w:r>
      <w:hyperlink w:anchor="source-1735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6936">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7. 银河证券：2026年煤炭供需偏紧，秦皇岛5500大卡中枢800至900元</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银河证券研报指出，2026年中国整体煤炭供需偏紧，煤价中枢抬升；预计全年秦皇岛5500大卡动力煤市场价中枢在800—900元/吨，高于2025年均价690元/吨。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研报列举过去一年多重供给侧因素：2025年下半年“反内卷”超产核查、2026年上半年印尼限制出口、美伊冲突推高国际能源价格、山西煤炭事故后安监趋严以及复产持续不及预期。研报认为供给约束依然存在，电煤、化工煤等需求较去年有望提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供给侧多重约束叠加电煤与化工煤需求改善预期，将支撑国内煤价中枢上移，迎峰度冬期间存在进一步冲高的市场预期。</w:t>
      </w:r>
    </w:p>
    <w:p>
      <w:pPr>
        <w:ind w:firstLine="420"/>
      </w:pPr>
      <w:r>
        <w:rPr>
          <w:rFonts w:ascii="微软雅黑" w:hAnsi="微软雅黑" w:eastAsia="微软雅黑" w:cs="微软雅黑"/>
        </w:rPr>
        <w:t>来源：</w:t>
      </w:r>
      <w:hyperlink w:anchor="source-16869">
        <w:r>
          <w:rPr>
            <w:rFonts w:ascii="微软雅黑" w:hAnsi="微软雅黑" w:eastAsia="微软雅黑" w:cs="微软雅黑"/>
            <w:color w:val="087E89"/>
          </w:rPr>
          <w:t>27</w:t>
        </w:r>
      </w:hyperlink>
      <w:r>
        <w:rPr>
          <w:rFonts w:ascii="微软雅黑" w:hAnsi="微软雅黑" w:eastAsia="微软雅黑" w:cs="微软雅黑"/>
        </w:rPr>
        <w:t xml:space="preserve"> </w:t>
      </w:r>
      <w:hyperlink w:anchor="source-1735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6936">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8. 韩国参加IMO伦敦议定书大会 强调核污染水安全管理</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韩国海洋水产部政府代表团本月5日至9日出席在伦敦国际海事组织召开的第48届伦敦公约缔约国大会暨第21届伦敦议定书缔约国大会，在放射性废物管理议题下强调核电站污染水安全管理及持续、透明提供信息的重要性。</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伦敦公约和伦敦议定书旨在防止废物等海洋倾倒造成海洋污染，韩国分别于1993年加入伦敦公约、2009年加入伦敦议定书。代表团在前一年缔约国大会上曾就日本福岛核电站污染水海洋排放问题强调海洋环境保护义务。会上还介绍了由韩国海洋科学技术院（KIOST）自2018年起运营的“伦敦议定书经营管理硕士课程”成果，并宣传其为提升发展中国家履行议定书能力所做的工作。</w:t>
      </w:r>
    </w:p>
    <w:p>
      <w:pPr>
        <w:ind w:firstLine="420"/>
      </w:pPr>
      <w:r>
        <w:rPr>
          <w:rFonts w:ascii="微软雅黑" w:hAnsi="微软雅黑" w:eastAsia="微软雅黑" w:cs="微软雅黑"/>
        </w:rPr>
        <w:t>来源：</w:t>
      </w:r>
      <w:hyperlink w:anchor="source-16918">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9. 印度POWERGRID投运拉贾斯坦邦20吉瓦可再生能源外送输电项目</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印度国家电网公司（POWERGRID）已全面投运为拉贾斯坦邦20吉瓦可再生能源区（REZ）外送电力而设计的输电系统。</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公司公告确认项目投运状态，但披露中未说明总投资额或预期收入贡献。项目专门用于外送拉贾斯坦邦20GW可再生能源区所发电力。</w:t>
      </w:r>
    </w:p>
    <w:p>
      <w:pPr>
        <w:ind w:firstLine="420"/>
      </w:pPr>
      <w:r>
        <w:rPr>
          <w:rFonts w:ascii="微软雅黑" w:hAnsi="微软雅黑" w:eastAsia="微软雅黑" w:cs="微软雅黑"/>
        </w:rPr>
        <w:t>来源：</w:t>
      </w:r>
      <w:hyperlink w:anchor="source-17266">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10. 安得拉邦招标1250MW/5000MWh独立电池储能项目</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印度安得拉邦电力协调委员会（APPCC）发布招标，开发三个地点共1250MW/5000MWh独立电池储能系统（BESS），采用建设-拥有-运营（BOO）模式和电价竞争性招标。</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容量分布在三个项目地点：穆达努尔Rayalaseema火电站（RTPP）500MW/2000MWh（接入400kV变电站）；Talaricheruvu 250MW/1000MWh（接入220kV汇集站）；NP Kunta 500MW/2000MWh（接入220kV变电站）。电池储能采购协议（BESPA）期限12年，RTPP和NP Kunta调试时间为BESPA生效日起24个月，Talaricheruvu为18个月。系统需每天最多两个充放电循环，每个合同年度每个储能单元最多485次循环。AC到AC往返效率保证最低85%。APPCC可行使绿鞋选项采购额外至多25%容量。投标提交截止2026年11月23日下午5:00。</w:t>
      </w:r>
    </w:p>
    <w:p>
      <w:pPr>
        <w:ind w:firstLine="420"/>
      </w:pPr>
      <w:r>
        <w:rPr>
          <w:rFonts w:ascii="微软雅黑" w:hAnsi="微软雅黑" w:eastAsia="微软雅黑" w:cs="微软雅黑"/>
        </w:rPr>
        <w:t>来源：</w:t>
      </w:r>
      <w:hyperlink w:anchor="source-17265">
        <w:r>
          <w:rPr>
            <w:rFonts w:ascii="微软雅黑" w:hAnsi="微软雅黑" w:eastAsia="微软雅黑" w:cs="微软雅黑"/>
            <w:color w:val="087E89"/>
          </w:rPr>
          <w:t>29</w:t>
        </w:r>
      </w:hyperlink>
      <w:r>
        <w:rPr>
          <w:rFonts w:ascii="微软雅黑" w:hAnsi="微软雅黑" w:eastAsia="微软雅黑" w:cs="微软雅黑"/>
        </w:rPr>
      </w:r>
    </w:p>
    <w:p>
      <w:pPr>
        <w:pStyle w:val="Heading3"/>
      </w:pPr>
      <w:r>
        <w:rPr>
          <w:rFonts w:ascii="微软雅黑" w:hAnsi="微软雅黑" w:eastAsia="微软雅黑" w:cs="微软雅黑"/>
        </w:rPr>
        <w:t>11. 道路运输氢能网络借助SWiM补贴扩张</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道路运输氢能网络借助SWiM补贴模式实现显著扩张，SWiM面向运输商与加注运营商合作体，将加氢站投资与车辆采购或改装捆绑。</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报道介绍，氢能重卡具备长续航与较短加注时间（最长约15分钟）等优势，被视为SWiM模式得以扩面的关键支撑。报道将该模式作为近期道路氢能网络扩张的主要机制加以展示。</w:t>
      </w:r>
    </w:p>
    <w:p>
      <w:pPr>
        <w:ind w:firstLine="420"/>
      </w:pPr>
      <w:r>
        <w:rPr>
          <w:rFonts w:ascii="微软雅黑" w:hAnsi="微软雅黑" w:eastAsia="微软雅黑" w:cs="微软雅黑"/>
        </w:rPr>
        <w:t>来源：</w:t>
      </w:r>
      <w:hyperlink w:anchor="source-17355">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12. 报告称电气化可让家庭规避油气通胀压力</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一份报告指出，自2020年以来，其电气化模型家庭的年化通胀率平均比官方通胀率低0.4个百分点，并假设该家庭自身光伏发电可满足其70%的用电消耗。</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报告计算未包含设备购置成本。绿色和平金融专家Mauricio Vargas表示，应将化石燃料依赖明确标识为反复出现的通胀来源，并建议推行促进绿色信贷的方案。德国政府正通过电动汽车收入关联购置补贴和热泵共同资助等措施推动电气化，但批评者指出，燃油税削减和欧盟弱化燃油车淘汰的计划反而起到相反作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报告将电气化定位为缓解家庭能源价格波动的路径之一，但批评声音认为部分政策与电气化目标方向不一致。</w:t>
      </w:r>
    </w:p>
    <w:p>
      <w:pPr>
        <w:ind w:firstLine="420"/>
      </w:pPr>
      <w:r>
        <w:rPr>
          <w:rFonts w:ascii="微软雅黑" w:hAnsi="微软雅黑" w:eastAsia="微软雅黑" w:cs="微软雅黑"/>
        </w:rPr>
        <w:t>来源：</w:t>
      </w:r>
      <w:hyperlink w:anchor="source-17332">
        <w:r>
          <w:rPr>
            <w:rFonts w:ascii="微软雅黑" w:hAnsi="微软雅黑" w:eastAsia="微软雅黑" w:cs="微软雅黑"/>
            <w:color w:val="087E89"/>
          </w:rPr>
          <w:t>28</w:t>
        </w:r>
      </w:hyperlink>
      <w:r>
        <w:rPr>
          <w:rFonts w:ascii="微软雅黑" w:hAnsi="微软雅黑" w:eastAsia="微软雅黑" w:cs="微软雅黑"/>
        </w:rPr>
      </w:r>
    </w:p>
    <w:p>
      <w:pPr>
        <w:pStyle w:val="Heading3"/>
      </w:pPr>
      <w:r>
        <w:rPr>
          <w:rFonts w:ascii="微软雅黑" w:hAnsi="微软雅黑" w:eastAsia="微软雅黑" w:cs="微软雅黑"/>
        </w:rPr>
        <w:t>13. 特朗普宣布俄乌“能源停火”，乌方称已下命令但等待俄方确认</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总统特朗普10月11日发文宣布俄乌冲突即刻进入“能源停火”状态，并称双方均已同意。乌克兰总统泽连斯基表示乌方愿不对俄罗斯能源设施发动打击，武装部队已收到相关命令。俄方佩斯科夫称相关接触仍在进行中，对“能源停火”暂无可发布信息。</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泽连斯基称乌方支持“能源停火”，并期待俄方采取同样行动；乌军已收到相关命令。泽连斯基同时表示乌方正等待美俄对话的具体细节，并期待俄罗斯总统普京履行特朗普所提相关承诺。佩斯科夫补充称，若乌确实想举行选举，普京将下令在选举日当天不对乌克兰进行打击。泽连斯基起初称对“能源停火”不知情，并指乌方未从俄方行动中看到停火迹象，希望特朗普说服普京接受该方案。特朗普警告“切勿破坏”这一停火承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若俄乌“能源停火”落实，将降低双方能源基础设施遭打击风险，缓解全球能源市场对俄乌冲突冲击的担忧。</w:t>
      </w:r>
    </w:p>
    <w:p>
      <w:pPr>
        <w:ind w:firstLine="420"/>
      </w:pPr>
      <w:r>
        <w:rPr>
          <w:rFonts w:ascii="微软雅黑" w:hAnsi="微软雅黑" w:eastAsia="微软雅黑" w:cs="微软雅黑"/>
        </w:rPr>
        <w:t>来源：</w:t>
      </w:r>
      <w:hyperlink w:anchor="source-16797">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7392">
        <w:r>
          <w:rPr>
            <w:rFonts w:ascii="微软雅黑" w:hAnsi="微软雅黑" w:eastAsia="微软雅黑" w:cs="微软雅黑"/>
            <w:color w:val="087E89"/>
          </w:rPr>
          <w:t>10</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14. 新疆“十五五”将实施新一轮找矿突破战略行动</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新疆于10月10日召开新闻发布会，介绍“十五五”期间加快建设全国能源资源战略保障基地相关工作安排，明确推进新一轮找矿突破战略行动，加大油气、铁、金、铜、锂、萤石等重要矿产勘查力度。</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疆提出到2030年锂、钛、铅锌等矿产品产量力争进入全国前列，将建立稳定长效的财政地勘投入机制，完善多元化地质勘查投入机制，力争新发现一批战略性矿产、优势矿产找矿靶区和矿产地。政策还提出优化矿业权出让登记审批流程，以战略性矿产为重点加快“探转采”步伐，对国家紧缺、对外依存度高的战略性矿产有序加快投放矿业权，并在大型能源资源基地、国家规划矿区内集聚生产要素，提升钛、铜、金、锑、铅锌等矿产资源保障能力。</w:t>
      </w:r>
    </w:p>
    <w:p>
      <w:pPr>
        <w:ind w:firstLine="420"/>
      </w:pPr>
      <w:r>
        <w:rPr>
          <w:rFonts w:ascii="微软雅黑" w:hAnsi="微软雅黑" w:eastAsia="微软雅黑" w:cs="微软雅黑"/>
        </w:rPr>
        <w:t>来源：</w:t>
      </w:r>
      <w:hyperlink w:anchor="source-17005">
        <w:r>
          <w:rPr>
            <w:rFonts w:ascii="微软雅黑" w:hAnsi="微软雅黑" w:eastAsia="微软雅黑" w:cs="微软雅黑"/>
            <w:color w:val="087E89"/>
          </w:rPr>
          <w:t>18</w:t>
        </w:r>
      </w:hyperlink>
      <w:r>
        <w:rPr>
          <w:rFonts w:ascii="微软雅黑" w:hAnsi="微软雅黑" w:eastAsia="微软雅黑" w:cs="微软雅黑"/>
        </w:rPr>
        <w:t xml:space="preserve"> </w:t>
      </w:r>
      <w:hyperlink w:anchor="source-17465">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15. 大港油田储气库群完成年度注气任务 注气量同比增12.8%</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截至10月8日，大港油田储气库群顺利完成年度注气任务，注气量较上年同期提高12.8%，最高日注气量达2212万立方米，创历史新高。储气库承担京津冀季节调峰供气和应急保障任务，采气系统设备设施检维修已完成76%。</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报道，大港油田储气库群承担京津冀季节调峰供气、应急保障供应和管网压力平衡任务，所采天然气2小时可输送至北京。注气期间最高日注气量达2212万立方米，创历史新高。截至10月8日，年度注气任务顺利完成，注气量较上年同期提高12.8%。采气系统设备设施检维修已完成76%，预计11月初全部完成。储气库群正推进数智化转型升级，构建以“全面感知、自动操控、趋势预测、智能优化、协同运营”为特征的智能化储气库。</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注气量同比提高12.8%且日注气量创新高，将为京津冀地区冬季调峰和应急供气提供更充足的气源储备。</w:t>
      </w:r>
    </w:p>
    <w:p>
      <w:pPr>
        <w:ind w:firstLine="420"/>
      </w:pPr>
      <w:r>
        <w:rPr>
          <w:rFonts w:ascii="微软雅黑" w:hAnsi="微软雅黑" w:eastAsia="微软雅黑" w:cs="微软雅黑"/>
        </w:rPr>
        <w:t>来源：</w:t>
      </w:r>
      <w:hyperlink w:anchor="source-16955">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16. 中国华能披露装机规模与发电经营业绩总体情况</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华能披露近年经营及业务数据：装机容量达3.16亿千瓦，供热面积超11.2亿平方米，煤炭产能突破1.3亿吨/年，产量连续4年突破亿吨；水电装机突破3000万千瓦，海上风电稳居第一方阵，昌江核电二期项目3号机组正式投产商运。</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公司累计21次获国务院国资委年度经营业绩考核A级、8次获央企党建工作责任制考核A级。年发电量、年煤炭产量、年供热量较2016年底分别增长43%、67%、156%。新能源投产容量连年创新高，三大核电基地进入全面建设新阶段。成功打造第四代核电、全国首套安全可信DCS等“大国重器”，并攻克150万吨煤电碳捕集示范工程、18兆瓦海上风电机组等关键核心技术，作为唯一发电企业入选国务院国资委首批科技创新优秀企业榜单。</w:t>
      </w:r>
    </w:p>
    <w:p>
      <w:pPr>
        <w:ind w:firstLine="420"/>
      </w:pPr>
      <w:r>
        <w:rPr>
          <w:rFonts w:ascii="微软雅黑" w:hAnsi="微软雅黑" w:eastAsia="微软雅黑" w:cs="微软雅黑"/>
        </w:rPr>
        <w:t>来源：</w:t>
      </w:r>
      <w:hyperlink w:anchor="source-17464">
        <w:r>
          <w:rPr>
            <w:rFonts w:ascii="微软雅黑" w:hAnsi="微软雅黑" w:eastAsia="微软雅黑" w:cs="微软雅黑"/>
            <w:color w:val="087E89"/>
          </w:rPr>
          <w:t>21</w:t>
        </w:r>
      </w:hyperlink>
      <w:r>
        <w:rPr>
          <w:rFonts w:ascii="微软雅黑" w:hAnsi="微软雅黑" w:eastAsia="微软雅黑" w:cs="微软雅黑"/>
        </w:rPr>
        <w:t xml:space="preserve"> </w:t>
      </w:r>
      <w:hyperlink w:anchor="source-16926">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17. 中国核电前三季度商运发电量同比增长1.25%</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截至2026年9月30日，中国核电披露2026年前三季度运营数据：累计商运发电量1866.60亿千瓦时，同比增长1.25%；累计上网电量1760.53亿千瓦时，同比增长1.12%。</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2026年9月30日，中国核电控股核电在运机组27台、装机2563.50万千瓦，在建及核准待建机组22台、装机2563.50万千瓦，合计5184.70万千瓦。新能源在运装机3591.56万千瓦（风电1119.11万千瓦、光伏2472.45万千瓦），在建新能源装机926.36万千瓦（风电390.62万千瓦、光伏535.74万千瓦）。核电机组前三季度发电量1532.78亿千瓦时（同比+1.50%），平均利用小时5848小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来源未直接陈述对行业的额外影响。</w:t>
      </w:r>
    </w:p>
    <w:p>
      <w:pPr>
        <w:ind w:firstLine="420"/>
      </w:pPr>
      <w:r>
        <w:rPr>
          <w:rFonts w:ascii="微软雅黑" w:hAnsi="微软雅黑" w:eastAsia="微软雅黑" w:cs="微软雅黑"/>
        </w:rPr>
        <w:t>来源：</w:t>
      </w:r>
      <w:hyperlink w:anchor="source-17305">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18. 国家发改委、国家能源局出台新型电力系统建设"十五五"规划</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8月，国家发展改革委、国家能源局出台《新型电力系统建设"十五五"规划》，以"十五五"时期新成效支撑新型能源体系和能源强国建设，明确2030年多项量化目标。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规划提出，到2030年：虚拟电厂最大调节能力超5000万千瓦，全国需求侧削峰能力超1亿千瓦，电能占终端能源消费比重达35%；全国抽水蓄能装机规模达1.6亿千瓦左右，新型储能装机规模达3亿千瓦，车网互动聚合可调充电规模力争5000万千瓦。规划旨在支撑新型能源体系和能源强国建设。</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规划明确了未来五年新型电力系统建设路径，为抽水蓄能、新型储能、虚拟电厂、车网互动等产业链提供规模化发展指引。</w:t>
      </w:r>
    </w:p>
    <w:p>
      <w:pPr>
        <w:ind w:firstLine="420"/>
      </w:pPr>
      <w:r>
        <w:rPr>
          <w:rFonts w:ascii="微软雅黑" w:hAnsi="微软雅黑" w:eastAsia="微软雅黑" w:cs="微软雅黑"/>
        </w:rPr>
        <w:t>来源：</w:t>
      </w:r>
      <w:hyperlink w:anchor="source-17301">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19. 《水电站大坝运行安全监督管理规定》修订发布</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国家发展改革委近日公布修订后的《水电站大坝运行安全监督管理规定》，推动大坝安全管理从“单站安全”向“流域安全”、系统安全转变，从“事后管控”向“事前预防”转型。</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规构建“企业主责、行业监管、属地管理、技术支撑”的多元共治格局，确立每五年一次常规定期检查标准，并新增超标准洪水或破坏性地震等灾害后的特种检查制度。调度遵循“电调服从水调、区域服从流域、局部服从全局”原则。</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有助于提升流域级水电安全风险防控能力，强化大坝全生命周期管理。</w:t>
      </w:r>
    </w:p>
    <w:p>
      <w:pPr>
        <w:ind w:firstLine="420"/>
      </w:pPr>
      <w:r>
        <w:rPr>
          <w:rFonts w:ascii="微软雅黑" w:hAnsi="微软雅黑" w:eastAsia="微软雅黑" w:cs="微软雅黑"/>
        </w:rPr>
        <w:t>来源：</w:t>
      </w:r>
      <w:hyperlink w:anchor="source-17303">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20. 前三季度我国新能源汽车新车销量占比升至53.6%</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官方数据，2026年前三季度，我国新能源汽车产销分别完成1248.3万辆和1247.2万辆，同比增长均超过10%，新能源汽车新车销量累计占比升至53.6%；9月新能源汽车产销分别完成181.4万辆和182.3万辆，同比分别增长12.2%和13.6%，月度新车销量占比达61.6%，再创新高。</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9月新能源汽车产销同比分别增长11%和11.1%。9月汽车出口105.3万辆，其中新能源汽车出口57.1万辆，同比增长1.6倍；新能源汽车出口量占全部汽车出口量比重连续4个月过半。1至9月汽车出口820.5万辆，同比增长65.8%；新能源汽车出口400.6万辆，同比增长1.3倍。同期国内消费市场火热，源于技术迭代与多样化车型供给的持续优化。</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新能源汽车月度新车销量占比与出口占比同步创新高，新能源汽车出口对全部汽车出口贡献过半，国内市场渗透率稳步提升。</w:t>
      </w:r>
    </w:p>
    <w:p>
      <w:pPr>
        <w:ind w:firstLine="420"/>
      </w:pPr>
      <w:r>
        <w:rPr>
          <w:rFonts w:ascii="微软雅黑" w:hAnsi="微软雅黑" w:eastAsia="微软雅黑" w:cs="微软雅黑"/>
        </w:rPr>
        <w:t>来源：</w:t>
      </w:r>
      <w:hyperlink w:anchor="source-17461">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17334">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17240">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17124">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站内柴油库存补充进度、冬季前储备是否达标，以及运油路线能否恢复常态化安全通行。 </w:t>
      </w:r>
      <w:hyperlink w:anchor="source-17420">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需关注欧洲后续储气注库进度、采暖季气价走势以及LNG进口供应稳定性。 </w:t>
      </w:r>
      <w:hyperlink w:anchor="source-17262">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俄方是否正式确认协议、美方披露协议细节、PURL机制是否被实际启动、停火是否会被双方遵守。 </w:t>
      </w:r>
      <w:hyperlink w:anchor="source-16770">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6915">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RKAB配额审批进度、加里曼丹水位与天气变化、矿商不可抗力解除时点。 </w:t>
      </w:r>
      <w:hyperlink w:anchor="source-17359">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16936">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SWiM具体扩面规模、覆盖区域与资金来源在现有材料中尚未给出，需后续披露。 </w:t>
      </w:r>
      <w:hyperlink w:anchor="source-17355">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公司后续是否披露该输电项目的总投资额及对收入的贡献。 </w:t>
      </w:r>
      <w:hyperlink w:anchor="source-17266">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417 篇文章，形成 404 篇有效能源材料；正文引用 29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3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17420"/>
      <w:bookmarkEnd w:id="1" w:name="source-17420"/>
    </w:p>
    <w:p>
      <w:pPr>
        <w:pStyle w:val="ListBullet"/>
      </w:pPr>
      <w:r>
        <w:rPr>
          <w:rFonts w:ascii="微软雅黑" w:hAnsi="微软雅黑" w:eastAsia="微软雅黑" w:cs="微软雅黑"/>
        </w:rPr>
        <w:t>[1] Nuclear Engineering International｜</w:t>
      </w:r>
      <w:hyperlink r:id="rId11">
        <w:r>
          <w:rPr>
            <w:rFonts w:ascii="微软雅黑" w:hAnsi="微软雅黑" w:eastAsia="微软雅黑" w:cs="微软雅黑"/>
            <w:color w:val="087E89"/>
          </w:rPr>
          <w:t>扎波罗热核电站面临柴油供应短缺</w:t>
        </w:r>
      </w:hyperlink>
      <w:r>
        <w:rPr>
          <w:rFonts w:ascii="微软雅黑" w:hAnsi="微软雅黑" w:eastAsia="微软雅黑" w:cs="微软雅黑"/>
        </w:rPr>
      </w:r>
    </w:p>
    <w:p>
      <w:pPr>
        <w:spacing w:after="0" w:line="20" w:lineRule="exact"/>
      </w:pPr>
      <w:bookmarkStart w:id="2" w:name="source-17262"/>
      <w:bookmarkEnd w:id="2" w:name="source-17262"/>
    </w:p>
    <w:p>
      <w:pPr>
        <w:pStyle w:val="ListBullet"/>
      </w:pPr>
      <w:r>
        <w:rPr>
          <w:rFonts w:ascii="微软雅黑" w:hAnsi="微软雅黑" w:eastAsia="微软雅黑" w:cs="微软雅黑"/>
        </w:rPr>
        <w:t>[2] 《液化天然气工业》｜</w:t>
      </w:r>
      <w:hyperlink r:id="rId12">
        <w:r>
          <w:rPr>
            <w:rFonts w:ascii="微软雅黑" w:hAnsi="微软雅黑" w:eastAsia="微软雅黑" w:cs="微软雅黑"/>
            <w:color w:val="087E89"/>
          </w:rPr>
          <w:t>欧洲以历史低位储气量进入冬季，LNG进口与储气灵活性需求凸显</w:t>
        </w:r>
      </w:hyperlink>
      <w:r>
        <w:rPr>
          <w:rFonts w:ascii="微软雅黑" w:hAnsi="微软雅黑" w:eastAsia="微软雅黑" w:cs="微软雅黑"/>
        </w:rPr>
      </w:r>
    </w:p>
    <w:p>
      <w:pPr>
        <w:spacing w:after="0" w:line="20" w:lineRule="exact"/>
      </w:pPr>
      <w:bookmarkStart w:id="3" w:name="source-16770"/>
      <w:bookmarkEnd w:id="3" w:name="source-16770"/>
    </w:p>
    <w:p>
      <w:pPr>
        <w:pStyle w:val="ListBullet"/>
      </w:pPr>
      <w:r>
        <w:rPr>
          <w:rFonts w:ascii="微软雅黑" w:hAnsi="微软雅黑" w:eastAsia="微软雅黑" w:cs="微软雅黑"/>
        </w:rPr>
        <w:t>[3] 叙利亚通讯社｜</w:t>
      </w:r>
      <w:hyperlink r:id="rId13">
        <w:r>
          <w:rPr>
            <w:rFonts w:ascii="微软雅黑" w:hAnsi="微软雅黑" w:eastAsia="微软雅黑" w:cs="微软雅黑"/>
            <w:color w:val="087E89"/>
          </w:rPr>
          <w:t>特朗普宣布俄罗斯与乌克兰立即实行能源停火</w:t>
        </w:r>
      </w:hyperlink>
      <w:r>
        <w:rPr>
          <w:rFonts w:ascii="微软雅黑" w:hAnsi="微软雅黑" w:eastAsia="微软雅黑" w:cs="微软雅黑"/>
        </w:rPr>
      </w:r>
    </w:p>
    <w:p>
      <w:pPr>
        <w:spacing w:after="0" w:line="20" w:lineRule="exact"/>
      </w:pPr>
      <w:bookmarkStart w:id="4" w:name="source-16915"/>
      <w:bookmarkEnd w:id="4" w:name="source-16915"/>
    </w:p>
    <w:p>
      <w:pPr>
        <w:pStyle w:val="ListBullet"/>
      </w:pPr>
      <w:r>
        <w:rPr>
          <w:rFonts w:ascii="微软雅黑" w:hAnsi="微软雅黑" w:eastAsia="微软雅黑" w:cs="微软雅黑"/>
        </w:rPr>
        <w:t>[4] The Edge Malaysia等｜</w:t>
      </w:r>
      <w:hyperlink r:id="rId14">
        <w:r>
          <w:rPr>
            <w:rFonts w:ascii="微软雅黑" w:hAnsi="微软雅黑" w:eastAsia="微软雅黑" w:cs="微软雅黑"/>
            <w:color w:val="087E89"/>
          </w:rPr>
          <w:t>特朗普宣布与俄罗斯的乌克兰能源停火，令泽连斯基感到意外</w:t>
        </w:r>
      </w:hyperlink>
      <w:r>
        <w:rPr>
          <w:rFonts w:ascii="微软雅黑" w:hAnsi="微软雅黑" w:eastAsia="微软雅黑" w:cs="微软雅黑"/>
        </w:rPr>
      </w:r>
    </w:p>
    <w:p>
      <w:pPr>
        <w:spacing w:after="0" w:line="20" w:lineRule="exact"/>
      </w:pPr>
      <w:bookmarkStart w:id="5" w:name="source-17359"/>
      <w:bookmarkEnd w:id="5" w:name="source-17359"/>
    </w:p>
    <w:p>
      <w:pPr>
        <w:pStyle w:val="ListBullet"/>
      </w:pPr>
      <w:r>
        <w:rPr>
          <w:rFonts w:ascii="微软雅黑" w:hAnsi="微软雅黑" w:eastAsia="微软雅黑" w:cs="微软雅黑"/>
        </w:rPr>
        <w:t>[5] 中国能源网｜</w:t>
      </w:r>
      <w:hyperlink r:id="rId15">
        <w:r>
          <w:rPr>
            <w:rFonts w:ascii="微软雅黑" w:hAnsi="微软雅黑" w:eastAsia="微软雅黑" w:cs="微软雅黑"/>
            <w:color w:val="087E89"/>
          </w:rPr>
          <w:t>进出口评述：供应侧约束主导，印尼8月煤炭出口量创14个月低位</w:t>
        </w:r>
      </w:hyperlink>
      <w:r>
        <w:rPr>
          <w:rFonts w:ascii="微软雅黑" w:hAnsi="微软雅黑" w:eastAsia="微软雅黑" w:cs="微软雅黑"/>
        </w:rPr>
      </w:r>
    </w:p>
    <w:p>
      <w:pPr>
        <w:spacing w:after="0" w:line="20" w:lineRule="exact"/>
      </w:pPr>
      <w:bookmarkStart w:id="6" w:name="source-16936"/>
      <w:bookmarkEnd w:id="6" w:name="source-16936"/>
    </w:p>
    <w:p>
      <w:pPr>
        <w:pStyle w:val="ListBullet"/>
      </w:pPr>
      <w:r>
        <w:rPr>
          <w:rFonts w:ascii="微软雅黑" w:hAnsi="微软雅黑" w:eastAsia="微软雅黑" w:cs="微软雅黑"/>
        </w:rPr>
        <w:t>[6] Mysteel｜</w:t>
      </w:r>
      <w:hyperlink r:id="rId16">
        <w:r>
          <w:rPr>
            <w:rFonts w:ascii="微软雅黑" w:hAnsi="微软雅黑" w:eastAsia="微软雅黑" w:cs="微软雅黑"/>
            <w:color w:val="087E89"/>
          </w:rPr>
          <w:t>动力煤价格淡季站上千元关口，低库存下动力煤或进入涨价周期</w:t>
        </w:r>
      </w:hyperlink>
      <w:r>
        <w:rPr>
          <w:rFonts w:ascii="微软雅黑" w:hAnsi="微软雅黑" w:eastAsia="微软雅黑" w:cs="微软雅黑"/>
        </w:rPr>
      </w:r>
    </w:p>
    <w:p>
      <w:pPr>
        <w:spacing w:after="0" w:line="20" w:lineRule="exact"/>
      </w:pPr>
      <w:bookmarkStart w:id="7" w:name="source-17355"/>
      <w:bookmarkEnd w:id="7" w:name="source-17355"/>
    </w:p>
    <w:p>
      <w:pPr>
        <w:pStyle w:val="ListBullet"/>
      </w:pPr>
      <w:r>
        <w:rPr>
          <w:rFonts w:ascii="微软雅黑" w:hAnsi="微软雅黑" w:eastAsia="微软雅黑" w:cs="微软雅黑"/>
        </w:rPr>
        <w:t>[7] 荷兰企业局｜</w:t>
      </w:r>
      <w:hyperlink r:id="rId17">
        <w:r>
          <w:rPr>
            <w:rFonts w:ascii="微软雅黑" w:hAnsi="微软雅黑" w:eastAsia="微软雅黑" w:cs="微软雅黑"/>
            <w:color w:val="087E89"/>
          </w:rPr>
          <w:t>道路运输氢能网络借助SWiM补贴实现显著扩张</w:t>
        </w:r>
      </w:hyperlink>
      <w:r>
        <w:rPr>
          <w:rFonts w:ascii="微软雅黑" w:hAnsi="微软雅黑" w:eastAsia="微软雅黑" w:cs="微软雅黑"/>
        </w:rPr>
      </w:r>
    </w:p>
    <w:p>
      <w:pPr>
        <w:spacing w:after="0" w:line="20" w:lineRule="exact"/>
      </w:pPr>
      <w:bookmarkStart w:id="8" w:name="source-17266"/>
      <w:bookmarkEnd w:id="8" w:name="source-17266"/>
    </w:p>
    <w:p>
      <w:pPr>
        <w:pStyle w:val="ListBullet"/>
      </w:pPr>
      <w:r>
        <w:rPr>
          <w:rFonts w:ascii="微软雅黑" w:hAnsi="微软雅黑" w:eastAsia="微软雅黑" w:cs="微软雅黑"/>
        </w:rPr>
        <w:t>[8] The Battery Magazine｜</w:t>
      </w:r>
      <w:hyperlink r:id="rId18">
        <w:r>
          <w:rPr>
            <w:rFonts w:ascii="微软雅黑" w:hAnsi="微软雅黑" w:eastAsia="微软雅黑" w:cs="微软雅黑"/>
            <w:color w:val="087E89"/>
          </w:rPr>
          <w:t>POWERGRID完成拉贾斯坦邦20吉瓦可再生能源外送输电项目</w:t>
        </w:r>
      </w:hyperlink>
      <w:r>
        <w:rPr>
          <w:rFonts w:ascii="微软雅黑" w:hAnsi="微软雅黑" w:eastAsia="微软雅黑" w:cs="微软雅黑"/>
        </w:rPr>
      </w:r>
    </w:p>
    <w:p>
      <w:pPr>
        <w:spacing w:after="0" w:line="20" w:lineRule="exact"/>
      </w:pPr>
      <w:bookmarkStart w:id="9" w:name="source-16797"/>
      <w:bookmarkEnd w:id="9" w:name="source-16797"/>
    </w:p>
    <w:p>
      <w:pPr>
        <w:pStyle w:val="ListBullet"/>
      </w:pPr>
      <w:r>
        <w:rPr>
          <w:rFonts w:ascii="微软雅黑" w:hAnsi="微软雅黑" w:eastAsia="微软雅黑" w:cs="微软雅黑"/>
        </w:rPr>
        <w:t>[9] 央视新闻等｜</w:t>
      </w:r>
      <w:hyperlink r:id="rId19">
        <w:r>
          <w:rPr>
            <w:rFonts w:ascii="微软雅黑" w:hAnsi="微软雅黑" w:eastAsia="微软雅黑" w:cs="微软雅黑"/>
            <w:color w:val="087E89"/>
          </w:rPr>
          <w:t>泽连斯基称支持“能源停火” 乌武装部队已收到相关命令</w:t>
        </w:r>
      </w:hyperlink>
      <w:r>
        <w:rPr>
          <w:rFonts w:ascii="微软雅黑" w:hAnsi="微软雅黑" w:eastAsia="微软雅黑" w:cs="微软雅黑"/>
        </w:rPr>
      </w:r>
    </w:p>
    <w:p>
      <w:pPr>
        <w:spacing w:after="0" w:line="20" w:lineRule="exact"/>
      </w:pPr>
      <w:bookmarkStart w:id="10" w:name="source-17392"/>
      <w:bookmarkEnd w:id="10" w:name="source-17392"/>
    </w:p>
    <w:p>
      <w:pPr>
        <w:pStyle w:val="ListBullet"/>
      </w:pPr>
      <w:r>
        <w:rPr>
          <w:rFonts w:ascii="微软雅黑" w:hAnsi="微软雅黑" w:eastAsia="微软雅黑" w:cs="微软雅黑"/>
        </w:rPr>
        <w:t>[10] 新华社国际要闻（战略与能源）｜</w:t>
      </w:r>
      <w:hyperlink r:id="rId20">
        <w:r>
          <w:rPr>
            <w:rFonts w:ascii="微软雅黑" w:hAnsi="微软雅黑" w:eastAsia="微软雅黑" w:cs="微软雅黑"/>
            <w:color w:val="087E89"/>
          </w:rPr>
          <w:t>俄期待长久和平而非停战 乌表示支持“能源停火”</w:t>
        </w:r>
      </w:hyperlink>
      <w:r>
        <w:rPr>
          <w:rFonts w:ascii="微软雅黑" w:hAnsi="微软雅黑" w:eastAsia="微软雅黑" w:cs="微软雅黑"/>
        </w:rPr>
      </w:r>
    </w:p>
    <w:p>
      <w:pPr>
        <w:spacing w:after="0" w:line="20" w:lineRule="exact"/>
      </w:pPr>
      <w:bookmarkStart w:id="11" w:name="source-17461"/>
      <w:bookmarkEnd w:id="11" w:name="source-17461"/>
    </w:p>
    <w:p>
      <w:pPr>
        <w:pStyle w:val="ListBullet"/>
      </w:pPr>
      <w:r>
        <w:rPr>
          <w:rFonts w:ascii="微软雅黑" w:hAnsi="微软雅黑" w:eastAsia="微软雅黑" w:cs="微软雅黑"/>
        </w:rPr>
        <w:t>[11] 中国能源新闻网｜</w:t>
      </w:r>
      <w:hyperlink r:id="rId21">
        <w:r>
          <w:rPr>
            <w:rFonts w:ascii="微软雅黑" w:hAnsi="微软雅黑" w:eastAsia="微软雅黑" w:cs="微软雅黑"/>
            <w:color w:val="087E89"/>
          </w:rPr>
          <w:t>前三季度我国新能源汽车新车销量占比升至53.6%</w:t>
        </w:r>
      </w:hyperlink>
      <w:r>
        <w:rPr>
          <w:rFonts w:ascii="微软雅黑" w:hAnsi="微软雅黑" w:eastAsia="微软雅黑" w:cs="微软雅黑"/>
        </w:rPr>
      </w:r>
    </w:p>
    <w:p>
      <w:pPr>
        <w:spacing w:after="0" w:line="20" w:lineRule="exact"/>
      </w:pPr>
      <w:bookmarkStart w:id="12" w:name="source-17334"/>
      <w:bookmarkEnd w:id="12" w:name="source-17334"/>
    </w:p>
    <w:p>
      <w:pPr>
        <w:pStyle w:val="ListBullet"/>
      </w:pPr>
      <w:r>
        <w:rPr>
          <w:rFonts w:ascii="微软雅黑" w:hAnsi="微软雅黑" w:eastAsia="微软雅黑" w:cs="微软雅黑"/>
        </w:rPr>
        <w:t>[12] 央视新闻等｜</w:t>
      </w:r>
      <w:hyperlink r:id="rId22">
        <w:r>
          <w:rPr>
            <w:rFonts w:ascii="微软雅黑" w:hAnsi="微软雅黑" w:eastAsia="微软雅黑" w:cs="微软雅黑"/>
            <w:color w:val="087E89"/>
          </w:rPr>
          <w:t>前三季度新能源汽车产销量实现较高增长</w:t>
        </w:r>
      </w:hyperlink>
      <w:r>
        <w:rPr>
          <w:rFonts w:ascii="微软雅黑" w:hAnsi="微软雅黑" w:eastAsia="微软雅黑" w:cs="微软雅黑"/>
        </w:rPr>
      </w:r>
    </w:p>
    <w:p>
      <w:pPr>
        <w:spacing w:after="0" w:line="20" w:lineRule="exact"/>
      </w:pPr>
      <w:bookmarkStart w:id="13" w:name="source-17240"/>
      <w:bookmarkEnd w:id="13" w:name="source-17240"/>
    </w:p>
    <w:p>
      <w:pPr>
        <w:pStyle w:val="ListBullet"/>
      </w:pPr>
      <w:r>
        <w:rPr>
          <w:rFonts w:ascii="微软雅黑" w:hAnsi="微软雅黑" w:eastAsia="微软雅黑" w:cs="微软雅黑"/>
        </w:rPr>
        <w:t>[13] 中国新闻网｜</w:t>
      </w:r>
      <w:hyperlink r:id="rId23">
        <w:r>
          <w:rPr>
            <w:rFonts w:ascii="微软雅黑" w:hAnsi="微软雅黑" w:eastAsia="微软雅黑" w:cs="微软雅黑"/>
            <w:color w:val="087E89"/>
          </w:rPr>
          <w:t>前三季度中国新能源汽车产销双超1200万辆</w:t>
        </w:r>
      </w:hyperlink>
      <w:r>
        <w:rPr>
          <w:rFonts w:ascii="微软雅黑" w:hAnsi="微软雅黑" w:eastAsia="微软雅黑" w:cs="微软雅黑"/>
        </w:rPr>
      </w:r>
    </w:p>
    <w:p>
      <w:pPr>
        <w:spacing w:after="0" w:line="20" w:lineRule="exact"/>
      </w:pPr>
      <w:bookmarkStart w:id="14" w:name="source-17124"/>
      <w:bookmarkEnd w:id="14" w:name="source-17124"/>
    </w:p>
    <w:p>
      <w:pPr>
        <w:pStyle w:val="ListBullet"/>
      </w:pPr>
      <w:r>
        <w:rPr>
          <w:rFonts w:ascii="微软雅黑" w:hAnsi="微软雅黑" w:eastAsia="微软雅黑" w:cs="微软雅黑"/>
        </w:rPr>
        <w:t>[14] 科技日报｜</w:t>
      </w:r>
      <w:hyperlink r:id="rId24">
        <w:r>
          <w:rPr>
            <w:rFonts w:ascii="微软雅黑" w:hAnsi="微软雅黑" w:eastAsia="微软雅黑" w:cs="微软雅黑"/>
            <w:color w:val="087E89"/>
          </w:rPr>
          <w:t>前三季度我国新能源汽车新车销量占比升至53.6%</w:t>
        </w:r>
      </w:hyperlink>
      <w:r>
        <w:rPr>
          <w:rFonts w:ascii="微软雅黑" w:hAnsi="微软雅黑" w:eastAsia="微软雅黑" w:cs="微软雅黑"/>
        </w:rPr>
      </w:r>
    </w:p>
    <w:p>
      <w:pPr>
        <w:spacing w:after="0" w:line="20" w:lineRule="exact"/>
      </w:pPr>
      <w:bookmarkStart w:id="15" w:name="source-17305"/>
      <w:bookmarkEnd w:id="15" w:name="source-17305"/>
    </w:p>
    <w:p>
      <w:pPr>
        <w:pStyle w:val="ListBullet"/>
      </w:pPr>
      <w:r>
        <w:rPr>
          <w:rFonts w:ascii="微软雅黑" w:hAnsi="微软雅黑" w:eastAsia="微软雅黑" w:cs="微软雅黑"/>
        </w:rPr>
        <w:t>[15] 中国能源新闻网｜</w:t>
      </w:r>
      <w:hyperlink r:id="rId25">
        <w:r>
          <w:rPr>
            <w:rFonts w:ascii="微软雅黑" w:hAnsi="微软雅黑" w:eastAsia="微软雅黑" w:cs="微软雅黑"/>
            <w:color w:val="087E89"/>
          </w:rPr>
          <w:t>中国核电前三季度累计商运发电量1866.60亿千瓦时</w:t>
        </w:r>
      </w:hyperlink>
      <w:r>
        <w:rPr>
          <w:rFonts w:ascii="微软雅黑" w:hAnsi="微软雅黑" w:eastAsia="微软雅黑" w:cs="微软雅黑"/>
        </w:rPr>
      </w:r>
    </w:p>
    <w:p>
      <w:pPr>
        <w:spacing w:after="0" w:line="20" w:lineRule="exact"/>
      </w:pPr>
      <w:bookmarkStart w:id="16" w:name="source-17303"/>
      <w:bookmarkEnd w:id="16" w:name="source-17303"/>
    </w:p>
    <w:p>
      <w:pPr>
        <w:pStyle w:val="ListBullet"/>
      </w:pPr>
      <w:r>
        <w:rPr>
          <w:rFonts w:ascii="微软雅黑" w:hAnsi="微软雅黑" w:eastAsia="微软雅黑" w:cs="微软雅黑"/>
        </w:rPr>
        <w:t>[16] 中国能源新闻网｜</w:t>
      </w:r>
      <w:hyperlink r:id="rId26">
        <w:r>
          <w:rPr>
            <w:rFonts w:ascii="微软雅黑" w:hAnsi="微软雅黑" w:eastAsia="微软雅黑" w:cs="微软雅黑"/>
            <w:color w:val="087E89"/>
          </w:rPr>
          <w:t>中国华电解读《水电站大坝运行安全监督管理规定》</w:t>
        </w:r>
      </w:hyperlink>
      <w:r>
        <w:rPr>
          <w:rFonts w:ascii="微软雅黑" w:hAnsi="微软雅黑" w:eastAsia="微软雅黑" w:cs="微软雅黑"/>
        </w:rPr>
      </w:r>
    </w:p>
    <w:p>
      <w:pPr>
        <w:spacing w:after="0" w:line="20" w:lineRule="exact"/>
      </w:pPr>
      <w:bookmarkStart w:id="17" w:name="source-17301"/>
      <w:bookmarkEnd w:id="17" w:name="source-17301"/>
    </w:p>
    <w:p>
      <w:pPr>
        <w:pStyle w:val="ListBullet"/>
      </w:pPr>
      <w:r>
        <w:rPr>
          <w:rFonts w:ascii="微软雅黑" w:hAnsi="微软雅黑" w:eastAsia="微软雅黑" w:cs="微软雅黑"/>
        </w:rPr>
        <w:t>[17] 中国能源新闻网 · 署名文章｜国家能源局党组成员、副局长何洋：加快构建新型电力系统｜</w:t>
      </w:r>
      <w:hyperlink r:id="rId27">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18" w:name="source-17005"/>
      <w:bookmarkEnd w:id="18" w:name="source-17005"/>
    </w:p>
    <w:p>
      <w:pPr>
        <w:pStyle w:val="ListBullet"/>
      </w:pPr>
      <w:r>
        <w:rPr>
          <w:rFonts w:ascii="微软雅黑" w:hAnsi="微软雅黑" w:eastAsia="微软雅黑" w:cs="微软雅黑"/>
        </w:rPr>
        <w:t>[18] 中国能源新闻网｜</w:t>
      </w:r>
      <w:hyperlink r:id="rId28">
        <w:r>
          <w:rPr>
            <w:rFonts w:ascii="微软雅黑" w:hAnsi="微软雅黑" w:eastAsia="微软雅黑" w:cs="微软雅黑"/>
            <w:color w:val="087E89"/>
          </w:rPr>
          <w:t>新疆“十五五”将实施新一轮找矿突破战略行动</w:t>
        </w:r>
      </w:hyperlink>
      <w:r>
        <w:rPr>
          <w:rFonts w:ascii="微软雅黑" w:hAnsi="微软雅黑" w:eastAsia="微软雅黑" w:cs="微软雅黑"/>
        </w:rPr>
      </w:r>
    </w:p>
    <w:p>
      <w:pPr>
        <w:spacing w:after="0" w:line="20" w:lineRule="exact"/>
      </w:pPr>
      <w:bookmarkStart w:id="19" w:name="source-17465"/>
      <w:bookmarkEnd w:id="19" w:name="source-17465"/>
    </w:p>
    <w:p>
      <w:pPr>
        <w:pStyle w:val="ListBullet"/>
      </w:pPr>
      <w:r>
        <w:rPr>
          <w:rFonts w:ascii="微软雅黑" w:hAnsi="微软雅黑" w:eastAsia="微软雅黑" w:cs="微软雅黑"/>
        </w:rPr>
        <w:t>[19] Mysteel｜</w:t>
      </w:r>
      <w:hyperlink r:id="rId29">
        <w:r>
          <w:rPr>
            <w:rFonts w:ascii="微软雅黑" w:hAnsi="微软雅黑" w:eastAsia="微软雅黑" w:cs="微软雅黑"/>
            <w:color w:val="087E89"/>
          </w:rPr>
          <w:t>新疆逐“绿”向“新”打造全国能源资源战略保障基地</w:t>
        </w:r>
      </w:hyperlink>
      <w:r>
        <w:rPr>
          <w:rFonts w:ascii="微软雅黑" w:hAnsi="微软雅黑" w:eastAsia="微软雅黑" w:cs="微软雅黑"/>
        </w:rPr>
      </w:r>
    </w:p>
    <w:p>
      <w:pPr>
        <w:spacing w:after="0" w:line="20" w:lineRule="exact"/>
      </w:pPr>
      <w:bookmarkStart w:id="20" w:name="source-16918"/>
      <w:bookmarkEnd w:id="20" w:name="source-16918"/>
    </w:p>
    <w:p>
      <w:pPr>
        <w:pStyle w:val="ListBullet"/>
      </w:pPr>
      <w:r>
        <w:rPr>
          <w:rFonts w:ascii="微软雅黑" w:hAnsi="微软雅黑" w:eastAsia="微软雅黑" w:cs="微软雅黑"/>
        </w:rPr>
        <w:t>[20] 韩国联合通讯社｜</w:t>
      </w:r>
      <w:hyperlink r:id="rId30">
        <w:r>
          <w:rPr>
            <w:rFonts w:ascii="微软雅黑" w:hAnsi="微软雅黑" w:eastAsia="微软雅黑" w:cs="微软雅黑"/>
            <w:color w:val="087E89"/>
          </w:rPr>
          <w:t>韩国海洋水产部参加伦敦议定书缔约国大会 强调核电站污染水安全管理</w:t>
        </w:r>
      </w:hyperlink>
      <w:r>
        <w:rPr>
          <w:rFonts w:ascii="微软雅黑" w:hAnsi="微软雅黑" w:eastAsia="微软雅黑" w:cs="微软雅黑"/>
        </w:rPr>
      </w:r>
    </w:p>
    <w:p>
      <w:pPr>
        <w:spacing w:after="0" w:line="20" w:lineRule="exact"/>
      </w:pPr>
      <w:bookmarkStart w:id="21" w:name="source-17464"/>
      <w:bookmarkEnd w:id="21" w:name="source-17464"/>
    </w:p>
    <w:p>
      <w:pPr>
        <w:pStyle w:val="ListBullet"/>
      </w:pPr>
      <w:r>
        <w:rPr>
          <w:rFonts w:ascii="微软雅黑" w:hAnsi="微软雅黑" w:eastAsia="微软雅黑" w:cs="微软雅黑"/>
        </w:rPr>
        <w:t>[21] 中国能源新闻网｜</w:t>
      </w:r>
      <w:hyperlink r:id="rId31">
        <w:r>
          <w:rPr>
            <w:rFonts w:ascii="微软雅黑" w:hAnsi="微软雅黑" w:eastAsia="微软雅黑" w:cs="微软雅黑"/>
            <w:color w:val="087E89"/>
          </w:rPr>
          <w:t>中国华能：以高质量党建领航高质量发展新征程</w:t>
        </w:r>
      </w:hyperlink>
      <w:r>
        <w:rPr>
          <w:rFonts w:ascii="微软雅黑" w:hAnsi="微软雅黑" w:eastAsia="微软雅黑" w:cs="微软雅黑"/>
        </w:rPr>
      </w:r>
    </w:p>
    <w:p>
      <w:pPr>
        <w:spacing w:after="0" w:line="20" w:lineRule="exact"/>
      </w:pPr>
      <w:bookmarkStart w:id="22" w:name="source-16926"/>
      <w:bookmarkEnd w:id="22" w:name="source-16926"/>
    </w:p>
    <w:p>
      <w:pPr>
        <w:pStyle w:val="ListBullet"/>
      </w:pPr>
      <w:r>
        <w:rPr>
          <w:rFonts w:ascii="微软雅黑" w:hAnsi="微软雅黑" w:eastAsia="微软雅黑" w:cs="微软雅黑"/>
        </w:rPr>
        <w:t>[22] 中国能源新闻网｜</w:t>
      </w:r>
      <w:hyperlink r:id="rId32">
        <w:r>
          <w:rPr>
            <w:rFonts w:ascii="微软雅黑" w:hAnsi="微软雅黑" w:eastAsia="微软雅黑" w:cs="微软雅黑"/>
            <w:color w:val="087E89"/>
          </w:rPr>
          <w:t>中国华能：以高质量党建领航高质量发展新征程</w:t>
        </w:r>
      </w:hyperlink>
      <w:r>
        <w:rPr>
          <w:rFonts w:ascii="微软雅黑" w:hAnsi="微软雅黑" w:eastAsia="微软雅黑" w:cs="微软雅黑"/>
        </w:rPr>
      </w:r>
    </w:p>
    <w:p>
      <w:pPr>
        <w:spacing w:after="0" w:line="20" w:lineRule="exact"/>
      </w:pPr>
      <w:bookmarkStart w:id="23" w:name="source-16955"/>
      <w:bookmarkEnd w:id="23" w:name="source-16955"/>
    </w:p>
    <w:p>
      <w:pPr>
        <w:pStyle w:val="ListBullet"/>
      </w:pPr>
      <w:r>
        <w:rPr>
          <w:rFonts w:ascii="微软雅黑" w:hAnsi="微软雅黑" w:eastAsia="微软雅黑" w:cs="微软雅黑"/>
        </w:rPr>
        <w:t>[23] 中国石油报·中国石油新闻中心｜</w:t>
      </w:r>
      <w:hyperlink r:id="rId33">
        <w:r>
          <w:rPr>
            <w:rFonts w:ascii="微软雅黑" w:hAnsi="微软雅黑" w:eastAsia="微软雅黑" w:cs="微软雅黑"/>
            <w:color w:val="087E89"/>
          </w:rPr>
          <w:t>大港油田储气库群完成年度注气任务</w:t>
        </w:r>
      </w:hyperlink>
      <w:r>
        <w:rPr>
          <w:rFonts w:ascii="微软雅黑" w:hAnsi="微软雅黑" w:eastAsia="微软雅黑" w:cs="微软雅黑"/>
        </w:rPr>
      </w:r>
    </w:p>
    <w:p>
      <w:pPr>
        <w:spacing w:after="0" w:line="20" w:lineRule="exact"/>
      </w:pPr>
      <w:bookmarkStart w:id="24" w:name="source-17156"/>
      <w:bookmarkEnd w:id="24" w:name="source-17156"/>
    </w:p>
    <w:p>
      <w:pPr>
        <w:pStyle w:val="ListBullet"/>
      </w:pPr>
      <w:r>
        <w:rPr>
          <w:rFonts w:ascii="微软雅黑" w:hAnsi="微软雅黑" w:eastAsia="微软雅黑" w:cs="微软雅黑"/>
        </w:rPr>
        <w:t>[24] OGN News｜</w:t>
      </w:r>
      <w:hyperlink r:id="rId34">
        <w:r>
          <w:rPr>
            <w:rFonts w:ascii="微软雅黑" w:hAnsi="微软雅黑" w:eastAsia="微软雅黑" w:cs="微软雅黑"/>
            <w:color w:val="087E89"/>
          </w:rPr>
          <w:t>IEF17在利雅得闭幕，呼吁加强能源安全与投资</w:t>
        </w:r>
      </w:hyperlink>
      <w:r>
        <w:rPr>
          <w:rFonts w:ascii="微软雅黑" w:hAnsi="微软雅黑" w:eastAsia="微软雅黑" w:cs="微软雅黑"/>
        </w:rPr>
      </w:r>
    </w:p>
    <w:p>
      <w:pPr>
        <w:spacing w:after="0" w:line="20" w:lineRule="exact"/>
      </w:pPr>
      <w:bookmarkStart w:id="25" w:name="source-17150"/>
      <w:bookmarkEnd w:id="25" w:name="source-17150"/>
    </w:p>
    <w:p>
      <w:pPr>
        <w:pStyle w:val="ListBullet"/>
      </w:pPr>
      <w:r>
        <w:rPr>
          <w:rFonts w:ascii="微软雅黑" w:hAnsi="微软雅黑" w:eastAsia="微软雅黑" w:cs="微软雅黑"/>
        </w:rPr>
        <w:t>[25] 《油气工程》｜</w:t>
      </w:r>
      <w:hyperlink r:id="rId35">
        <w:r>
          <w:rPr>
            <w:rFonts w:ascii="微软雅黑" w:hAnsi="微软雅黑" w:eastAsia="微软雅黑" w:cs="微软雅黑"/>
            <w:color w:val="087E89"/>
          </w:rPr>
          <w:t>国际能源署：柴油市场紧张局势最新动态</w:t>
        </w:r>
      </w:hyperlink>
      <w:r>
        <w:rPr>
          <w:rFonts w:ascii="微软雅黑" w:hAnsi="微软雅黑" w:eastAsia="微软雅黑" w:cs="微软雅黑"/>
        </w:rPr>
      </w:r>
    </w:p>
    <w:p>
      <w:pPr>
        <w:spacing w:after="0" w:line="20" w:lineRule="exact"/>
      </w:pPr>
      <w:bookmarkStart w:id="26" w:name="source-16796"/>
      <w:bookmarkEnd w:id="26" w:name="source-16796"/>
    </w:p>
    <w:p>
      <w:pPr>
        <w:pStyle w:val="ListBullet"/>
      </w:pPr>
      <w:r>
        <w:rPr>
          <w:rFonts w:ascii="微软雅黑" w:hAnsi="微软雅黑" w:eastAsia="微软雅黑" w:cs="微软雅黑"/>
        </w:rPr>
        <w:t>[26] 叙利亚通讯社｜</w:t>
      </w:r>
      <w:hyperlink r:id="rId36">
        <w:r>
          <w:rPr>
            <w:rFonts w:ascii="微软雅黑" w:hAnsi="微软雅黑" w:eastAsia="微软雅黑" w:cs="微软雅黑"/>
            <w:color w:val="087E89"/>
          </w:rPr>
          <w:t>美国威胁因炼厂遇袭事件暂停对乌武器供应，《金融时报》报道</w:t>
        </w:r>
      </w:hyperlink>
      <w:r>
        <w:rPr>
          <w:rFonts w:ascii="微软雅黑" w:hAnsi="微软雅黑" w:eastAsia="微软雅黑" w:cs="微软雅黑"/>
        </w:rPr>
      </w:r>
    </w:p>
    <w:p>
      <w:pPr>
        <w:spacing w:after="0" w:line="20" w:lineRule="exact"/>
      </w:pPr>
      <w:bookmarkStart w:id="27" w:name="source-16869"/>
      <w:bookmarkEnd w:id="27" w:name="source-16869"/>
    </w:p>
    <w:p>
      <w:pPr>
        <w:pStyle w:val="ListBullet"/>
      </w:pPr>
      <w:r>
        <w:rPr>
          <w:rFonts w:ascii="微软雅黑" w:hAnsi="微软雅黑" w:eastAsia="微软雅黑" w:cs="微软雅黑"/>
        </w:rPr>
        <w:t>[27] 人民财讯等｜</w:t>
      </w:r>
      <w:hyperlink r:id="rId37">
        <w:r>
          <w:rPr>
            <w:rFonts w:ascii="微软雅黑" w:hAnsi="微软雅黑" w:eastAsia="微软雅黑" w:cs="微软雅黑"/>
            <w:color w:val="087E89"/>
          </w:rPr>
          <w:t>银河证券：整体煤炭供需偏紧 煤价中枢抬升</w:t>
        </w:r>
      </w:hyperlink>
      <w:r>
        <w:rPr>
          <w:rFonts w:ascii="微软雅黑" w:hAnsi="微软雅黑" w:eastAsia="微软雅黑" w:cs="微软雅黑"/>
        </w:rPr>
      </w:r>
    </w:p>
    <w:p>
      <w:pPr>
        <w:spacing w:after="0" w:line="20" w:lineRule="exact"/>
      </w:pPr>
      <w:bookmarkStart w:id="28" w:name="source-17332"/>
      <w:bookmarkEnd w:id="28" w:name="source-17332"/>
    </w:p>
    <w:p>
      <w:pPr>
        <w:pStyle w:val="ListBullet"/>
      </w:pPr>
      <w:r>
        <w:rPr>
          <w:rFonts w:ascii="微软雅黑" w:hAnsi="微软雅黑" w:eastAsia="微软雅黑" w:cs="微软雅黑"/>
        </w:rPr>
        <w:t>[28] 清洁能源通讯社｜</w:t>
      </w:r>
      <w:hyperlink r:id="rId38">
        <w:r>
          <w:rPr>
            <w:rFonts w:ascii="微软雅黑" w:hAnsi="微软雅黑" w:eastAsia="微软雅黑" w:cs="微软雅黑"/>
            <w:color w:val="087E89"/>
          </w:rPr>
          <w:t>电气化使家庭免受油气相关通胀压力——报告称</w:t>
        </w:r>
      </w:hyperlink>
      <w:r>
        <w:rPr>
          <w:rFonts w:ascii="微软雅黑" w:hAnsi="微软雅黑" w:eastAsia="微软雅黑" w:cs="微软雅黑"/>
        </w:rPr>
      </w:r>
    </w:p>
    <w:p>
      <w:pPr>
        <w:spacing w:after="0" w:line="20" w:lineRule="exact"/>
      </w:pPr>
      <w:bookmarkStart w:id="29" w:name="source-17265"/>
      <w:bookmarkEnd w:id="29" w:name="source-17265"/>
    </w:p>
    <w:p>
      <w:pPr>
        <w:pStyle w:val="ListBullet"/>
      </w:pPr>
      <w:r>
        <w:rPr>
          <w:rFonts w:ascii="微软雅黑" w:hAnsi="微软雅黑" w:eastAsia="微软雅黑" w:cs="微软雅黑"/>
        </w:rPr>
        <w:t>[29] The Battery Magazine｜</w:t>
      </w:r>
      <w:hyperlink r:id="rId39">
        <w:r>
          <w:rPr>
            <w:rFonts w:ascii="微软雅黑" w:hAnsi="微软雅黑" w:eastAsia="微软雅黑" w:cs="微软雅黑"/>
            <w:color w:val="087E89"/>
          </w:rPr>
          <w:t>安得拉邦就1,250 MW / 5,000 MWh独立电池储能项目招标</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neimagazine.com/news/znpp-faces-diesel-supply-shortage/" TargetMode="External"/><Relationship Id="rId12" Type="http://schemas.openxmlformats.org/officeDocument/2006/relationships/hyperlink" Target="https://www.lngindustry.com/special-reports/12102026/europe-enters-winter-with-historically-low-storage-levels-reinforcing-the-need-for-lng-imports-and-storage-flexibility/" TargetMode="External"/><Relationship Id="rId13" Type="http://schemas.openxmlformats.org/officeDocument/2006/relationships/hyperlink" Target="https://sana.sy/en/international/2349778/" TargetMode="External"/><Relationship Id="rId14" Type="http://schemas.openxmlformats.org/officeDocument/2006/relationships/hyperlink" Target="https://theedgemalaysia.com/node/821408" TargetMode="External"/><Relationship Id="rId15" Type="http://schemas.openxmlformats.org/officeDocument/2006/relationships/hyperlink" Target="https://www.china5e.com/news/news-1210273-1.html" TargetMode="External"/><Relationship Id="rId16" Type="http://schemas.openxmlformats.org/officeDocument/2006/relationships/hyperlink" Target="https://news.mysteel.com/a/26101209/B354F5E11DC4108A.html" TargetMode="External"/><Relationship Id="rId17" Type="http://schemas.openxmlformats.org/officeDocument/2006/relationships/hyperlink" Target="https://www.rvo.nl/nieuws/waterstofnetwerk-voor-wegtransport-groeit-flink-met-subsidie-swim" TargetMode="External"/><Relationship Id="rId18" Type="http://schemas.openxmlformats.org/officeDocument/2006/relationships/hyperlink" Target="https://www.thebatterymagazine.com/powergrid-commissions-20-gw-rajasthan-renewable-energy-evacuation-project/" TargetMode="External"/><Relationship Id="rId19" Type="http://schemas.openxmlformats.org/officeDocument/2006/relationships/hyperlink" Target="https://news.cctv.com/2026/10/12/ARTIcVxcMd7QqyqKGfcq2FQb261012.shtml" TargetMode="External"/><Relationship Id="rId20" Type="http://schemas.openxmlformats.org/officeDocument/2006/relationships/hyperlink" Target="https://www.news.cn/world/20261012/40a149838f6f466e84cda7d4f847d332/c.html" TargetMode="External"/><Relationship Id="rId21" Type="http://schemas.openxmlformats.org/officeDocument/2006/relationships/hyperlink" Target="https://www.cpnn.com.cn/news/xny/202610/t20261012_1919403.html" TargetMode="External"/><Relationship Id="rId22" Type="http://schemas.openxmlformats.org/officeDocument/2006/relationships/hyperlink" Target="https://news.cctv.com/2026/10/12/ARTIJy6B236oWM2XaOx7Yj0x261012.shtml" TargetMode="External"/><Relationship Id="rId23" Type="http://schemas.openxmlformats.org/officeDocument/2006/relationships/hyperlink" Target="https://www.chinanews.com.cn/cj/2026/10-12/10712207.shtml" TargetMode="External"/><Relationship Id="rId24" Type="http://schemas.openxmlformats.org/officeDocument/2006/relationships/hyperlink" Target="https://www.stdaily.com/web/gdxw/2026-10/12/content_594531.html" TargetMode="External"/><Relationship Id="rId25" Type="http://schemas.openxmlformats.org/officeDocument/2006/relationships/hyperlink" Target="https://www.cpnn.com.cn/news/hy/202610/t20261012_1919339.html" TargetMode="External"/><Relationship Id="rId26" Type="http://schemas.openxmlformats.org/officeDocument/2006/relationships/hyperlink" Target="https://www.cpnn.com.cn/news/nytt/202610/t20261012_1919380.html" TargetMode="External"/><Relationship Id="rId27" Type="http://schemas.openxmlformats.org/officeDocument/2006/relationships/hyperlink" Target="https://www.cpnn.com.cn/news/xwtt/202610/t20261012_1919295.html" TargetMode="External"/><Relationship Id="rId28" Type="http://schemas.openxmlformats.org/officeDocument/2006/relationships/hyperlink" Target="https://www.cpnn.com.cn/news/dfny/202610/t20261012_1919290.html" TargetMode="External"/><Relationship Id="rId29" Type="http://schemas.openxmlformats.org/officeDocument/2006/relationships/hyperlink" Target="https://news.mysteel.com/a/26101214/25C31071E2AECB93.html" TargetMode="External"/><Relationship Id="rId30" Type="http://schemas.openxmlformats.org/officeDocument/2006/relationships/hyperlink" Target="https://www.yna.co.kr/view/AKR20261012019600051?section=industry/energy-resource" TargetMode="External"/><Relationship Id="rId31" Type="http://schemas.openxmlformats.org/officeDocument/2006/relationships/hyperlink" Target="https://www.cpnn.com.cn/news/nyqy/202610/t20261012_1919313.html" TargetMode="External"/><Relationship Id="rId32" Type="http://schemas.openxmlformats.org/officeDocument/2006/relationships/hyperlink" Target="https://www.cpnn.com.cn/news/hy/202610/t20261012_1919313.html" TargetMode="External"/><Relationship Id="rId33" Type="http://schemas.openxmlformats.org/officeDocument/2006/relationships/hyperlink" Target="http://news.cnpc.com.cn/system/2026/10/12/030204690.shtml" TargetMode="External"/><Relationship Id="rId34" Type="http://schemas.openxmlformats.org/officeDocument/2006/relationships/hyperlink" Target="https://ognnews.com/ArticleTA/487852/ief17-concludes-in-riyadh-with-call-for-stronger-energy-security-investment" TargetMode="External"/><Relationship Id="rId35" Type="http://schemas.openxmlformats.org/officeDocument/2006/relationships/hyperlink" Target="https://www.hydrocarbonengineering.com/special-reports/12102026/iea-latest-on-diesel-market-strains/" TargetMode="External"/><Relationship Id="rId36" Type="http://schemas.openxmlformats.org/officeDocument/2006/relationships/hyperlink" Target="https://sana.sy/en/international/2349841/" TargetMode="External"/><Relationship Id="rId37" Type="http://schemas.openxmlformats.org/officeDocument/2006/relationships/hyperlink" Target="https://www.stcn.com/article/detail/4211696.html" TargetMode="External"/><Relationship Id="rId38" Type="http://schemas.openxmlformats.org/officeDocument/2006/relationships/hyperlink" Target="https://www.cleanenergywire.org/news/electrification-shields-households-oil-and-gas-related-inflation-pressure-report" TargetMode="External"/><Relationship Id="rId39" Type="http://schemas.openxmlformats.org/officeDocument/2006/relationships/hyperlink" Target="https://www.thebatterymagazine.com/andhra-pradesh-floats-tender-for-1250-mw-5000-mwh-standalone-bess-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2026年10月12日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