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0" w:line="20" w:lineRule="atLeast"/>
        <w:ind w:firstLine="0" w:left="0" w:right="0"/>
      </w:pPr>
      <w:r>
        <w:rPr>
          <w:rFonts w:ascii="微软雅黑" w:hAnsi="微软雅黑" w:eastAsia="微软雅黑" w:cs="微软雅黑"/>
          <w:sz w:val="2"/>
        </w:rPr>
        <w:drawing>
          <wp:inline xmlns:a="http://schemas.openxmlformats.org/drawingml/2006/main" xmlns:pic="http://schemas.openxmlformats.org/drawingml/2006/picture">
            <wp:extent cx="7488000" cy="105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488000" cy="105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 w:line="20" w:lineRule="exact"/>
        <w:sectPr>
          <w:pgSz w:w="11906" w:h="16838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after="180"/>
      </w:pPr>
      <w:r>
        <w:rPr>
          <w:rFonts w:ascii="微软雅黑" w:hAnsi="微软雅黑" w:eastAsia="微软雅黑" w:cs="微软雅黑"/>
          <w:b/>
          <w:sz w:val="30"/>
        </w:rPr>
        <w:t>报告目录</w:t>
      </w:r>
    </w:p>
    <w:p>
      <w:pPr>
        <w:pStyle w:val="ListBullet"/>
        <w:spacing w:after="60"/>
      </w:pPr>
      <w:r>
        <w:rPr>
          <w:rFonts w:ascii="微软雅黑" w:hAnsi="微软雅黑" w:eastAsia="微软雅黑" w:cs="微软雅黑"/>
        </w:rPr>
        <w:t>本日关注</w:t>
      </w:r>
    </w:p>
    <w:p>
      <w:pPr>
        <w:pStyle w:val="ListBullet"/>
        <w:spacing w:after="60"/>
      </w:pPr>
      <w:r>
        <w:rPr>
          <w:rFonts w:ascii="微软雅黑" w:hAnsi="微软雅黑" w:eastAsia="微软雅黑" w:cs="微软雅黑"/>
        </w:rPr>
        <w:t>国际与中国能源动态</w:t>
      </w:r>
    </w:p>
    <w:p>
      <w:pPr>
        <w:pStyle w:val="ListBullet"/>
        <w:spacing w:after="60"/>
      </w:pPr>
      <w:r>
        <w:rPr>
          <w:rFonts w:ascii="微软雅黑" w:hAnsi="微软雅黑" w:eastAsia="微软雅黑" w:cs="微软雅黑"/>
        </w:rPr>
        <w:t>关键数据与产业信号</w:t>
      </w:r>
    </w:p>
    <w:p>
      <w:pPr>
        <w:pStyle w:val="ListBullet"/>
        <w:spacing w:after="60"/>
      </w:pPr>
      <w:r>
        <w:rPr>
          <w:rFonts w:ascii="微软雅黑" w:hAnsi="微软雅黑" w:eastAsia="微软雅黑" w:cs="微软雅黑"/>
        </w:rPr>
        <w:t>持续跟踪</w:t>
      </w:r>
    </w:p>
    <w:p>
      <w:pPr>
        <w:pStyle w:val="ListBullet"/>
        <w:spacing w:after="60"/>
      </w:pPr>
      <w:r>
        <w:rPr>
          <w:rFonts w:ascii="微软雅黑" w:hAnsi="微软雅黑" w:eastAsia="微软雅黑" w:cs="微软雅黑"/>
        </w:rPr>
        <w:t>资料覆盖说明</w:t>
      </w:r>
    </w:p>
    <w:p>
      <w:pPr>
        <w:pStyle w:val="ListBullet"/>
        <w:spacing w:after="60"/>
      </w:pPr>
      <w:r>
        <w:rPr>
          <w:rFonts w:ascii="微软雅黑" w:hAnsi="微软雅黑" w:eastAsia="微软雅黑" w:cs="微软雅黑"/>
        </w:rPr>
        <w:t>资料来源</w:t>
      </w:r>
    </w:p>
    <w:p>
      <w:pPr>
        <w:spacing w:after="280"/>
      </w:pPr>
    </w:p>
    <w:p>
      <w:pPr>
        <w:ind w:firstLine="420"/>
      </w:pPr>
      <w:r>
        <w:rPr>
          <w:rFonts w:ascii="微软雅黑" w:hAnsi="微软雅黑" w:eastAsia="微软雅黑" w:cs="微软雅黑"/>
        </w:rPr>
        <w:t>发布日：2026-11-03（北京时间）。</w:t>
      </w:r>
    </w:p>
    <w:p>
      <w:pPr>
        <w:pStyle w:val="Heading2"/>
      </w:pPr>
      <w:r>
        <w:rPr>
          <w:rFonts w:ascii="微软雅黑" w:hAnsi="微软雅黑" w:eastAsia="微软雅黑" w:cs="微软雅黑"/>
        </w:rPr>
        <w:t>本日关注</w:t>
      </w:r>
    </w:p>
    <w:p>
      <w:pPr>
        <w:pStyle w:val="Heading3"/>
        <w:spacing w:before="360" w:after="200" w:line="360" w:lineRule="auto"/>
      </w:pPr>
      <w:r>
        <w:rPr>
          <w:rFonts w:ascii="微软雅黑" w:hAnsi="微软雅黑" w:eastAsia="微软雅黑" w:cs="微软雅黑"/>
          <w:b/>
          <w:i w:val="0"/>
          <w:sz w:val="26"/>
        </w:rPr>
        <w:t>1. 伊朗外长披露“两天计划”，海峡开放挂钩美方先行履约</w:t>
      </w:r>
    </w:p>
    <w:p>
      <w:pPr>
        <w:ind w:firstLine="420"/>
      </w:pPr>
      <w:r>
        <w:rPr>
          <w:rFonts w:ascii="微软雅黑" w:hAnsi="微软雅黑" w:eastAsia="微软雅黑" w:cs="微软雅黑"/>
        </w:rPr>
        <w:t xml:space="preserve">据汇通财经和新浪财经报道，伊朗外长阿拉格齐11月1日披露“两天计划”：先由美国解除海上封锁、给予伊朗石油出口豁免、解冻资金等，再于第二天恢复霍尔木兹海峡通航，随后重启伊美谈判。方案把海峡重开与美方履约挂钩，能否推进取决于美方是否接受条件。磋商仍由卡塔尔和巴基斯坦调解方间接进行，公开报道尚未见美方正式回应。 </w:t>
      </w:r>
      <w:hyperlink w:anchor="source-32683">
        <w:r>
          <w:rPr>
            <w:rFonts w:ascii="微软雅黑" w:hAnsi="微软雅黑" w:eastAsia="微软雅黑" w:cs="微软雅黑"/>
            <w:color w:val="087E89"/>
          </w:rPr>
          <w:t>1</w:t>
        </w:r>
      </w:hyperlink>
      <w:r>
        <w:rPr>
          <w:rFonts w:ascii="微软雅黑" w:hAnsi="微软雅黑" w:eastAsia="微软雅黑" w:cs="微软雅黑"/>
        </w:rPr>
        <w:t xml:space="preserve"> </w:t>
      </w:r>
      <w:hyperlink w:anchor="source-32671">
        <w:r>
          <w:rPr>
            <w:rFonts w:ascii="微软雅黑" w:hAnsi="微软雅黑" w:eastAsia="微软雅黑" w:cs="微软雅黑"/>
            <w:color w:val="087E89"/>
          </w:rPr>
          <w:t>2</w:t>
        </w:r>
      </w:hyperlink>
      <w:r>
        <w:rPr>
          <w:rFonts w:ascii="微软雅黑" w:hAnsi="微软雅黑" w:eastAsia="微软雅黑" w:cs="微软雅黑"/>
        </w:rPr>
      </w:r>
    </w:p>
    <w:p>
      <w:pPr>
        <w:pStyle w:val="Heading3"/>
        <w:spacing w:before="360" w:after="200" w:line="360" w:lineRule="auto"/>
      </w:pPr>
      <w:r>
        <w:rPr>
          <w:rFonts w:ascii="微软雅黑" w:hAnsi="微软雅黑" w:eastAsia="微软雅黑" w:cs="微软雅黑"/>
          <w:b/>
          <w:i w:val="0"/>
          <w:sz w:val="26"/>
        </w:rPr>
        <w:t>2. IEA署长称电动汽车已占中国新车销量六成左右</w:t>
      </w:r>
    </w:p>
    <w:p>
      <w:pPr>
        <w:ind w:firstLine="420"/>
      </w:pPr>
      <w:r>
        <w:rPr>
          <w:rFonts w:ascii="微软雅黑" w:hAnsi="微软雅黑" w:eastAsia="微软雅黑" w:cs="微软雅黑"/>
        </w:rPr>
        <w:t xml:space="preserve">据人民日报刊载的新华社报道，国际能源署署长比罗尔肯定了中国对清洁能源技术进步的贡献，并称电动汽车已占中国新车销量的六成左右。他认为，电动汽车普及正在改变汽车产业和全球能源消费结构。不过，这一比例来自受访者的口头表述，报道没有给出统计口径和原始数据来源。 </w:t>
      </w:r>
      <w:hyperlink w:anchor="source-32722">
        <w:r>
          <w:rPr>
            <w:rFonts w:ascii="微软雅黑" w:hAnsi="微软雅黑" w:eastAsia="微软雅黑" w:cs="微软雅黑"/>
            <w:color w:val="087E89"/>
          </w:rPr>
          <w:t>3</w:t>
        </w:r>
      </w:hyperlink>
      <w:r>
        <w:rPr>
          <w:rFonts w:ascii="微软雅黑" w:hAnsi="微软雅黑" w:eastAsia="微软雅黑" w:cs="微软雅黑"/>
        </w:rPr>
      </w:r>
    </w:p>
    <w:p>
      <w:pPr>
        <w:pStyle w:val="Heading3"/>
        <w:spacing w:before="360" w:after="200" w:line="360" w:lineRule="auto"/>
      </w:pPr>
      <w:r>
        <w:rPr>
          <w:rFonts w:ascii="微软雅黑" w:hAnsi="微软雅黑" w:eastAsia="微软雅黑" w:cs="微软雅黑"/>
          <w:b/>
          <w:i w:val="0"/>
          <w:sz w:val="26"/>
        </w:rPr>
        <w:t>3. IEA署长观察：中东战事以来全球能源市场呈四个趋势</w:t>
      </w:r>
    </w:p>
    <w:p>
      <w:pPr>
        <w:ind w:firstLine="420"/>
      </w:pPr>
      <w:r>
        <w:rPr>
          <w:rFonts w:ascii="微软雅黑" w:hAnsi="微软雅黑" w:eastAsia="微软雅黑" w:cs="微软雅黑"/>
        </w:rPr>
        <w:t xml:space="preserve">国际能源署署长比罗尔在人民日报刊载的新华社报道中表示，中东战事以来，可再生能源发展提速、电动汽车销量增长，部分国家重新重视煤炭，核能也获得更多关注。在他看来，提高本土能源生产能力、降低进口依赖，正成为各国发展可再生能源的重要动力；柴油和汽油涨价也推动了生物燃料使用。 </w:t>
      </w:r>
      <w:hyperlink w:anchor="source-32722">
        <w:r>
          <w:rPr>
            <w:rFonts w:ascii="微软雅黑" w:hAnsi="微软雅黑" w:eastAsia="微软雅黑" w:cs="微软雅黑"/>
            <w:color w:val="087E89"/>
          </w:rPr>
          <w:t>3</w:t>
        </w:r>
      </w:hyperlink>
      <w:r>
        <w:rPr>
          <w:rFonts w:ascii="微软雅黑" w:hAnsi="微软雅黑" w:eastAsia="微软雅黑" w:cs="微软雅黑"/>
        </w:rPr>
      </w:r>
    </w:p>
    <w:p>
      <w:pPr>
        <w:pStyle w:val="Heading3"/>
        <w:spacing w:before="360" w:after="200" w:line="360" w:lineRule="auto"/>
      </w:pPr>
      <w:r>
        <w:rPr>
          <w:rFonts w:ascii="微软雅黑" w:hAnsi="微软雅黑" w:eastAsia="微软雅黑" w:cs="微软雅黑"/>
          <w:b/>
          <w:i w:val="0"/>
          <w:sz w:val="26"/>
        </w:rPr>
        <w:t>4. 伊朗最高领袖下令对美以威胁作“无地理限制”回应</w:t>
      </w:r>
    </w:p>
    <w:p>
      <w:pPr>
        <w:ind w:firstLine="420"/>
      </w:pPr>
      <w:r>
        <w:rPr>
          <w:rFonts w:ascii="微软雅黑" w:hAnsi="微软雅黑" w:eastAsia="微软雅黑" w:cs="微软雅黑"/>
        </w:rPr>
        <w:t xml:space="preserve">据汇通财经和新浪财经报道，伊朗最高领袖穆杰塔巴·哈梅内伊要求武装部队对美以威胁作出“即时、有力且不受地理限制的回应”，并更新潜在打击目标清单。这是其自3月接任以来首次公开军事指令。伊朗军方同时警告，如果美以再次发动攻击，战事可能扩大至更广地区。 </w:t>
      </w:r>
      <w:hyperlink w:anchor="source-32683">
        <w:r>
          <w:rPr>
            <w:rFonts w:ascii="微软雅黑" w:hAnsi="微软雅黑" w:eastAsia="微软雅黑" w:cs="微软雅黑"/>
            <w:color w:val="087E89"/>
          </w:rPr>
          <w:t>1</w:t>
        </w:r>
      </w:hyperlink>
      <w:r>
        <w:rPr>
          <w:rFonts w:ascii="微软雅黑" w:hAnsi="微软雅黑" w:eastAsia="微软雅黑" w:cs="微软雅黑"/>
        </w:rPr>
        <w:t xml:space="preserve"> </w:t>
      </w:r>
      <w:hyperlink w:anchor="source-32671">
        <w:r>
          <w:rPr>
            <w:rFonts w:ascii="微软雅黑" w:hAnsi="微软雅黑" w:eastAsia="微软雅黑" w:cs="微软雅黑"/>
            <w:color w:val="087E89"/>
          </w:rPr>
          <w:t>2</w:t>
        </w:r>
      </w:hyperlink>
      <w:r>
        <w:rPr>
          <w:rFonts w:ascii="微软雅黑" w:hAnsi="微软雅黑" w:eastAsia="微软雅黑" w:cs="微软雅黑"/>
        </w:rPr>
      </w:r>
    </w:p>
    <w:p>
      <w:pPr>
        <w:pStyle w:val="Heading3"/>
        <w:spacing w:before="360" w:after="200" w:line="360" w:lineRule="auto"/>
      </w:pPr>
      <w:r>
        <w:rPr>
          <w:rFonts w:ascii="微软雅黑" w:hAnsi="微软雅黑" w:eastAsia="微软雅黑" w:cs="微软雅黑"/>
          <w:b/>
          <w:i w:val="0"/>
          <w:sz w:val="26"/>
        </w:rPr>
        <w:t>5. 市场监管部门与车企提出构建固态电池及动力电池统一标准体系</w:t>
      </w:r>
    </w:p>
    <w:p>
      <w:pPr>
        <w:ind w:firstLine="420"/>
      </w:pPr>
      <w:r>
        <w:rPr>
          <w:rFonts w:ascii="微软雅黑" w:hAnsi="微软雅黑" w:eastAsia="微软雅黑" w:cs="微软雅黑"/>
        </w:rPr>
        <w:t xml:space="preserve">据中国能源网报道，国家市场监督管理总局总工程师刘敏在行业会议上提出，应围绕固态电池产业化、碳足迹认证等趋势，构建覆盖全生命周期的标准体系。深蓝汽车董事长邓承浩则呼吁统一动力电池尺寸、接口和安全标准，推动标准化电芯建设。两人的相关表述均属标准建设建议，并非新标准发布。 </w:t>
      </w:r>
      <w:hyperlink w:anchor="source-33189">
        <w:r>
          <w:rPr>
            <w:rFonts w:ascii="微软雅黑" w:hAnsi="微软雅黑" w:eastAsia="微软雅黑" w:cs="微软雅黑"/>
            <w:color w:val="087E89"/>
          </w:rPr>
          <w:t>5</w:t>
        </w:r>
      </w:hyperlink>
      <w:r>
        <w:rPr>
          <w:rFonts w:ascii="微软雅黑" w:hAnsi="微软雅黑" w:eastAsia="微软雅黑" w:cs="微软雅黑"/>
        </w:rPr>
      </w:r>
    </w:p>
    <w:p>
      <w:pPr>
        <w:pStyle w:val="Heading2"/>
      </w:pPr>
      <w:r>
        <w:rPr>
          <w:rFonts w:ascii="微软雅黑" w:hAnsi="微软雅黑" w:eastAsia="微软雅黑" w:cs="微软雅黑"/>
        </w:rPr>
        <w:t>国际与中国能源动态</w:t>
      </w:r>
    </w:p>
    <w:p>
      <w:pPr>
        <w:pStyle w:val="Heading3"/>
        <w:spacing w:before="360" w:after="200" w:line="360" w:lineRule="auto"/>
      </w:pPr>
      <w:r>
        <w:rPr>
          <w:rFonts w:ascii="微软雅黑" w:hAnsi="微软雅黑" w:eastAsia="微软雅黑" w:cs="微软雅黑"/>
          <w:b/>
          <w:i w:val="0"/>
          <w:sz w:val="26"/>
        </w:rPr>
        <w:t>国际能源动态</w:t>
      </w:r>
    </w:p>
    <w:p>
      <w:pPr>
        <w:pStyle w:val="Heading4"/>
        <w:spacing w:before="360" w:after="200" w:line="360" w:lineRule="auto"/>
      </w:pPr>
      <w:r>
        <w:rPr>
          <w:rFonts w:ascii="微软雅黑" w:hAnsi="微软雅黑" w:eastAsia="微软雅黑" w:cs="微软雅黑"/>
          <w:b/>
          <w:i w:val="0"/>
          <w:sz w:val="26"/>
        </w:rPr>
        <w:t>6. ADNOC总裁在ADIPEC提出扩大战略储库与灵活炼能等优先措施，未给时间表</w:t>
      </w:r>
    </w:p>
    <w:p>
      <w:pPr>
        <w:ind w:firstLine="420"/>
      </w:pPr>
      <w:r>
        <w:rPr>
          <w:rFonts w:ascii="微软雅黑" w:hAnsi="微软雅黑" w:eastAsia="微软雅黑" w:cs="微软雅黑"/>
        </w:rPr>
        <w:t xml:space="preserve">据Interfax报道，ADNOC总裁苏尔坦·贾贝尔在ADIPEC油气展上强调，资源储量本身并不能保障能源安全，可靠基础设施、供应路线和物流同样关键。他提出扩大战略储库与成品油储备、在消费市场附近布局灵活炼油产能、提前建设运输设施，并改善能源贸易的投资和保险条件。这些内容仍是行业建议，报道未披露具体投资安排和实施时间表。 </w:t>
      </w:r>
      <w:hyperlink w:anchor="source-33263">
        <w:r>
          <w:rPr>
            <w:rFonts w:ascii="微软雅黑" w:hAnsi="微软雅黑" w:eastAsia="微软雅黑" w:cs="微软雅黑"/>
            <w:color w:val="087E89"/>
          </w:rPr>
          <w:t>4</w:t>
        </w:r>
      </w:hyperlink>
      <w:r>
        <w:rPr>
          <w:rFonts w:ascii="微软雅黑" w:hAnsi="微软雅黑" w:eastAsia="微软雅黑" w:cs="微软雅黑"/>
        </w:rPr>
      </w:r>
    </w:p>
    <w:p>
      <w:pPr>
        <w:pStyle w:val="Heading4"/>
        <w:spacing w:before="360" w:after="200" w:line="360" w:lineRule="auto"/>
      </w:pPr>
      <w:r>
        <w:rPr>
          <w:rFonts w:ascii="微软雅黑" w:hAnsi="微软雅黑" w:eastAsia="微软雅黑" w:cs="微软雅黑"/>
          <w:b/>
          <w:i w:val="0"/>
          <w:sz w:val="26"/>
        </w:rPr>
        <w:t>7. 美、法、英等30多个国家作出三倍核电承诺</w:t>
      </w:r>
    </w:p>
    <w:p>
      <w:pPr>
        <w:ind w:firstLine="420"/>
      </w:pPr>
      <w:r>
        <w:rPr>
          <w:rFonts w:ascii="微软雅黑" w:hAnsi="微软雅黑" w:eastAsia="微软雅黑" w:cs="微软雅黑"/>
        </w:rPr>
        <w:t xml:space="preserve">中国能源网报道提及，美、法、英等30多个国家已作出三倍核电承诺，反映出核能在全球能源转型中受到更多重视。不过，该表述属于报道中的背景信息，文中没有说明承诺的目标年份、基准口径和实际落实进度，不能将其直接理解为核电产能已经增加。 </w:t>
      </w:r>
      <w:hyperlink w:anchor="source-33073">
        <w:r>
          <w:rPr>
            <w:rFonts w:ascii="微软雅黑" w:hAnsi="微软雅黑" w:eastAsia="微软雅黑" w:cs="微软雅黑"/>
            <w:color w:val="087E89"/>
          </w:rPr>
          <w:t>6</w:t>
        </w:r>
      </w:hyperlink>
      <w:r>
        <w:rPr>
          <w:rFonts w:ascii="微软雅黑" w:hAnsi="微软雅黑" w:eastAsia="微软雅黑" w:cs="微软雅黑"/>
        </w:rPr>
      </w:r>
    </w:p>
    <w:p>
      <w:pPr>
        <w:pStyle w:val="Heading4"/>
        <w:spacing w:before="360" w:after="200" w:line="360" w:lineRule="auto"/>
      </w:pPr>
      <w:r>
        <w:rPr>
          <w:rFonts w:ascii="微软雅黑" w:hAnsi="微软雅黑" w:eastAsia="微软雅黑" w:cs="微软雅黑"/>
          <w:b/>
          <w:i w:val="0"/>
          <w:sz w:val="26"/>
        </w:rPr>
        <w:t>8. 俄气占欧洲消费降至11%，欧洲储气率约75%、额外能源开销1000亿欧元</w:t>
      </w:r>
    </w:p>
    <w:p>
      <w:pPr>
        <w:ind w:firstLine="420"/>
      </w:pPr>
      <w:r>
        <w:rPr>
          <w:rFonts w:ascii="微软雅黑" w:hAnsi="微软雅黑" w:eastAsia="微软雅黑" w:cs="微软雅黑"/>
        </w:rPr>
        <w:t xml:space="preserve">据新浪财经报道，俄气占欧洲天然气总消费的比重，由俄乌全面开战前夕的45%降至11%，美国液化天然气占欧洲消费的比重为30%。报道还援引欧盟及能源监管机构数据称，受对伊朗战事影响，欧洲额外增加了1000亿欧元能源开销，地下储气库填充率约75%。 </w:t>
      </w:r>
      <w:hyperlink w:anchor="source-33300">
        <w:r>
          <w:rPr>
            <w:rFonts w:ascii="微软雅黑" w:hAnsi="微软雅黑" w:eastAsia="微软雅黑" w:cs="微软雅黑"/>
            <w:color w:val="087E89"/>
          </w:rPr>
          <w:t>7</w:t>
        </w:r>
      </w:hyperlink>
      <w:r>
        <w:rPr>
          <w:rFonts w:ascii="微软雅黑" w:hAnsi="微软雅黑" w:eastAsia="微软雅黑" w:cs="微软雅黑"/>
        </w:rPr>
      </w:r>
    </w:p>
    <w:p>
      <w:pPr>
        <w:pStyle w:val="Heading4"/>
        <w:spacing w:before="360" w:after="200" w:line="360" w:lineRule="auto"/>
      </w:pPr>
      <w:r>
        <w:rPr>
          <w:rFonts w:ascii="微软雅黑" w:hAnsi="微软雅黑" w:eastAsia="微软雅黑" w:cs="微软雅黑"/>
          <w:b/>
          <w:i w:val="0"/>
          <w:sz w:val="26"/>
        </w:rPr>
        <w:t>9. 国际海事组织：10月霍尔木兹海峡记录约30起袭船事件，水雷清除说法互不一致</w:t>
      </w:r>
    </w:p>
    <w:p>
      <w:pPr>
        <w:ind w:firstLine="420"/>
      </w:pPr>
      <w:r>
        <w:rPr>
          <w:rFonts w:ascii="微软雅黑" w:hAnsi="微软雅黑" w:eastAsia="微软雅黑" w:cs="微软雅黑"/>
        </w:rPr>
        <w:t xml:space="preserve">据新华社报道，国际海事组织秘书长多明格斯2日表示，10月霍尔木兹海峡及周边海域记录约30起袭船事件，部分造成溢油或其他污染。受冲突影响，一些船舶遇袭的具体原因尚难查明，该组织也没有收到分道通航制水域内水雷已清除的确认信息，因此仍不建议船舶通行。伊朗、美军与该组织对触雷及清除情况的说法并不一致。 </w:t>
      </w:r>
      <w:hyperlink w:anchor="source-33311">
        <w:r>
          <w:rPr>
            <w:rFonts w:ascii="微软雅黑" w:hAnsi="微软雅黑" w:eastAsia="微软雅黑" w:cs="微软雅黑"/>
            <w:color w:val="087E89"/>
          </w:rPr>
          <w:t>8</w:t>
        </w:r>
      </w:hyperlink>
      <w:r>
        <w:rPr>
          <w:rFonts w:ascii="微软雅黑" w:hAnsi="微软雅黑" w:eastAsia="微软雅黑" w:cs="微软雅黑"/>
        </w:rPr>
      </w:r>
    </w:p>
    <w:p>
      <w:pPr>
        <w:pStyle w:val="Heading4"/>
        <w:spacing w:before="360" w:after="200" w:line="360" w:lineRule="auto"/>
      </w:pPr>
      <w:r>
        <w:rPr>
          <w:rFonts w:ascii="微软雅黑" w:hAnsi="微软雅黑" w:eastAsia="微软雅黑" w:cs="微软雅黑"/>
          <w:b/>
          <w:i w:val="0"/>
          <w:sz w:val="26"/>
        </w:rPr>
        <w:t>10. 德国选择党将恢复进口廉价俄气列为2028年大选核心纲领</w:t>
      </w:r>
    </w:p>
    <w:p>
      <w:pPr>
        <w:ind w:firstLine="420"/>
      </w:pPr>
      <w:r>
        <w:rPr>
          <w:rFonts w:ascii="微软雅黑" w:hAnsi="微软雅黑" w:eastAsia="微软雅黑" w:cs="微软雅黑"/>
        </w:rPr>
        <w:t xml:space="preserve">据新浪财经报道，德国选择党已把恢复进口廉价俄罗斯天然气列为2028年大选的核心竞选主张。相关内容仍处于政党的竞选纲领阶段。 </w:t>
      </w:r>
      <w:hyperlink w:anchor="source-33300">
        <w:r>
          <w:rPr>
            <w:rFonts w:ascii="微软雅黑" w:hAnsi="微软雅黑" w:eastAsia="微软雅黑" w:cs="微软雅黑"/>
            <w:color w:val="087E89"/>
          </w:rPr>
          <w:t>7</w:t>
        </w:r>
      </w:hyperlink>
      <w:r>
        <w:rPr>
          <w:rFonts w:ascii="微软雅黑" w:hAnsi="微软雅黑" w:eastAsia="微软雅黑" w:cs="微软雅黑"/>
        </w:rPr>
      </w:r>
    </w:p>
    <w:p>
      <w:pPr>
        <w:pStyle w:val="Heading4"/>
        <w:spacing w:before="360" w:after="200" w:line="360" w:lineRule="auto"/>
      </w:pPr>
      <w:r>
        <w:rPr>
          <w:rFonts w:ascii="微软雅黑" w:hAnsi="微软雅黑" w:eastAsia="微软雅黑" w:cs="微软雅黑"/>
          <w:b/>
          <w:i w:val="0"/>
          <w:sz w:val="26"/>
        </w:rPr>
        <w:t>11. 白宫筹划绕开欧盟制裁转运俄罗斯天然气以缓解欧洲柴油紧缺</w:t>
      </w:r>
    </w:p>
    <w:p>
      <w:pPr>
        <w:ind w:firstLine="420"/>
      </w:pPr>
      <w:r>
        <w:rPr>
          <w:rFonts w:ascii="微软雅黑" w:hAnsi="微软雅黑" w:eastAsia="微软雅黑" w:cs="微软雅黑"/>
        </w:rPr>
        <w:t xml:space="preserve">据汇通财经报道，美方在推动俄乌局部人道停火的同时，正筹划通过中间商转运俄罗斯天然气，试图绕开欧盟制裁，缓解欧洲柴油紧缺及其带来的能源市场压力。相关安排仍处于筹划阶段，报道没有披露具体中间商、交易规模、合同条件和执行时间表。 </w:t>
      </w:r>
      <w:hyperlink w:anchor="source-33035">
        <w:r>
          <w:rPr>
            <w:rFonts w:ascii="微软雅黑" w:hAnsi="微软雅黑" w:eastAsia="微软雅黑" w:cs="微软雅黑"/>
            <w:color w:val="087E89"/>
          </w:rPr>
          <w:t>10</w:t>
        </w:r>
      </w:hyperlink>
      <w:r>
        <w:rPr>
          <w:rFonts w:ascii="微软雅黑" w:hAnsi="微软雅黑" w:eastAsia="微软雅黑" w:cs="微软雅黑"/>
        </w:rPr>
      </w:r>
    </w:p>
    <w:p>
      <w:pPr>
        <w:pStyle w:val="Heading4"/>
        <w:spacing w:before="360" w:after="200" w:line="360" w:lineRule="auto"/>
      </w:pPr>
      <w:r>
        <w:rPr>
          <w:rFonts w:ascii="微软雅黑" w:hAnsi="微软雅黑" w:eastAsia="微软雅黑" w:cs="微软雅黑"/>
          <w:b/>
          <w:i w:val="0"/>
          <w:sz w:val="26"/>
        </w:rPr>
        <w:t>12. 乌克兰重启空袭，三天袭击俄三座大型炼油厂，俄方同期轰炸乌能源设施</w:t>
      </w:r>
    </w:p>
    <w:p>
      <w:pPr>
        <w:ind w:firstLine="420"/>
      </w:pPr>
      <w:r>
        <w:rPr>
          <w:rFonts w:ascii="微软雅黑" w:hAnsi="微软雅黑" w:eastAsia="微软雅黑" w:cs="微软雅黑"/>
        </w:rPr>
        <w:t xml:space="preserve">据新浪财经报道，乌克兰上周五恢复空袭，过去三天接连打击俄罗斯三座大型炼油厂；此前暂停打击近两周期间，俄方持续轰炸乌克兰能源设施。报道未披露受袭炼厂的名称、产能和损毁程度，实际减产规模仍需后续数据确认。报道另称，美俄乌三方计划于11月中旬在阿布扎比举行和平谈判，希望先就能源领域停火取得进展。 </w:t>
      </w:r>
      <w:hyperlink w:anchor="source-33300">
        <w:r>
          <w:rPr>
            <w:rFonts w:ascii="微软雅黑" w:hAnsi="微软雅黑" w:eastAsia="微软雅黑" w:cs="微软雅黑"/>
            <w:color w:val="087E89"/>
          </w:rPr>
          <w:t>7</w:t>
        </w:r>
      </w:hyperlink>
      <w:r>
        <w:rPr>
          <w:rFonts w:ascii="微软雅黑" w:hAnsi="微软雅黑" w:eastAsia="微软雅黑" w:cs="微软雅黑"/>
        </w:rPr>
        <w:t xml:space="preserve"> </w:t>
      </w:r>
      <w:hyperlink w:anchor="source-32725">
        <w:r>
          <w:rPr>
            <w:rFonts w:ascii="微软雅黑" w:hAnsi="微软雅黑" w:eastAsia="微软雅黑" w:cs="微软雅黑"/>
            <w:color w:val="087E89"/>
          </w:rPr>
          <w:t>11</w:t>
        </w:r>
      </w:hyperlink>
      <w:r>
        <w:rPr>
          <w:rFonts w:ascii="微软雅黑" w:hAnsi="微软雅黑" w:eastAsia="微软雅黑" w:cs="微软雅黑"/>
        </w:rPr>
      </w:r>
    </w:p>
    <w:p>
      <w:pPr>
        <w:pStyle w:val="Heading3"/>
        <w:spacing w:before="360" w:after="200" w:line="360" w:lineRule="auto"/>
      </w:pPr>
      <w:r>
        <w:rPr>
          <w:rFonts w:ascii="微软雅黑" w:hAnsi="微软雅黑" w:eastAsia="微软雅黑" w:cs="微软雅黑"/>
          <w:b/>
          <w:i w:val="0"/>
          <w:sz w:val="26"/>
        </w:rPr>
        <w:t>中国能源动态</w:t>
      </w:r>
    </w:p>
    <w:p>
      <w:pPr>
        <w:pStyle w:val="Heading4"/>
        <w:spacing w:before="360" w:after="200" w:line="360" w:lineRule="auto"/>
      </w:pPr>
      <w:r>
        <w:rPr>
          <w:rFonts w:ascii="微软雅黑" w:hAnsi="微软雅黑" w:eastAsia="微软雅黑" w:cs="微软雅黑"/>
          <w:b/>
          <w:i w:val="0"/>
          <w:sz w:val="26"/>
        </w:rPr>
        <w:t>13. 晶科能源拟2026年底建成40GW一级能效产能并设定激励目标</w:t>
      </w:r>
    </w:p>
    <w:p>
      <w:pPr>
        <w:ind w:firstLine="420"/>
      </w:pPr>
      <w:r>
        <w:rPr>
          <w:rFonts w:ascii="微软雅黑" w:hAnsi="微软雅黑" w:eastAsia="微软雅黑" w:cs="微软雅黑"/>
        </w:rPr>
        <w:t xml:space="preserve">据Mysteel报道，晶科能源计划在2026年底建成40GW国家级一级能效标准产能。其2026年限制性股票激励计划同时设置净利润、现金流考核，提出2026年减亏不低于50%、2027年实现30亿元净利润的目标。上述产能和盈利数字均为规划或考核目标，不代表已经建成的产能或已经实现的利润。 </w:t>
      </w:r>
      <w:hyperlink w:anchor="source-32987">
        <w:r>
          <w:rPr>
            <w:rFonts w:ascii="微软雅黑" w:hAnsi="微软雅黑" w:eastAsia="微软雅黑" w:cs="微软雅黑"/>
            <w:color w:val="087E89"/>
          </w:rPr>
          <w:t>9</w:t>
        </w:r>
      </w:hyperlink>
      <w:r>
        <w:rPr>
          <w:rFonts w:ascii="微软雅黑" w:hAnsi="微软雅黑" w:eastAsia="微软雅黑" w:cs="微软雅黑"/>
        </w:rPr>
      </w:r>
    </w:p>
    <w:p>
      <w:pPr>
        <w:pStyle w:val="Heading4"/>
        <w:spacing w:before="360" w:after="200" w:line="360" w:lineRule="auto"/>
      </w:pPr>
      <w:r>
        <w:rPr>
          <w:rFonts w:ascii="微软雅黑" w:hAnsi="微软雅黑" w:eastAsia="微软雅黑" w:cs="微软雅黑"/>
          <w:b/>
          <w:i w:val="0"/>
          <w:sz w:val="26"/>
        </w:rPr>
        <w:t>14. 可再生能源法修订草案提请初次审议，涉及市场交易、价格与消纳机制</w:t>
      </w:r>
    </w:p>
    <w:p>
      <w:pPr>
        <w:ind w:firstLine="420"/>
      </w:pPr>
      <w:r>
        <w:rPr>
          <w:rFonts w:ascii="微软雅黑" w:hAnsi="微软雅黑" w:eastAsia="微软雅黑" w:cs="微软雅黑"/>
        </w:rPr>
        <w:t xml:space="preserve">据中新网转引的新华社报道，11月2日，可再生能源法修订草案提请全国人大常委会初次审议。草案拟完善可再生能源开发建设、生产输送、市场交易与价格机制，并强化消纳责任和消费促进。这次修订涉及新能源从开发到消费的多个环节，仍处于草案审议阶段，相关制度安排尚不能作为已经生效的规则。 </w:t>
      </w:r>
      <w:hyperlink w:anchor="source-32685">
        <w:r>
          <w:rPr>
            <w:rFonts w:ascii="微软雅黑" w:hAnsi="微软雅黑" w:eastAsia="微软雅黑" w:cs="微软雅黑"/>
            <w:color w:val="087E89"/>
          </w:rPr>
          <w:t>12</w:t>
        </w:r>
      </w:hyperlink>
      <w:r>
        <w:rPr>
          <w:rFonts w:ascii="微软雅黑" w:hAnsi="微软雅黑" w:eastAsia="微软雅黑" w:cs="微软雅黑"/>
        </w:rPr>
      </w:r>
    </w:p>
    <w:p>
      <w:pPr>
        <w:pStyle w:val="Heading4"/>
        <w:spacing w:before="360" w:after="200" w:line="360" w:lineRule="auto"/>
      </w:pPr>
      <w:r>
        <w:rPr>
          <w:rFonts w:ascii="微软雅黑" w:hAnsi="微软雅黑" w:eastAsia="微软雅黑" w:cs="微软雅黑"/>
          <w:b/>
          <w:i w:val="0"/>
          <w:sz w:val="26"/>
        </w:rPr>
        <w:t>15. 重庆启动2027年度新能源机制电价竞价，风电与光伏分别出清</w:t>
      </w:r>
    </w:p>
    <w:p>
      <w:pPr>
        <w:ind w:firstLine="420"/>
      </w:pPr>
      <w:r>
        <w:rPr>
          <w:rFonts w:ascii="微软雅黑" w:hAnsi="微软雅黑" w:eastAsia="微软雅黑" w:cs="微软雅黑"/>
        </w:rPr>
        <w:t xml:space="preserve">据中国能源新闻网报道，重庆已启动2027年度新能源机制电价竞价，风电、光伏分别竞价和出清。全年机制电量规模为36.75亿千瓦时，竞价上下限为每千瓦时0.39元和0.20元，机制电价执行期为12年。参与项目须满足规定并网时段，且未纳入过机制电价执行范围；分布式项目还需扣减最低自发自用电量比例。上述价格是申报边界，最终项目电价仍取决于竞价出清结果。 </w:t>
      </w:r>
      <w:hyperlink w:anchor="source-33005">
        <w:r>
          <w:rPr>
            <w:rFonts w:ascii="微软雅黑" w:hAnsi="微软雅黑" w:eastAsia="微软雅黑" w:cs="微软雅黑"/>
            <w:color w:val="087E89"/>
          </w:rPr>
          <w:t>13</w:t>
        </w:r>
      </w:hyperlink>
      <w:r>
        <w:rPr>
          <w:rFonts w:ascii="微软雅黑" w:hAnsi="微软雅黑" w:eastAsia="微软雅黑" w:cs="微软雅黑"/>
        </w:rPr>
      </w:r>
    </w:p>
    <w:p>
      <w:pPr>
        <w:pStyle w:val="Heading4"/>
        <w:spacing w:before="360" w:after="200" w:line="360" w:lineRule="auto"/>
      </w:pPr>
      <w:r>
        <w:rPr>
          <w:rFonts w:ascii="微软雅黑" w:hAnsi="微软雅黑" w:eastAsia="微软雅黑" w:cs="微软雅黑"/>
          <w:b/>
          <w:i w:val="0"/>
          <w:sz w:val="26"/>
        </w:rPr>
        <w:t>16. 纯锂新能源湖口1GWh固态电池基地投产，采用聚合物工艺路线</w:t>
      </w:r>
    </w:p>
    <w:p>
      <w:pPr>
        <w:ind w:firstLine="420"/>
      </w:pPr>
      <w:r>
        <w:rPr>
          <w:rFonts w:ascii="微软雅黑" w:hAnsi="微软雅黑" w:eastAsia="微软雅黑" w:cs="微软雅黑"/>
        </w:rPr>
        <w:t xml:space="preserve">据中国能源网转载的北极星电池网报道，纯锂新能源湖口1GWh固态电池智造基地已投产，采用聚合物工艺路线。报道将其作为固态电池产业化进展之一，但未披露项目具体投产日期、实际产量和出货数据。1GWh为基地规模表述，不能据此认定已形成同等规模的实际交付。 </w:t>
      </w:r>
      <w:hyperlink w:anchor="source-33189">
        <w:r>
          <w:rPr>
            <w:rFonts w:ascii="微软雅黑" w:hAnsi="微软雅黑" w:eastAsia="微软雅黑" w:cs="微软雅黑"/>
            <w:color w:val="087E89"/>
          </w:rPr>
          <w:t>5</w:t>
        </w:r>
      </w:hyperlink>
      <w:r>
        <w:rPr>
          <w:rFonts w:ascii="微软雅黑" w:hAnsi="微软雅黑" w:eastAsia="微软雅黑" w:cs="微软雅黑"/>
        </w:rPr>
      </w:r>
    </w:p>
    <w:p>
      <w:pPr>
        <w:pStyle w:val="Heading2"/>
      </w:pPr>
      <w:r>
        <w:rPr>
          <w:rFonts w:ascii="微软雅黑" w:hAnsi="微软雅黑" w:eastAsia="微软雅黑" w:cs="微软雅黑"/>
        </w:rPr>
        <w:t>关键数据与产业信号</w:t>
      </w:r>
    </w:p>
    <w:p>
      <w:pPr>
        <w:ind w:firstLine="420"/>
      </w:pPr>
      <w:r>
        <w:rPr>
          <w:rFonts w:ascii="微软雅黑" w:hAnsi="微软雅黑" w:eastAsia="微软雅黑" w:cs="微软雅黑"/>
        </w:rPr>
        <w:t>本期没有同时具备可靠来源、日期和统计口径的关键数据，不补填估算值。</w:t>
      </w:r>
    </w:p>
    <w:p>
      <w:pPr>
        <w:pStyle w:val="Heading2"/>
      </w:pPr>
      <w:r>
        <w:rPr>
          <w:rFonts w:ascii="微软雅黑" w:hAnsi="微软雅黑" w:eastAsia="微软雅黑" w:cs="微软雅黑"/>
        </w:rPr>
        <w:t>持续跟踪</w:t>
      </w:r>
    </w:p>
    <w:p>
      <w:pPr>
        <w:pStyle w:val="Heading3"/>
        <w:spacing w:before="360" w:after="200" w:line="360" w:lineRule="auto"/>
      </w:pPr>
      <w:r>
        <w:rPr>
          <w:rFonts w:ascii="微软雅黑" w:hAnsi="微软雅黑" w:eastAsia="微软雅黑" w:cs="微软雅黑"/>
          <w:b/>
          <w:i w:val="0"/>
          <w:sz w:val="26"/>
        </w:rPr>
        <w:t>伊朗“两天计划”与美方回应</w:t>
      </w:r>
    </w:p>
    <w:p>
      <w:pPr>
        <w:ind w:firstLine="420"/>
      </w:pPr>
      <w:r>
        <w:rPr>
          <w:rFonts w:ascii="微软雅黑" w:hAnsi="微软雅黑" w:eastAsia="微软雅黑" w:cs="微软雅黑"/>
        </w:rPr>
        <w:t xml:space="preserve">接下来重点看美方是否正式回应条件清单，以及多哈会谈能否就履约先后顺序达成一致。方案把海峡重开与制裁解除、资金解冻相互关联，其进展有助于判断航运与能源供应风险能否缓解。 </w:t>
      </w:r>
      <w:hyperlink w:anchor="source-32683">
        <w:r>
          <w:rPr>
            <w:rFonts w:ascii="微软雅黑" w:hAnsi="微软雅黑" w:eastAsia="微软雅黑" w:cs="微软雅黑"/>
            <w:color w:val="087E89"/>
          </w:rPr>
          <w:t>1</w:t>
        </w:r>
      </w:hyperlink>
      <w:r>
        <w:rPr>
          <w:rFonts w:ascii="微软雅黑" w:hAnsi="微软雅黑" w:eastAsia="微软雅黑" w:cs="微软雅黑"/>
        </w:rPr>
        <w:t xml:space="preserve"> </w:t>
      </w:r>
      <w:hyperlink w:anchor="source-32671">
        <w:r>
          <w:rPr>
            <w:rFonts w:ascii="微软雅黑" w:hAnsi="微软雅黑" w:eastAsia="微软雅黑" w:cs="微软雅黑"/>
            <w:color w:val="087E89"/>
          </w:rPr>
          <w:t>2</w:t>
        </w:r>
      </w:hyperlink>
      <w:r>
        <w:rPr>
          <w:rFonts w:ascii="微软雅黑" w:hAnsi="微软雅黑" w:eastAsia="微软雅黑" w:cs="微软雅黑"/>
        </w:rPr>
      </w:r>
    </w:p>
    <w:p>
      <w:pPr>
        <w:pStyle w:val="Heading2"/>
      </w:pPr>
      <w:r>
        <w:rPr>
          <w:rFonts w:ascii="微软雅黑" w:hAnsi="微软雅黑" w:eastAsia="微软雅黑" w:cs="微软雅黑"/>
        </w:rPr>
        <w:t>资料覆盖说明</w:t>
      </w:r>
    </w:p>
    <w:p>
      <w:pPr>
        <w:ind w:firstLine="420"/>
      </w:pPr>
      <w:r>
        <w:rPr>
          <w:rFonts w:ascii="微软雅黑" w:hAnsi="微软雅黑" w:eastAsia="微软雅黑" w:cs="微软雅黑"/>
        </w:rPr>
        <w:t>候选范围 371 篇；正文引用 13 篇来源，整理 16 个独立事件。</w:t>
      </w:r>
    </w:p>
    <w:p>
      <w:pPr>
        <w:pStyle w:val="Heading2"/>
      </w:pPr>
      <w:r>
        <w:rPr>
          <w:rFonts w:ascii="微软雅黑" w:hAnsi="微软雅黑" w:eastAsia="微软雅黑" w:cs="微软雅黑"/>
        </w:rPr>
        <w:t>资料来源</w:t>
      </w:r>
    </w:p>
    <w:p>
      <w:pPr>
        <w:keepNext/>
        <w:spacing w:after="0" w:line="20" w:lineRule="exact"/>
      </w:pPr>
      <w:bookmarkStart w:id="1" w:name="source-32683"/>
      <w:bookmarkEnd w:id="1" w:name="source-32683"/>
    </w:p>
    <w:p>
      <w:pPr>
        <w:pStyle w:val="ListBullet"/>
        <w:keepNext w:val="0"/>
        <w:spacing w:after="80" w:line="276" w:lineRule="auto"/>
        <w:ind w:firstLine="0"/>
      </w:pPr>
      <w:r>
        <w:rPr>
          <w:rFonts w:ascii="微软雅黑" w:hAnsi="微软雅黑" w:eastAsia="微软雅黑" w:cs="微软雅黑"/>
        </w:rPr>
        <w:t>[1] 汇通财经｜</w:t>
      </w:r>
      <w:hyperlink r:id="rId11">
        <w:r>
          <w:rPr>
            <w:rFonts w:ascii="微软雅黑" w:hAnsi="微软雅黑" w:eastAsia="微软雅黑" w:cs="微软雅黑"/>
            <w:color w:val="087E89"/>
          </w:rPr>
          <w:t>特朗普称美仍需处理伊朗一两个目标，卡塔尔调解推进油价回落逾2%</w:t>
        </w:r>
      </w:hyperlink>
      <w:r>
        <w:rPr>
          <w:rFonts w:ascii="微软雅黑" w:hAnsi="微软雅黑" w:eastAsia="微软雅黑" w:cs="微软雅黑"/>
        </w:rPr>
      </w:r>
    </w:p>
    <w:p>
      <w:pPr>
        <w:keepNext/>
        <w:spacing w:after="0" w:line="20" w:lineRule="exact"/>
      </w:pPr>
      <w:bookmarkStart w:id="2" w:name="source-32671"/>
      <w:bookmarkEnd w:id="2" w:name="source-32671"/>
    </w:p>
    <w:p>
      <w:pPr>
        <w:pStyle w:val="ListBullet"/>
        <w:keepNext w:val="0"/>
        <w:spacing w:after="80" w:line="276" w:lineRule="auto"/>
        <w:ind w:firstLine="0"/>
      </w:pPr>
      <w:r>
        <w:rPr>
          <w:rFonts w:ascii="微软雅黑" w:hAnsi="微软雅黑" w:eastAsia="微软雅黑" w:cs="微软雅黑"/>
        </w:rPr>
        <w:t>[2] 新浪财经｜</w:t>
      </w:r>
      <w:hyperlink r:id="rId12">
        <w:r>
          <w:rPr>
            <w:rFonts w:ascii="微软雅黑" w:hAnsi="微软雅黑" w:eastAsia="微软雅黑" w:cs="微软雅黑"/>
            <w:color w:val="087E89"/>
          </w:rPr>
          <w:t>海湾国家急阻美以重启对伊打击！伊朗警告报复不设地域限制，下一轮战争恐更具破坏性</w:t>
        </w:r>
      </w:hyperlink>
      <w:r>
        <w:rPr>
          <w:rFonts w:ascii="微软雅黑" w:hAnsi="微软雅黑" w:eastAsia="微软雅黑" w:cs="微软雅黑"/>
        </w:rPr>
      </w:r>
    </w:p>
    <w:p>
      <w:pPr>
        <w:keepNext/>
        <w:spacing w:after="0" w:line="20" w:lineRule="exact"/>
      </w:pPr>
      <w:bookmarkStart w:id="3" w:name="source-32722"/>
      <w:bookmarkEnd w:id="3" w:name="source-32722"/>
    </w:p>
    <w:p>
      <w:pPr>
        <w:pStyle w:val="ListBullet"/>
        <w:keepNext w:val="0"/>
        <w:spacing w:after="80" w:line="276" w:lineRule="auto"/>
        <w:ind w:firstLine="0"/>
      </w:pPr>
      <w:r>
        <w:rPr>
          <w:rFonts w:ascii="微软雅黑" w:hAnsi="微软雅黑" w:eastAsia="微软雅黑" w:cs="微软雅黑"/>
        </w:rPr>
        <w:t>[3] 人民日报｜</w:t>
      </w:r>
      <w:hyperlink r:id="rId13">
        <w:r>
          <w:rPr>
            <w:rFonts w:ascii="微软雅黑" w:hAnsi="微软雅黑" w:eastAsia="微软雅黑" w:cs="微软雅黑"/>
            <w:color w:val="087E89"/>
          </w:rPr>
          <w:t>中国为全球能源转型提供有力支撑</w:t>
        </w:r>
      </w:hyperlink>
      <w:r>
        <w:rPr>
          <w:rFonts w:ascii="微软雅黑" w:hAnsi="微软雅黑" w:eastAsia="微软雅黑" w:cs="微软雅黑"/>
        </w:rPr>
      </w:r>
    </w:p>
    <w:p>
      <w:pPr>
        <w:keepNext/>
        <w:spacing w:after="0" w:line="20" w:lineRule="exact"/>
      </w:pPr>
      <w:bookmarkStart w:id="4" w:name="source-33263"/>
      <w:bookmarkEnd w:id="4" w:name="source-33263"/>
    </w:p>
    <w:p>
      <w:pPr>
        <w:pStyle w:val="ListBullet"/>
        <w:keepNext w:val="0"/>
        <w:spacing w:after="80" w:line="276" w:lineRule="auto"/>
        <w:ind w:firstLine="0"/>
      </w:pPr>
      <w:r>
        <w:rPr>
          <w:rFonts w:ascii="微软雅黑" w:hAnsi="微软雅黑" w:eastAsia="微软雅黑" w:cs="微软雅黑"/>
        </w:rPr>
        <w:t>[4] Interfax｜</w:t>
      </w:r>
      <w:hyperlink r:id="rId14">
        <w:r>
          <w:rPr>
            <w:rFonts w:ascii="微软雅黑" w:hAnsi="微软雅黑" w:eastAsia="微软雅黑" w:cs="微软雅黑"/>
            <w:color w:val="087E89"/>
          </w:rPr>
          <w:t>Гендиректор ADNOC призвал к расширению стратегических поставок нефти</w:t>
        </w:r>
      </w:hyperlink>
      <w:r>
        <w:rPr>
          <w:rFonts w:ascii="微软雅黑" w:hAnsi="微软雅黑" w:eastAsia="微软雅黑" w:cs="微软雅黑"/>
        </w:rPr>
      </w:r>
    </w:p>
    <w:p>
      <w:pPr>
        <w:keepNext/>
        <w:spacing w:after="0" w:line="20" w:lineRule="exact"/>
      </w:pPr>
      <w:bookmarkStart w:id="5" w:name="source-33189"/>
      <w:bookmarkEnd w:id="5" w:name="source-33189"/>
    </w:p>
    <w:p>
      <w:pPr>
        <w:pStyle w:val="ListBullet"/>
        <w:keepNext w:val="0"/>
        <w:spacing w:after="80" w:line="276" w:lineRule="auto"/>
        <w:ind w:firstLine="0"/>
      </w:pPr>
      <w:r>
        <w:rPr>
          <w:rFonts w:ascii="微软雅黑" w:hAnsi="微软雅黑" w:eastAsia="微软雅黑" w:cs="微软雅黑"/>
        </w:rPr>
        <w:t>[5] 中国能源网｜</w:t>
      </w:r>
      <w:hyperlink r:id="rId15">
        <w:r>
          <w:rPr>
            <w:rFonts w:ascii="微软雅黑" w:hAnsi="微软雅黑" w:eastAsia="微软雅黑" w:cs="微软雅黑"/>
            <w:color w:val="087E89"/>
          </w:rPr>
          <w:t>“量产”逼近，固态电池开讲“春天的故事”</w:t>
        </w:r>
      </w:hyperlink>
      <w:r>
        <w:rPr>
          <w:rFonts w:ascii="微软雅黑" w:hAnsi="微软雅黑" w:eastAsia="微软雅黑" w:cs="微软雅黑"/>
        </w:rPr>
      </w:r>
    </w:p>
    <w:p>
      <w:pPr>
        <w:keepNext/>
        <w:spacing w:after="0" w:line="20" w:lineRule="exact"/>
      </w:pPr>
      <w:bookmarkStart w:id="6" w:name="source-33073"/>
      <w:bookmarkEnd w:id="6" w:name="source-33073"/>
    </w:p>
    <w:p>
      <w:pPr>
        <w:pStyle w:val="ListBullet"/>
        <w:keepNext w:val="0"/>
        <w:spacing w:after="80" w:line="276" w:lineRule="auto"/>
        <w:ind w:firstLine="0"/>
      </w:pPr>
      <w:r>
        <w:rPr>
          <w:rFonts w:ascii="微软雅黑" w:hAnsi="微软雅黑" w:eastAsia="微软雅黑" w:cs="微软雅黑"/>
        </w:rPr>
        <w:t>[6] 中国能源网｜</w:t>
      </w:r>
      <w:hyperlink r:id="rId16">
        <w:r>
          <w:rPr>
            <w:rFonts w:ascii="微软雅黑" w:hAnsi="微软雅黑" w:eastAsia="微软雅黑" w:cs="微软雅黑"/>
            <w:color w:val="087E89"/>
          </w:rPr>
          <w:t>走进核岛，探寻中国三代核电的安全底气</w:t>
        </w:r>
      </w:hyperlink>
      <w:r>
        <w:rPr>
          <w:rFonts w:ascii="微软雅黑" w:hAnsi="微软雅黑" w:eastAsia="微软雅黑" w:cs="微软雅黑"/>
        </w:rPr>
      </w:r>
    </w:p>
    <w:p>
      <w:pPr>
        <w:keepNext/>
        <w:spacing w:after="0" w:line="20" w:lineRule="exact"/>
      </w:pPr>
      <w:bookmarkStart w:id="7" w:name="source-33300"/>
      <w:bookmarkEnd w:id="7" w:name="source-33300"/>
    </w:p>
    <w:p>
      <w:pPr>
        <w:pStyle w:val="ListBullet"/>
        <w:keepNext w:val="0"/>
        <w:spacing w:after="80" w:line="276" w:lineRule="auto"/>
        <w:ind w:firstLine="0"/>
      </w:pPr>
      <w:r>
        <w:rPr>
          <w:rFonts w:ascii="微软雅黑" w:hAnsi="微软雅黑" w:eastAsia="微软雅黑" w:cs="微软雅黑"/>
        </w:rPr>
        <w:t>[7] 新浪财经美股市场（经济）｜</w:t>
      </w:r>
      <w:hyperlink r:id="rId17">
        <w:r>
          <w:rPr>
            <w:rFonts w:ascii="微软雅黑" w:hAnsi="微软雅黑" w:eastAsia="微软雅黑" w:cs="微软雅黑"/>
            <w:color w:val="087E89"/>
          </w:rPr>
          <w:t>美国推动恢复俄罗斯经乌克兰向欧洲输送天然气</w:t>
        </w:r>
      </w:hyperlink>
      <w:r>
        <w:rPr>
          <w:rFonts w:ascii="微软雅黑" w:hAnsi="微软雅黑" w:eastAsia="微软雅黑" w:cs="微软雅黑"/>
        </w:rPr>
      </w:r>
    </w:p>
    <w:p>
      <w:pPr>
        <w:keepNext/>
        <w:spacing w:after="0" w:line="20" w:lineRule="exact"/>
      </w:pPr>
      <w:bookmarkStart w:id="8" w:name="source-33311"/>
      <w:bookmarkEnd w:id="8" w:name="source-33311"/>
    </w:p>
    <w:p>
      <w:pPr>
        <w:pStyle w:val="ListBullet"/>
        <w:keepNext w:val="0"/>
        <w:spacing w:after="80" w:line="276" w:lineRule="auto"/>
        <w:ind w:firstLine="0"/>
      </w:pPr>
      <w:r>
        <w:rPr>
          <w:rFonts w:ascii="微软雅黑" w:hAnsi="微软雅黑" w:eastAsia="微软雅黑" w:cs="微软雅黑"/>
        </w:rPr>
        <w:t>[8] 新华社国际要闻（战略与能源）｜</w:t>
      </w:r>
      <w:hyperlink r:id="rId18">
        <w:r>
          <w:rPr>
            <w:rFonts w:ascii="微软雅黑" w:hAnsi="微软雅黑" w:eastAsia="微软雅黑" w:cs="微软雅黑"/>
            <w:color w:val="087E89"/>
          </w:rPr>
          <w:t>国际海事组织：仍不建议船舶在霍尔木兹海峡航行</w:t>
        </w:r>
      </w:hyperlink>
      <w:r>
        <w:rPr>
          <w:rFonts w:ascii="微软雅黑" w:hAnsi="微软雅黑" w:eastAsia="微软雅黑" w:cs="微软雅黑"/>
        </w:rPr>
      </w:r>
    </w:p>
    <w:p>
      <w:pPr>
        <w:keepNext/>
        <w:spacing w:after="0" w:line="20" w:lineRule="exact"/>
      </w:pPr>
      <w:bookmarkStart w:id="9" w:name="source-32987"/>
      <w:bookmarkEnd w:id="9" w:name="source-32987"/>
    </w:p>
    <w:p>
      <w:pPr>
        <w:pStyle w:val="ListBullet"/>
        <w:keepNext w:val="0"/>
        <w:spacing w:after="80" w:line="276" w:lineRule="auto"/>
        <w:ind w:firstLine="0"/>
      </w:pPr>
      <w:r>
        <w:rPr>
          <w:rFonts w:ascii="微软雅黑" w:hAnsi="微软雅黑" w:eastAsia="微软雅黑" w:cs="微软雅黑"/>
        </w:rPr>
        <w:t>[9] Mysteel｜</w:t>
      </w:r>
      <w:hyperlink r:id="rId19">
        <w:r>
          <w:rPr>
            <w:rFonts w:ascii="微软雅黑" w:hAnsi="微软雅黑" w:eastAsia="微软雅黑" w:cs="微软雅黑"/>
            <w:color w:val="087E89"/>
          </w:rPr>
          <w:t>从减亏到提效：晶科能源三季报折射光伏行业价值竞争回归</w:t>
        </w:r>
      </w:hyperlink>
      <w:r>
        <w:rPr>
          <w:rFonts w:ascii="微软雅黑" w:hAnsi="微软雅黑" w:eastAsia="微软雅黑" w:cs="微软雅黑"/>
        </w:rPr>
      </w:r>
    </w:p>
    <w:p>
      <w:pPr>
        <w:keepNext/>
        <w:spacing w:after="0" w:line="20" w:lineRule="exact"/>
      </w:pPr>
      <w:bookmarkStart w:id="10" w:name="source-33035"/>
      <w:bookmarkEnd w:id="10" w:name="source-33035"/>
    </w:p>
    <w:p>
      <w:pPr>
        <w:pStyle w:val="ListBullet"/>
        <w:keepNext w:val="0"/>
        <w:spacing w:after="80" w:line="276" w:lineRule="auto"/>
        <w:ind w:firstLine="0"/>
      </w:pPr>
      <w:r>
        <w:rPr>
          <w:rFonts w:ascii="微软雅黑" w:hAnsi="微软雅黑" w:eastAsia="微软雅黑" w:cs="微软雅黑"/>
        </w:rPr>
        <w:t>[10] 汇通财经｜</w:t>
      </w:r>
      <w:hyperlink r:id="rId20">
        <w:r>
          <w:rPr>
            <w:rFonts w:ascii="微软雅黑" w:hAnsi="微软雅黑" w:eastAsia="微软雅黑" w:cs="微软雅黑"/>
            <w:color w:val="087E89"/>
          </w:rPr>
          <w:t>美伊谈判第三天油价缓和，利好扎堆但分歧难解</w:t>
        </w:r>
      </w:hyperlink>
      <w:r>
        <w:rPr>
          <w:rFonts w:ascii="微软雅黑" w:hAnsi="微软雅黑" w:eastAsia="微软雅黑" w:cs="微软雅黑"/>
        </w:rPr>
      </w:r>
    </w:p>
    <w:p>
      <w:pPr>
        <w:keepNext/>
        <w:spacing w:after="0" w:line="20" w:lineRule="exact"/>
      </w:pPr>
      <w:bookmarkStart w:id="11" w:name="source-32725"/>
      <w:bookmarkEnd w:id="11" w:name="source-32725"/>
    </w:p>
    <w:p>
      <w:pPr>
        <w:pStyle w:val="ListBullet"/>
        <w:keepNext w:val="0"/>
        <w:spacing w:after="80" w:line="276" w:lineRule="auto"/>
        <w:ind w:firstLine="0"/>
      </w:pPr>
      <w:r>
        <w:rPr>
          <w:rFonts w:ascii="微软雅黑" w:hAnsi="微软雅黑" w:eastAsia="微软雅黑" w:cs="微软雅黑"/>
        </w:rPr>
        <w:t>[11] 新浪财经美股市场（经济）｜</w:t>
      </w:r>
      <w:hyperlink r:id="rId21">
        <w:r>
          <w:rPr>
            <w:rFonts w:ascii="微软雅黑" w:hAnsi="微软雅黑" w:eastAsia="微软雅黑" w:cs="微软雅黑"/>
            <w:color w:val="087E89"/>
          </w:rPr>
          <w:t>美国推动俄天然气经乌克兰管道恢复对欧销售 遭欧洲多国反对</w:t>
        </w:r>
      </w:hyperlink>
      <w:r>
        <w:rPr>
          <w:rFonts w:ascii="微软雅黑" w:hAnsi="微软雅黑" w:eastAsia="微软雅黑" w:cs="微软雅黑"/>
        </w:rPr>
      </w:r>
    </w:p>
    <w:p>
      <w:pPr>
        <w:keepNext/>
        <w:spacing w:after="0" w:line="20" w:lineRule="exact"/>
      </w:pPr>
      <w:bookmarkStart w:id="12" w:name="source-32685"/>
      <w:bookmarkEnd w:id="12" w:name="source-32685"/>
    </w:p>
    <w:p>
      <w:pPr>
        <w:pStyle w:val="ListBullet"/>
        <w:keepNext w:val="0"/>
        <w:spacing w:after="80" w:line="276" w:lineRule="auto"/>
        <w:ind w:firstLine="0"/>
      </w:pPr>
      <w:r>
        <w:rPr>
          <w:rFonts w:ascii="微软雅黑" w:hAnsi="微软雅黑" w:eastAsia="微软雅黑" w:cs="微软雅黑"/>
        </w:rPr>
        <w:t>[12] 中国新闻网｜</w:t>
      </w:r>
      <w:hyperlink r:id="rId22">
        <w:r>
          <w:rPr>
            <w:rFonts w:ascii="微软雅黑" w:hAnsi="微软雅黑" w:eastAsia="微软雅黑" w:cs="微软雅黑"/>
            <w:color w:val="087E89"/>
          </w:rPr>
          <w:t>可再生能源法修订草案提请审议</w:t>
        </w:r>
      </w:hyperlink>
      <w:r>
        <w:rPr>
          <w:rFonts w:ascii="微软雅黑" w:hAnsi="微软雅黑" w:eastAsia="微软雅黑" w:cs="微软雅黑"/>
        </w:rPr>
      </w:r>
    </w:p>
    <w:p>
      <w:pPr>
        <w:keepNext/>
        <w:spacing w:after="0" w:line="20" w:lineRule="exact"/>
      </w:pPr>
      <w:bookmarkStart w:id="13" w:name="source-33005"/>
      <w:bookmarkEnd w:id="13" w:name="source-33005"/>
    </w:p>
    <w:p>
      <w:pPr>
        <w:pStyle w:val="ListBullet"/>
        <w:keepNext w:val="0"/>
        <w:spacing w:after="80" w:line="276" w:lineRule="auto"/>
        <w:ind w:firstLine="0"/>
      </w:pPr>
      <w:r>
        <w:rPr>
          <w:rFonts w:ascii="微软雅黑" w:hAnsi="微软雅黑" w:eastAsia="微软雅黑" w:cs="微软雅黑"/>
        </w:rPr>
        <w:t>[13] 中国能源新闻网｜</w:t>
      </w:r>
      <w:hyperlink r:id="rId23">
        <w:r>
          <w:rPr>
            <w:rFonts w:ascii="微软雅黑" w:hAnsi="微软雅黑" w:eastAsia="微软雅黑" w:cs="微软雅黑"/>
            <w:color w:val="087E89"/>
          </w:rPr>
          <w:t>重庆启动2027年度新能源机制电价竞价</w:t>
        </w:r>
      </w:hyperlink>
      <w:r>
        <w:rPr>
          <w:rFonts w:ascii="微软雅黑" w:hAnsi="微软雅黑" w:eastAsia="微软雅黑" w:cs="微软雅黑"/>
        </w:rPr>
      </w:r>
    </w:p>
    <w:sectPr w:rsidR="00FC693F" w:rsidRPr="0006063C" w:rsidSect="00034616">
      <w:footerReference w:type="default" r:id="rId10"/>
      <w:pgSz w:w="11906" w:h="16838"/>
      <w:pgMar w:top="1361" w:right="1417" w:bottom="1247" w:left="1417" w:header="720" w:footer="720" w:gutter="0"/>
      <w:cols w:space="720"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微软雅黑" w:hAnsi="微软雅黑" w:eastAsia="微软雅黑" w:cs="微软雅黑"/>
      </w:rPr>
      <w:t xml:space="preserve">ENYINFO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微软雅黑" w:hAnsi="微软雅黑" w:hint="default" w:eastAsia="微软雅黑" w:cs="微软雅黑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微软雅黑" w:hAnsi="微软雅黑" w:hint="default" w:eastAsia="微软雅黑" w:cs="微软雅黑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微软雅黑" w:hAnsi="微软雅黑" w:hint="default" w:eastAsia="微软雅黑" w:cs="微软雅黑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微软雅黑" w:hAnsi="微软雅黑" w:hint="default" w:eastAsia="微软雅黑" w:cs="微软雅黑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微软雅黑" w:hAnsi="微软雅黑" w:eastAsia="微软雅黑" w:cs="微软雅黑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48" w:lineRule="auto" w:after="180"/>
    </w:pPr>
    <w:rPr>
      <w:rFonts w:ascii="微软雅黑" w:hAnsi="微软雅黑" w:eastAsia="微软雅黑" w:cs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微软雅黑" w:hAnsi="微软雅黑" w:eastAsia="微软雅黑" w:cs="微软雅黑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微软雅黑" w:hAnsi="微软雅黑" w:eastAsia="微软雅黑" w:cs="微软雅黑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微软雅黑" w:hAnsi="微软雅黑" w:eastAsia="微软雅黑" w:cs="微软雅黑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微软雅黑" w:hAnsi="微软雅黑" w:eastAsia="微软雅黑" w:cs="微软雅黑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微软雅黑" w:hAnsi="微软雅黑" w:eastAsia="微软雅黑" w:cs="微软雅黑"/>
      <w:b/>
      <w:bCs/>
      <w:color w:val="15495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微软雅黑" w:hAnsi="微软雅黑" w:eastAsia="微软雅黑" w:cs="微软雅黑"/>
      <w:b/>
      <w:bCs/>
      <w:color w:val="15495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微软雅黑" w:hAnsi="微软雅黑" w:eastAsia="微软雅黑" w:cs="微软雅黑"/>
      <w:b/>
      <w:bCs/>
      <w:color w:val="15495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微软雅黑" w:hAnsi="微软雅黑" w:eastAsia="微软雅黑" w:cs="微软雅黑"/>
      <w:b/>
      <w:bCs/>
      <w:i/>
      <w:iCs/>
      <w:color w:val="15495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微软雅黑" w:hAnsi="微软雅黑" w:eastAsia="微软雅黑" w:cs="微软雅黑"/>
      <w:color w:val="154957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微软雅黑" w:hAnsi="微软雅黑" w:eastAsia="微软雅黑" w:cs="微软雅黑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微软雅黑" w:hAnsi="微软雅黑" w:eastAsia="微软雅黑" w:cs="微软雅黑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微软雅黑" w:hAnsi="微软雅黑" w:eastAsia="微软雅黑" w:cs="微软雅黑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微软雅黑" w:hAnsi="微软雅黑" w:eastAsia="微软雅黑" w:cs="微软雅黑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微软雅黑" w:hAnsi="微软雅黑" w:eastAsia="微软雅黑" w:cs="微软雅黑"/>
    </w:rPr>
  </w:style>
  <w:style w:type="table" w:default="1" w:styleId="TableNormal">
    <w:name w:val="Normal Table"/>
    <w:uiPriority w:val="99"/>
    <w:semiHidden/>
    <w:unhideWhenUsed/>
    <w:rPr>
      <w:rFonts w:ascii="微软雅黑" w:hAnsi="微软雅黑" w:eastAsia="微软雅黑" w:cs="微软雅黑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Pr>
      <w:rFonts w:ascii="微软雅黑" w:hAnsi="微软雅黑" w:eastAsia="微软雅黑" w:cs="微软雅黑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微软雅黑" w:hAnsi="微软雅黑" w:eastAsia="微软雅黑" w:cs="微软雅黑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微软雅黑" w:hAnsi="微软雅黑" w:eastAsia="微软雅黑" w:cs="微软雅黑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微软雅黑" w:hAnsi="微软雅黑" w:eastAsia="微软雅黑" w:cs="微软雅黑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微软雅黑" w:hAnsi="微软雅黑" w:eastAsia="微软雅黑" w:cs="微软雅黑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微软雅黑" w:hAnsi="微软雅黑" w:eastAsia="微软雅黑" w:cs="微软雅黑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微软雅黑" w:hAnsi="微软雅黑" w:eastAsia="微软雅黑" w:cs="微软雅黑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微软雅黑" w:hAnsi="微软雅黑" w:eastAsia="微软雅黑" w:cs="微软雅黑"/>
      <w:i w:val="0"/>
      <w:iCs/>
      <w:color w:val="5369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微软雅黑" w:hAnsi="微软雅黑" w:eastAsia="微软雅黑" w:cs="微软雅黑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微软雅黑" w:hAnsi="微软雅黑" w:eastAsia="微软雅黑" w:cs="微软雅黑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微软雅黑" w:hAnsi="微软雅黑" w:eastAsia="微软雅黑" w:cs="微软雅黑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微软雅黑" w:hAnsi="微软雅黑" w:eastAsia="微软雅黑" w:cs="微软雅黑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微软雅黑" w:hAnsi="微软雅黑" w:eastAsia="微软雅黑" w:cs="微软雅黑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微软雅黑" w:hAnsi="微软雅黑" w:eastAsia="微软雅黑" w:cs="微软雅黑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微软雅黑" w:hAnsi="微软雅黑" w:eastAsia="微软雅黑" w:cs="微软雅黑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微软雅黑" w:hAnsi="微软雅黑" w:eastAsia="微软雅黑" w:cs="微软雅黑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微软雅黑" w:hAnsi="微软雅黑" w:eastAsia="微软雅黑" w:cs="微软雅黑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微软雅黑" w:hAnsi="微软雅黑" w:eastAsia="微软雅黑" w:cs="微软雅黑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微软雅黑" w:hAnsi="微软雅黑" w:eastAsia="微软雅黑" w:cs="微软雅黑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微软雅黑" w:hAnsi="微软雅黑" w:eastAsia="微软雅黑" w:cs="微软雅黑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微软雅黑" w:hAnsi="微软雅黑" w:eastAsia="微软雅黑" w:cs="微软雅黑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微软雅黑" w:hAnsi="微软雅黑" w:eastAsia="微软雅黑" w:cs="微软雅黑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微软雅黑" w:hAnsi="微软雅黑" w:eastAsia="微软雅黑" w:cs="微软雅黑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微软雅黑" w:hAnsi="微软雅黑" w:eastAsia="微软雅黑" w:cs="微软雅黑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微软雅黑" w:hAnsi="微软雅黑" w:eastAsia="微软雅黑" w:cs="微软雅黑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微软雅黑" w:hAnsi="微软雅黑" w:eastAsia="微软雅黑" w:cs="微软雅黑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微软雅黑" w:hAnsi="微软雅黑" w:eastAsia="微软雅黑" w:cs="微软雅黑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微软雅黑" w:hAnsi="微软雅黑" w:eastAsia="微软雅黑" w:cs="微软雅黑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微软雅黑" w:hAnsi="微软雅黑" w:eastAsia="微软雅黑" w:cs="微软雅黑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微软雅黑" w:hAnsi="微软雅黑" w:eastAsia="微软雅黑" w:cs="微软雅黑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微软雅黑" w:hAnsi="微软雅黑" w:eastAsia="微软雅黑" w:cs="微软雅黑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微软雅黑" w:hAnsi="微软雅黑" w:eastAsia="微软雅黑" w:cs="微软雅黑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微软雅黑" w:hAnsi="微软雅黑" w:eastAsia="微软雅黑" w:cs="微软雅黑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微软雅黑" w:hAnsi="微软雅黑" w:eastAsia="微软雅黑" w:cs="微软雅黑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微软雅黑" w:hAnsi="微软雅黑" w:eastAsia="微软雅黑" w:cs="微软雅黑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微软雅黑" w:hAnsi="微软雅黑" w:eastAsia="微软雅黑" w:cs="微软雅黑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微软雅黑" w:hAnsi="微软雅黑" w:eastAsia="微软雅黑" w:cs="微软雅黑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微软雅黑" w:hAnsi="微软雅黑" w:eastAsia="微软雅黑" w:cs="微软雅黑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微软雅黑" w:hAnsi="微软雅黑" w:eastAsia="微软雅黑" w:cs="微软雅黑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微软雅黑" w:hAnsi="微软雅黑" w:eastAsia="微软雅黑" w:cs="微软雅黑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微软雅黑" w:hAnsi="微软雅黑" w:eastAsia="微软雅黑" w:cs="微软雅黑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微软雅黑" w:hAnsi="微软雅黑" w:eastAsia="微软雅黑" w:cs="微软雅黑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微软雅黑" w:hAnsi="微软雅黑" w:eastAsia="微软雅黑" w:cs="微软雅黑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微软雅黑" w:hAnsi="微软雅黑" w:eastAsia="微软雅黑" w:cs="微软雅黑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微软雅黑" w:hAnsi="微软雅黑" w:eastAsia="微软雅黑" w:cs="微软雅黑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微软雅黑" w:hAnsi="微软雅黑" w:eastAsia="微软雅黑" w:cs="微软雅黑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微软雅黑" w:hAnsi="微软雅黑" w:eastAsia="微软雅黑" w:cs="微软雅黑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微软雅黑" w:hAnsi="微软雅黑" w:eastAsia="微软雅黑" w:cs="微软雅黑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微软雅黑" w:hAnsi="微软雅黑" w:eastAsia="微软雅黑" w:cs="微软雅黑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微软雅黑" w:hAnsi="微软雅黑" w:eastAsia="微软雅黑" w:cs="微软雅黑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微软雅黑" w:hAnsi="微软雅黑" w:eastAsia="微软雅黑" w:cs="微软雅黑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微软雅黑" w:hAnsi="微软雅黑" w:eastAsia="微软雅黑" w:cs="微软雅黑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微软雅黑" w:hAnsi="微软雅黑" w:eastAsia="微软雅黑" w:cs="微软雅黑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微软雅黑" w:hAnsi="微软雅黑" w:eastAsia="微软雅黑" w:cs="微软雅黑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微软雅黑" w:hAnsi="微软雅黑" w:eastAsia="微软雅黑" w:cs="微软雅黑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微软雅黑" w:hAnsi="微软雅黑" w:eastAsia="微软雅黑" w:cs="微软雅黑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微软雅黑" w:hAnsi="微软雅黑" w:eastAsia="微软雅黑" w:cs="微软雅黑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微软雅黑" w:hAnsi="微软雅黑" w:eastAsia="微软雅黑" w:cs="微软雅黑"/>
        <w:b/>
        <w:bCs/>
      </w:rPr>
    </w:tblStylePr>
    <w:tblStylePr w:type="lastCol"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微软雅黑" w:hAnsi="微软雅黑" w:eastAsia="微软雅黑" w:cs="微软雅黑"/>
        <w:b/>
        <w:bCs/>
      </w:rPr>
    </w:tblStylePr>
    <w:tblStylePr w:type="lastCol"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微软雅黑" w:hAnsi="微软雅黑" w:eastAsia="微软雅黑" w:cs="微软雅黑"/>
        <w:b/>
        <w:bCs/>
      </w:rPr>
    </w:tblStylePr>
    <w:tblStylePr w:type="lastCol"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微软雅黑" w:hAnsi="微软雅黑" w:eastAsia="微软雅黑" w:cs="微软雅黑"/>
        <w:b/>
        <w:bCs/>
      </w:rPr>
    </w:tblStylePr>
    <w:tblStylePr w:type="lastCol"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微软雅黑" w:hAnsi="微软雅黑" w:eastAsia="微软雅黑" w:cs="微软雅黑"/>
        <w:b/>
        <w:bCs/>
      </w:rPr>
    </w:tblStylePr>
    <w:tblStylePr w:type="lastCol"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微软雅黑" w:hAnsi="微软雅黑" w:eastAsia="微软雅黑" w:cs="微软雅黑"/>
        <w:b/>
        <w:bCs/>
      </w:rPr>
    </w:tblStylePr>
    <w:tblStylePr w:type="lastCol"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微软雅黑" w:hAnsi="微软雅黑" w:eastAsia="微软雅黑" w:cs="微软雅黑"/>
        <w:b/>
        <w:bCs/>
      </w:rPr>
    </w:tblStylePr>
    <w:tblStylePr w:type="lastCol"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微软雅黑" w:hAnsi="微软雅黑" w:eastAsia="微软雅黑" w:cs="微软雅黑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微软雅黑" w:hAnsi="微软雅黑" w:eastAsia="微软雅黑" w:cs="微软雅黑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微软雅黑" w:hAnsi="微软雅黑" w:eastAsia="微软雅黑" w:cs="微软雅黑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微软雅黑" w:hAnsi="微软雅黑" w:eastAsia="微软雅黑" w:cs="微软雅黑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微软雅黑" w:hAnsi="微软雅黑" w:eastAsia="微软雅黑" w:cs="微软雅黑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微软雅黑" w:hAnsi="微软雅黑" w:eastAsia="微软雅黑" w:cs="微软雅黑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微软雅黑" w:hAnsi="微软雅黑" w:eastAsia="微软雅黑" w:cs="微软雅黑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微软雅黑" w:hAnsi="微软雅黑" w:eastAsia="微软雅黑" w:cs="微软雅黑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微软雅黑" w:hAnsi="微软雅黑" w:eastAsia="微软雅黑" w:cs="微软雅黑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微软雅黑" w:hAnsi="微软雅黑" w:eastAsia="微软雅黑" w:cs="微软雅黑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微软雅黑" w:hAnsi="微软雅黑" w:eastAsia="微软雅黑" w:cs="微软雅黑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微软雅黑" w:hAnsi="微软雅黑" w:eastAsia="微软雅黑" w:cs="微软雅黑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微软雅黑" w:hAnsi="微软雅黑" w:eastAsia="微软雅黑" w:cs="微软雅黑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微软雅黑" w:hAnsi="微软雅黑" w:eastAsia="微软雅黑" w:cs="微软雅黑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微软雅黑" w:hAnsi="微软雅黑" w:eastAsia="微软雅黑" w:cs="微软雅黑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 w:cs="微软雅黑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微软雅黑" w:hAnsi="微软雅黑" w:eastAsia="微软雅黑" w:cs="微软雅黑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微软雅黑" w:hAnsi="微软雅黑" w:eastAsia="微软雅黑" w:cs="微软雅黑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微软雅黑" w:hAnsi="微软雅黑" w:eastAsia="微软雅黑" w:cs="微软雅黑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微软雅黑" w:hAnsi="微软雅黑" w:eastAsia="微软雅黑" w:cs="微软雅黑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微软雅黑" w:hAnsi="微软雅黑" w:eastAsia="微软雅黑" w:cs="微软雅黑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微软雅黑" w:hAnsi="微软雅黑" w:eastAsia="微软雅黑" w:cs="微软雅黑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微软雅黑" w:hAnsi="微软雅黑" w:eastAsia="微软雅黑" w:cs="微软雅黑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微软雅黑" w:hAnsi="微软雅黑" w:eastAsia="微软雅黑" w:cs="微软雅黑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微软雅黑" w:hAnsi="微软雅黑" w:eastAsia="微软雅黑" w:cs="微软雅黑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微软雅黑" w:hAnsi="微软雅黑" w:eastAsia="微软雅黑" w:cs="微软雅黑"/>
    </w:rPr>
  </w:style>
  <w:style w:type="table" w:default="1" w:styleId="TableNormal">
    <w:name w:val="Normal Table"/>
    <w:uiPriority w:val="99"/>
    <w:semiHidden/>
    <w:unhideWhenUsed/>
    <w:rPr>
      <w:rFonts w:ascii="微软雅黑" w:hAnsi="微软雅黑" w:eastAsia="微软雅黑" w:cs="微软雅黑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Pr>
      <w:rFonts w:ascii="微软雅黑" w:hAnsi="微软雅黑" w:eastAsia="微软雅黑" w:cs="微软雅黑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微软雅黑" w:hAnsi="微软雅黑" w:eastAsia="微软雅黑" w:cs="微软雅黑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微软雅黑" w:hAnsi="微软雅黑" w:eastAsia="微软雅黑" w:cs="微软雅黑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微软雅黑" w:hAnsi="微软雅黑" w:eastAsia="微软雅黑" w:cs="微软雅黑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微软雅黑" w:hAnsi="微软雅黑" w:eastAsia="微软雅黑" w:cs="微软雅黑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微软雅黑" w:hAnsi="微软雅黑" w:eastAsia="微软雅黑" w:cs="微软雅黑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微软雅黑" w:hAnsi="微软雅黑" w:eastAsia="微软雅黑" w:cs="微软雅黑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微软雅黑" w:hAnsi="微软雅黑" w:eastAsia="微软雅黑" w:cs="微软雅黑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微软雅黑" w:hAnsi="微软雅黑" w:eastAsia="微软雅黑" w:cs="微软雅黑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微软雅黑" w:hAnsi="微软雅黑" w:eastAsia="微软雅黑" w:cs="微软雅黑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微软雅黑" w:hAnsi="微软雅黑" w:eastAsia="微软雅黑" w:cs="微软雅黑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微软雅黑" w:hAnsi="微软雅黑" w:eastAsia="微软雅黑" w:cs="微软雅黑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微软雅黑" w:hAnsi="微软雅黑" w:eastAsia="微软雅黑" w:cs="微软雅黑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微软雅黑" w:hAnsi="微软雅黑" w:eastAsia="微软雅黑" w:cs="微软雅黑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微软雅黑" w:hAnsi="微软雅黑" w:eastAsia="微软雅黑" w:cs="微软雅黑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微软雅黑" w:hAnsi="微软雅黑" w:eastAsia="微软雅黑" w:cs="微软雅黑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微软雅黑" w:hAnsi="微软雅黑" w:eastAsia="微软雅黑" w:cs="微软雅黑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微软雅黑" w:hAnsi="微软雅黑" w:eastAsia="微软雅黑" w:cs="微软雅黑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微软雅黑" w:hAnsi="微软雅黑" w:eastAsia="微软雅黑" w:cs="微软雅黑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微软雅黑" w:hAnsi="微软雅黑" w:eastAsia="微软雅黑" w:cs="微软雅黑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微软雅黑" w:hAnsi="微软雅黑" w:eastAsia="微软雅黑" w:cs="微软雅黑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微软雅黑" w:hAnsi="微软雅黑" w:eastAsia="微软雅黑" w:cs="微软雅黑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微软雅黑" w:hAnsi="微软雅黑" w:eastAsia="微软雅黑" w:cs="微软雅黑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微软雅黑" w:hAnsi="微软雅黑" w:eastAsia="微软雅黑" w:cs="微软雅黑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微软雅黑" w:hAnsi="微软雅黑" w:eastAsia="微软雅黑" w:cs="微软雅黑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微软雅黑" w:hAnsi="微软雅黑" w:eastAsia="微软雅黑" w:cs="微软雅黑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微软雅黑" w:hAnsi="微软雅黑" w:eastAsia="微软雅黑" w:cs="微软雅黑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微软雅黑" w:hAnsi="微软雅黑" w:eastAsia="微软雅黑" w:cs="微软雅黑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微软雅黑" w:hAnsi="微软雅黑" w:eastAsia="微软雅黑" w:cs="微软雅黑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微软雅黑" w:hAnsi="微软雅黑" w:eastAsia="微软雅黑" w:cs="微软雅黑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微软雅黑" w:hAnsi="微软雅黑" w:eastAsia="微软雅黑" w:cs="微软雅黑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微软雅黑" w:hAnsi="微软雅黑" w:eastAsia="微软雅黑" w:cs="微软雅黑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微软雅黑" w:hAnsi="微软雅黑" w:eastAsia="微软雅黑" w:cs="微软雅黑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微软雅黑" w:hAnsi="微软雅黑" w:eastAsia="微软雅黑" w:cs="微软雅黑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微软雅黑" w:hAnsi="微软雅黑" w:eastAsia="微软雅黑" w:cs="微软雅黑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微软雅黑" w:hAnsi="微软雅黑" w:eastAsia="微软雅黑" w:cs="微软雅黑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微软雅黑" w:hAnsi="微软雅黑" w:eastAsia="微软雅黑" w:cs="微软雅黑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微软雅黑" w:hAnsi="微软雅黑" w:eastAsia="微软雅黑" w:cs="微软雅黑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微软雅黑" w:hAnsi="微软雅黑" w:eastAsia="微软雅黑" w:cs="微软雅黑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微软雅黑" w:hAnsi="微软雅黑" w:eastAsia="微软雅黑" w:cs="微软雅黑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微软雅黑" w:hAnsi="微软雅黑" w:eastAsia="微软雅黑" w:cs="微软雅黑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微软雅黑" w:hAnsi="微软雅黑" w:eastAsia="微软雅黑" w:cs="微软雅黑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微软雅黑" w:hAnsi="微软雅黑" w:eastAsia="微软雅黑" w:cs="微软雅黑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微软雅黑" w:hAnsi="微软雅黑" w:eastAsia="微软雅黑" w:cs="微软雅黑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微软雅黑" w:hAnsi="微软雅黑" w:eastAsia="微软雅黑" w:cs="微软雅黑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微软雅黑" w:hAnsi="微软雅黑" w:eastAsia="微软雅黑" w:cs="微软雅黑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微软雅黑" w:hAnsi="微软雅黑" w:eastAsia="微软雅黑" w:cs="微软雅黑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微软雅黑" w:hAnsi="微软雅黑" w:eastAsia="微软雅黑" w:cs="微软雅黑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微软雅黑" w:hAnsi="微软雅黑" w:eastAsia="微软雅黑" w:cs="微软雅黑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微软雅黑" w:hAnsi="微软雅黑" w:eastAsia="微软雅黑" w:cs="微软雅黑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微软雅黑" w:hAnsi="微软雅黑" w:eastAsia="微软雅黑" w:cs="微软雅黑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微软雅黑" w:hAnsi="微软雅黑" w:eastAsia="微软雅黑" w:cs="微软雅黑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微软雅黑" w:hAnsi="微软雅黑" w:eastAsia="微软雅黑" w:cs="微软雅黑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微软雅黑" w:hAnsi="微软雅黑" w:eastAsia="微软雅黑" w:cs="微软雅黑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微软雅黑" w:hAnsi="微软雅黑" w:eastAsia="微软雅黑" w:cs="微软雅黑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微软雅黑" w:hAnsi="微软雅黑" w:eastAsia="微软雅黑" w:cs="微软雅黑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微软雅黑" w:hAnsi="微软雅黑" w:eastAsia="微软雅黑" w:cs="微软雅黑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微软雅黑" w:hAnsi="微软雅黑" w:eastAsia="微软雅黑" w:cs="微软雅黑"/>
        <w:b/>
        <w:bCs/>
      </w:rPr>
    </w:tblStylePr>
    <w:tblStylePr w:type="lastCol"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微软雅黑" w:hAnsi="微软雅黑" w:eastAsia="微软雅黑" w:cs="微软雅黑"/>
        <w:b/>
        <w:bCs/>
      </w:rPr>
    </w:tblStylePr>
    <w:tblStylePr w:type="lastCol"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微软雅黑" w:hAnsi="微软雅黑" w:eastAsia="微软雅黑" w:cs="微软雅黑"/>
        <w:b/>
        <w:bCs/>
      </w:rPr>
    </w:tblStylePr>
    <w:tblStylePr w:type="lastCol"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微软雅黑" w:hAnsi="微软雅黑" w:eastAsia="微软雅黑" w:cs="微软雅黑"/>
        <w:b/>
        <w:bCs/>
      </w:rPr>
    </w:tblStylePr>
    <w:tblStylePr w:type="lastCol"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微软雅黑" w:hAnsi="微软雅黑" w:eastAsia="微软雅黑" w:cs="微软雅黑"/>
        <w:b/>
        <w:bCs/>
      </w:rPr>
    </w:tblStylePr>
    <w:tblStylePr w:type="lastCol"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微软雅黑" w:hAnsi="微软雅黑" w:eastAsia="微软雅黑" w:cs="微软雅黑"/>
        <w:b/>
        <w:bCs/>
      </w:rPr>
    </w:tblStylePr>
    <w:tblStylePr w:type="lastCol"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微软雅黑" w:hAnsi="微软雅黑" w:eastAsia="微软雅黑" w:cs="微软雅黑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微软雅黑" w:hAnsi="微软雅黑" w:eastAsia="微软雅黑" w:cs="微软雅黑"/>
        <w:b/>
        <w:bCs/>
      </w:rPr>
    </w:tblStylePr>
    <w:tblStylePr w:type="lastCol">
      <w:rPr>
        <w:rFonts w:ascii="微软雅黑" w:hAnsi="微软雅黑" w:eastAsia="微软雅黑" w:cs="微软雅黑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微软雅黑" w:hAnsi="微软雅黑" w:eastAsia="微软雅黑" w:cs="微软雅黑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微软雅黑" w:hAnsi="微软雅黑" w:eastAsia="微软雅黑" w:cs="微软雅黑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微软雅黑" w:hAnsi="微软雅黑" w:eastAsia="微软雅黑" w:cs="微软雅黑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微软雅黑" w:hAnsi="微软雅黑" w:eastAsia="微软雅黑" w:cs="微软雅黑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微软雅黑" w:hAnsi="微软雅黑" w:eastAsia="微软雅黑" w:cs="微软雅黑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微软雅黑" w:hAnsi="微软雅黑" w:eastAsia="微软雅黑" w:cs="微软雅黑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微软雅黑" w:hAnsi="微软雅黑" w:eastAsia="微软雅黑" w:cs="微软雅黑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微软雅黑" w:hAnsi="微软雅黑" w:eastAsia="微软雅黑" w:cs="微软雅黑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微软雅黑" w:hAnsi="微软雅黑" w:eastAsia="微软雅黑" w:cs="微软雅黑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微软雅黑" w:hAnsi="微软雅黑" w:eastAsia="微软雅黑" w:cs="微软雅黑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微软雅黑" w:hAnsi="微软雅黑" w:eastAsia="微软雅黑" w:cs="微软雅黑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微软雅黑" w:hAnsi="微软雅黑" w:eastAsia="微软雅黑" w:cs="微软雅黑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微软雅黑" w:hAnsi="微软雅黑" w:eastAsia="微软雅黑" w:cs="微软雅黑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微软雅黑" w:hAnsi="微软雅黑" w:eastAsia="微软雅黑" w:cs="微软雅黑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微软雅黑" w:hAnsi="微软雅黑" w:eastAsia="微软雅黑" w:cs="微软雅黑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微软雅黑" w:hAnsi="微软雅黑" w:eastAsia="微软雅黑" w:cs="微软雅黑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Relationship Id="rId11" Type="http://schemas.openxmlformats.org/officeDocument/2006/relationships/hyperlink" Target="https://www.fx678.com/C/20261102/202611020947212066.html" TargetMode="External"/><Relationship Id="rId12" Type="http://schemas.openxmlformats.org/officeDocument/2006/relationships/hyperlink" Target="https://finance.sina.com.cn/roll/2026-11-02/doc-inixhwzk3040465.shtml" TargetMode="External"/><Relationship Id="rId13" Type="http://schemas.openxmlformats.org/officeDocument/2006/relationships/hyperlink" Target="http://world.people.com.cn/n1/2026/1102/c1002-40825470.html" TargetMode="External"/><Relationship Id="rId14" Type="http://schemas.openxmlformats.org/officeDocument/2006/relationships/hyperlink" Target="https://www.interfax.ru/business/1126610" TargetMode="External"/><Relationship Id="rId15" Type="http://schemas.openxmlformats.org/officeDocument/2006/relationships/hyperlink" Target="https://www.china5e.com/news/news-1211274-1.html" TargetMode="External"/><Relationship Id="rId16" Type="http://schemas.openxmlformats.org/officeDocument/2006/relationships/hyperlink" Target="https://www.china5e.com/news/news-1211287-1.html" TargetMode="External"/><Relationship Id="rId17" Type="http://schemas.openxmlformats.org/officeDocument/2006/relationships/hyperlink" Target="https://finance.sina.com.cn/stock/usstock/c/2026-11-02/doc-inixiuew7244449.shtml" TargetMode="External"/><Relationship Id="rId18" Type="http://schemas.openxmlformats.org/officeDocument/2006/relationships/hyperlink" Target="https://www.news.cn/world/20261103/8329f7844694444ba1c8c9d1609d82c9/c.html" TargetMode="External"/><Relationship Id="rId19" Type="http://schemas.openxmlformats.org/officeDocument/2006/relationships/hyperlink" Target="https://news.mysteel.com/a/26110208/7B94527E5EE581C0.html" TargetMode="External"/><Relationship Id="rId20" Type="http://schemas.openxmlformats.org/officeDocument/2006/relationships/hyperlink" Target="https://www.fx678.com/C/20261102/202611021630259095.html" TargetMode="External"/><Relationship Id="rId21" Type="http://schemas.openxmlformats.org/officeDocument/2006/relationships/hyperlink" Target="https://finance.sina.com.cn/stock/usstock/c/2026-11-02/doc-inixicih3036170.shtml" TargetMode="External"/><Relationship Id="rId22" Type="http://schemas.openxmlformats.org/officeDocument/2006/relationships/hyperlink" Target="https://www.chinanews.com.cn/gn/2026/11-02/10724583.shtml" TargetMode="External"/><Relationship Id="rId23" Type="http://schemas.openxmlformats.org/officeDocument/2006/relationships/hyperlink" Target="https://www.cpnn.com.cn/news/hy/202611/t20261102_192372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微软雅黑"/>
        <a:ea typeface="微软雅黑"/>
        <a:cs typeface="微软雅黑"/>
        <a:font script="Jpan" typeface="微软雅黑"/>
        <a:font script="Hang" typeface="微软雅黑"/>
        <a:font script="Hans" typeface="微软雅黑"/>
        <a:font script="Hant" typeface="微软雅黑"/>
        <a:font script="Arab" typeface="微软雅黑"/>
        <a:font script="Hebr" typeface="微软雅黑"/>
        <a:font script="Thai" typeface="微软雅黑"/>
        <a:font script="Ethi" typeface="微软雅黑"/>
        <a:font script="Beng" typeface="微软雅黑"/>
        <a:font script="Gujr" typeface="微软雅黑"/>
        <a:font script="Khmr" typeface="微软雅黑"/>
        <a:font script="Knda" typeface="微软雅黑"/>
        <a:font script="Guru" typeface="微软雅黑"/>
        <a:font script="Cans" typeface="微软雅黑"/>
        <a:font script="Cher" typeface="微软雅黑"/>
        <a:font script="Yiii" typeface="微软雅黑"/>
        <a:font script="Tibt" typeface="微软雅黑"/>
        <a:font script="Thaa" typeface="微软雅黑"/>
        <a:font script="Deva" typeface="微软雅黑"/>
        <a:font script="Telu" typeface="微软雅黑"/>
        <a:font script="Taml" typeface="微软雅黑"/>
        <a:font script="Syrc" typeface="微软雅黑"/>
        <a:font script="Orya" typeface="微软雅黑"/>
        <a:font script="Mlym" typeface="微软雅黑"/>
        <a:font script="Laoo" typeface="微软雅黑"/>
        <a:font script="Sinh" typeface="微软雅黑"/>
        <a:font script="Mong" typeface="微软雅黑"/>
        <a:font script="Viet" typeface="微软雅黑"/>
        <a:font script="Uigh" typeface="微软雅黑"/>
        <a:font script="Geor" typeface="微软雅黑"/>
      </a:majorFont>
      <a:minorFont>
        <a:latin typeface="微软雅黑"/>
        <a:ea typeface="微软雅黑"/>
        <a:cs typeface="微软雅黑"/>
        <a:font script="Jpan" typeface="微软雅黑"/>
        <a:font script="Hang" typeface="微软雅黑"/>
        <a:font script="Hans" typeface="微软雅黑"/>
        <a:font script="Hant" typeface="微软雅黑"/>
        <a:font script="Arab" typeface="微软雅黑"/>
        <a:font script="Hebr" typeface="微软雅黑"/>
        <a:font script="Thai" typeface="微软雅黑"/>
        <a:font script="Ethi" typeface="微软雅黑"/>
        <a:font script="Beng" typeface="微软雅黑"/>
        <a:font script="Gujr" typeface="微软雅黑"/>
        <a:font script="Khmr" typeface="微软雅黑"/>
        <a:font script="Knda" typeface="微软雅黑"/>
        <a:font script="Guru" typeface="微软雅黑"/>
        <a:font script="Cans" typeface="微软雅黑"/>
        <a:font script="Cher" typeface="微软雅黑"/>
        <a:font script="Yiii" typeface="微软雅黑"/>
        <a:font script="Tibt" typeface="微软雅黑"/>
        <a:font script="Thaa" typeface="微软雅黑"/>
        <a:font script="Deva" typeface="微软雅黑"/>
        <a:font script="Telu" typeface="微软雅黑"/>
        <a:font script="Taml" typeface="微软雅黑"/>
        <a:font script="Syrc" typeface="微软雅黑"/>
        <a:font script="Orya" typeface="微软雅黑"/>
        <a:font script="Mlym" typeface="微软雅黑"/>
        <a:font script="Laoo" typeface="微软雅黑"/>
        <a:font script="Sinh" typeface="微软雅黑"/>
        <a:font script="Mong" typeface="微软雅黑"/>
        <a:font script="Viet" typeface="微软雅黑"/>
        <a:font script="Uigh" typeface="微软雅黑"/>
        <a:font script="Geor" typeface="微软雅黑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11月3日 能源每日观察</dc:title>
  <dc:subject/>
  <dc:creator>北京百看科技有限公司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