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发布日：2026-11-01（北京时间）。</w:t>
      </w:r>
    </w:p>
    <w:p>
      <w:pPr>
        <w:ind w:firstLine="420"/>
      </w:pPr>
      <w:r>
        <w:rPr>
          <w:rFonts w:ascii="微软雅黑" w:hAnsi="微软雅黑" w:eastAsia="微软雅黑" w:cs="微软雅黑"/>
        </w:rPr>
        <w:t>信息覆盖时段：2026-10-31 04:00 至 2026-11-01 04:00（不含），Asia/Shanghai。</w:t>
      </w:r>
    </w:p>
    <w:p>
      <w:pPr/>
      <w:r>
        <w:rPr>
          <w:rFonts w:ascii="微软雅黑" w:hAnsi="微软雅黑" w:eastAsia="微软雅黑" w:cs="微软雅黑"/>
        </w:rPr>
        <w:t>统计区间：2026-10-31 04:00 至 2026-11-01 04:00（结束时刻不含，北京时间）</w:t>
      </w:r>
    </w:p>
    <w:p>
      <w:pPr>
        <w:ind w:firstLine="420"/>
      </w:pPr>
      <w:r>
        <w:rPr>
          <w:rFonts w:ascii="微软雅黑" w:hAnsi="微软雅黑" w:eastAsia="微软雅黑" w:cs="微软雅黑"/>
        </w:rPr>
        <w:t>资料更新截止：2026-11-01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中东局势与炼厂遇袭推高国际油价，WTI结算价升至每桶104.12美元 </w:t>
      </w:r>
      <w:hyperlink w:anchor="source-31794">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1711">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3177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国家能源局称迎峰度冬电力供需总体平衡，三部门发文保煤炭稳产 </w:t>
      </w:r>
      <w:hyperlink w:anchor="source-3179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伊朗称在霍尔木兹海峡拦截美军无人机并截停4艘油轮 </w:t>
      </w:r>
      <w:hyperlink w:anchor="source-3195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风电装机7.0亿千瓦，“十五五”提出置信出力与分区利用率目标 </w:t>
      </w:r>
      <w:hyperlink w:anchor="source-3194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10月布伦特单月涨13.6%，月末收于112美元上方 </w:t>
      </w:r>
      <w:hyperlink w:anchor="source-3184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1836">
        <w:r>
          <w:rPr>
            <w:rFonts w:ascii="微软雅黑" w:hAnsi="微软雅黑" w:eastAsia="微软雅黑" w:cs="微软雅黑"/>
            <w:color w:val="087E89"/>
          </w:rPr>
          <w:t>8</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美国WTI原油期货12月合约结算价</w:t>
            </w:r>
          </w:p>
        </w:tc>
        <w:tc>
          <w:tcPr>
            <w:tcW w:type="dxa" w:w="2268"/>
          </w:tcPr>
          <w:p>
            <w:pPr>
              <w:spacing w:after="40"/>
            </w:pPr>
            <w:r>
              <w:rPr>
                <w:rFonts w:ascii="微软雅黑" w:hAnsi="微软雅黑" w:eastAsia="微软雅黑" w:cs="微软雅黑"/>
              </w:rPr>
              <w:t>每桶104.12美元（上涨2.1%）</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794">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1711">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3177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国际基准布伦特原油期货当日收盘价</w:t>
            </w:r>
          </w:p>
        </w:tc>
        <w:tc>
          <w:tcPr>
            <w:tcW w:type="dxa" w:w="2268"/>
          </w:tcPr>
          <w:p>
            <w:pPr>
              <w:spacing w:after="40"/>
            </w:pPr>
            <w:r>
              <w:rPr>
                <w:rFonts w:ascii="微软雅黑" w:hAnsi="微软雅黑" w:eastAsia="微软雅黑" w:cs="微软雅黑"/>
              </w:rPr>
              <w:t>每桶117.63美元（上涨2.4%，涨2.76美元）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794">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1711">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3177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全国统调电厂电煤库存量</w:t>
            </w:r>
          </w:p>
        </w:tc>
        <w:tc>
          <w:tcPr>
            <w:tcW w:type="dxa" w:w="2268"/>
          </w:tcPr>
          <w:p>
            <w:pPr>
              <w:spacing w:after="40"/>
            </w:pPr>
            <w:r>
              <w:rPr>
                <w:rFonts w:ascii="微软雅黑" w:hAnsi="微软雅黑" w:eastAsia="微软雅黑" w:cs="微软雅黑"/>
              </w:rPr>
              <w:t>约2.1亿吨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79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全国统调电厂电煤可用天数</w:t>
            </w:r>
          </w:p>
        </w:tc>
        <w:tc>
          <w:tcPr>
            <w:tcW w:type="dxa" w:w="2268"/>
          </w:tcPr>
          <w:p>
            <w:pPr>
              <w:spacing w:after="40"/>
            </w:pPr>
            <w:r>
              <w:rPr>
                <w:rFonts w:ascii="微软雅黑" w:hAnsi="微软雅黑" w:eastAsia="微软雅黑" w:cs="微软雅黑"/>
              </w:rPr>
              <w:t>35天</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79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全国风电光伏（含源侧配建储能）平均置信出力目标（《可再生能源发展“十五五”规划》）</w:t>
            </w:r>
          </w:p>
        </w:tc>
        <w:tc>
          <w:tcPr>
            <w:tcW w:type="dxa" w:w="2268"/>
          </w:tcPr>
          <w:p>
            <w:pPr>
              <w:spacing w:after="40"/>
            </w:pPr>
            <w:r>
              <w:rPr>
                <w:rFonts w:ascii="微软雅黑" w:hAnsi="微软雅黑" w:eastAsia="微软雅黑" w:cs="微软雅黑"/>
              </w:rPr>
              <w:t>8%</w:t>
            </w:r>
          </w:p>
        </w:tc>
        <w:tc>
          <w:tcPr>
            <w:tcW w:type="dxa" w:w="2268"/>
          </w:tcPr>
          <w:p>
            <w:pPr>
              <w:spacing w:after="40"/>
            </w:pPr>
            <w:r>
              <w:rPr>
                <w:rFonts w:ascii="微软雅黑" w:hAnsi="微软雅黑" w:eastAsia="微软雅黑" w:cs="微软雅黑"/>
              </w:rPr>
              <w:t>2030</w:t>
            </w:r>
          </w:p>
        </w:tc>
        <w:tc>
          <w:tcPr>
            <w:tcW w:type="dxa" w:w="2268"/>
          </w:tcPr>
          <w:p>
            <w:pPr>
              <w:spacing w:after="40"/>
            </w:pPr>
            <w:r>
              <w:rPr>
                <w:rFonts w:ascii="微软雅黑" w:hAnsi="微软雅黑" w:eastAsia="微软雅黑" w:cs="微软雅黑"/>
              </w:rPr>
            </w:r>
            <w:hyperlink w:anchor="source-31947">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迎峰度夏、度冬晚高峰风电光伏电量占比目标（《可再生能源发展“十五五”规划》）</w:t>
            </w:r>
          </w:p>
        </w:tc>
        <w:tc>
          <w:tcPr>
            <w:tcW w:type="dxa" w:w="2268"/>
          </w:tcPr>
          <w:p>
            <w:pPr>
              <w:spacing w:after="40"/>
            </w:pPr>
            <w:r>
              <w:rPr>
                <w:rFonts w:ascii="微软雅黑" w:hAnsi="微软雅黑" w:eastAsia="微软雅黑" w:cs="微软雅黑"/>
              </w:rPr>
              <w:t>20%以上</w:t>
            </w:r>
          </w:p>
        </w:tc>
        <w:tc>
          <w:tcPr>
            <w:tcW w:type="dxa" w:w="2268"/>
          </w:tcPr>
          <w:p>
            <w:pPr>
              <w:spacing w:after="40"/>
            </w:pPr>
            <w:r>
              <w:rPr>
                <w:rFonts w:ascii="微软雅黑" w:hAnsi="微软雅黑" w:eastAsia="微软雅黑" w:cs="微软雅黑"/>
              </w:rPr>
              <w:t>2030</w:t>
            </w:r>
          </w:p>
        </w:tc>
        <w:tc>
          <w:tcPr>
            <w:tcW w:type="dxa" w:w="2268"/>
          </w:tcPr>
          <w:p>
            <w:pPr>
              <w:spacing w:after="40"/>
            </w:pPr>
            <w:r>
              <w:rPr>
                <w:rFonts w:ascii="微软雅黑" w:hAnsi="微软雅黑" w:eastAsia="微软雅黑" w:cs="微软雅黑"/>
              </w:rPr>
            </w:r>
            <w:hyperlink w:anchor="source-31947">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TCL中环光伏业务收入</w:t>
            </w:r>
          </w:p>
        </w:tc>
        <w:tc>
          <w:tcPr>
            <w:tcW w:type="dxa" w:w="2268"/>
          </w:tcPr>
          <w:p>
            <w:pPr>
              <w:spacing w:after="40"/>
            </w:pPr>
            <w:r>
              <w:rPr>
                <w:rFonts w:ascii="微软雅黑" w:hAnsi="微软雅黑" w:eastAsia="微软雅黑" w:cs="微软雅黑"/>
              </w:rPr>
              <w:t>186.1亿元</w:t>
            </w:r>
          </w:p>
        </w:tc>
        <w:tc>
          <w:tcPr>
            <w:tcW w:type="dxa" w:w="2268"/>
          </w:tcPr>
          <w:p>
            <w:pPr>
              <w:spacing w:after="40"/>
            </w:pPr>
            <w:r>
              <w:rPr>
                <w:rFonts w:ascii="微软雅黑" w:hAnsi="微软雅黑" w:eastAsia="微软雅黑" w:cs="微软雅黑"/>
              </w:rPr>
              <w:t>2026年前三季度</w:t>
            </w:r>
          </w:p>
        </w:tc>
        <w:tc>
          <w:tcPr>
            <w:tcW w:type="dxa" w:w="2268"/>
          </w:tcPr>
          <w:p>
            <w:pPr>
              <w:spacing w:after="40"/>
            </w:pPr>
            <w:r>
              <w:rPr>
                <w:rFonts w:ascii="微软雅黑" w:hAnsi="微软雅黑" w:eastAsia="微软雅黑" w:cs="微软雅黑"/>
              </w:rPr>
            </w:r>
            <w:hyperlink w:anchor="source-31798">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TCL中环硅片出货量</w:t>
            </w:r>
          </w:p>
        </w:tc>
        <w:tc>
          <w:tcPr>
            <w:tcW w:type="dxa" w:w="2268"/>
          </w:tcPr>
          <w:p>
            <w:pPr>
              <w:spacing w:after="40"/>
            </w:pPr>
            <w:r>
              <w:rPr>
                <w:rFonts w:ascii="微软雅黑" w:hAnsi="微软雅黑" w:eastAsia="微软雅黑" w:cs="微软雅黑"/>
              </w:rPr>
              <w:t>83.4GW</w:t>
            </w:r>
          </w:p>
        </w:tc>
        <w:tc>
          <w:tcPr>
            <w:tcW w:type="dxa" w:w="2268"/>
          </w:tcPr>
          <w:p>
            <w:pPr>
              <w:spacing w:after="40"/>
            </w:pPr>
            <w:r>
              <w:rPr>
                <w:rFonts w:ascii="微软雅黑" w:hAnsi="微软雅黑" w:eastAsia="微软雅黑" w:cs="微软雅黑"/>
              </w:rPr>
              <w:t>2026年前三季度</w:t>
            </w:r>
          </w:p>
        </w:tc>
        <w:tc>
          <w:tcPr>
            <w:tcW w:type="dxa" w:w="2268"/>
          </w:tcPr>
          <w:p>
            <w:pPr>
              <w:spacing w:after="40"/>
            </w:pPr>
            <w:r>
              <w:rPr>
                <w:rFonts w:ascii="微软雅黑" w:hAnsi="微软雅黑" w:eastAsia="微软雅黑" w:cs="微软雅黑"/>
              </w:rPr>
            </w:r>
            <w:hyperlink w:anchor="source-31798">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TCL中环归属于母公司股东的净利润</w:t>
            </w:r>
          </w:p>
        </w:tc>
        <w:tc>
          <w:tcPr>
            <w:tcW w:type="dxa" w:w="2268"/>
          </w:tcPr>
          <w:p>
            <w:pPr>
              <w:spacing w:after="40"/>
            </w:pPr>
            <w:r>
              <w:rPr>
                <w:rFonts w:ascii="微软雅黑" w:hAnsi="微软雅黑" w:eastAsia="微软雅黑" w:cs="微软雅黑"/>
              </w:rPr>
              <w:t>-13.52亿元</w:t>
            </w:r>
          </w:p>
        </w:tc>
        <w:tc>
          <w:tcPr>
            <w:tcW w:type="dxa" w:w="2268"/>
          </w:tcPr>
          <w:p>
            <w:pPr>
              <w:spacing w:after="40"/>
            </w:pPr>
            <w:r>
              <w:rPr>
                <w:rFonts w:ascii="微软雅黑" w:hAnsi="微软雅黑" w:eastAsia="微软雅黑" w:cs="微软雅黑"/>
              </w:rPr>
              <w:t>2026年第三季度</w:t>
            </w:r>
          </w:p>
        </w:tc>
        <w:tc>
          <w:tcPr>
            <w:tcW w:type="dxa" w:w="2268"/>
          </w:tcPr>
          <w:p>
            <w:pPr>
              <w:spacing w:after="40"/>
            </w:pPr>
            <w:r>
              <w:rPr>
                <w:rFonts w:ascii="微软雅黑" w:hAnsi="微软雅黑" w:eastAsia="微软雅黑" w:cs="微软雅黑"/>
              </w:rPr>
            </w:r>
            <w:hyperlink w:anchor="source-31798">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山西焦煤2026年前三季度营业收入</w:t>
            </w:r>
          </w:p>
        </w:tc>
        <w:tc>
          <w:tcPr>
            <w:tcW w:type="dxa" w:w="2268"/>
          </w:tcPr>
          <w:p>
            <w:pPr>
              <w:spacing w:after="40"/>
            </w:pPr>
            <w:r>
              <w:rPr>
                <w:rFonts w:ascii="微软雅黑" w:hAnsi="微软雅黑" w:eastAsia="微软雅黑" w:cs="微软雅黑"/>
              </w:rPr>
              <w:t>275.6亿元，同比增长1.4%</w:t>
            </w:r>
          </w:p>
        </w:tc>
        <w:tc>
          <w:tcPr>
            <w:tcW w:type="dxa" w:w="2268"/>
          </w:tcPr>
          <w:p>
            <w:pPr>
              <w:spacing w:after="40"/>
            </w:pPr>
            <w:r>
              <w:rPr>
                <w:rFonts w:ascii="微软雅黑" w:hAnsi="微软雅黑" w:eastAsia="微软雅黑" w:cs="微软雅黑"/>
              </w:rPr>
              <w:t>2026年前三季度</w:t>
            </w:r>
          </w:p>
        </w:tc>
        <w:tc>
          <w:tcPr>
            <w:tcW w:type="dxa" w:w="2268"/>
          </w:tcPr>
          <w:p>
            <w:pPr>
              <w:spacing w:after="40"/>
            </w:pPr>
            <w:r>
              <w:rPr>
                <w:rFonts w:ascii="微软雅黑" w:hAnsi="微软雅黑" w:eastAsia="微软雅黑" w:cs="微软雅黑"/>
              </w:rPr>
            </w:r>
            <w:hyperlink w:anchor="source-31796">
              <w:r>
                <w:rPr>
                  <w:rFonts w:ascii="微软雅黑" w:hAnsi="微软雅黑" w:eastAsia="微软雅黑" w:cs="微软雅黑"/>
                  <w:color w:val="087E89"/>
                </w:rPr>
                <w:t>10</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国家能源局称迎峰度冬电力供需总体平衡，三部门发文保煤炭稳产</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电力司副司长谭洪江在30日例行新闻发布会上表示，今年迎峰度冬全国电力供需总体保持平衡；国家发展改革委、国家能源局、国家矿山安监局联合印发《加强煤炭安全稳产保供工作通知》，指导煤矿优化生产组织、挖掘增产潜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谭洪江表示，受超强厄尔尼诺事件影响，预计迎峰度冬期间全国总体气温偏高，阶段性冷空气活动频繁、冷暖起伏幅度较大，南北降水差异明显；湖南、江西、贵州等地低温凝冻范围和强度可能较往年增大，输变电设备覆冰、风机受冻、光伏覆雪等风险增加；霍尔木兹海峡航运持续受阻，一次能源供应保障压力较大。重点产煤省份煤炭产量逐步恢复，全国统调电厂电煤库存约2.1亿吨、可用35天。三部门联合印发《加强煤炭安全稳产保供工作通知》，已达产且符合安全生产条件的煤矿今年12月底前继续组织生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重点产煤省份煤炭产量逐步恢复，预计迎峰度冬期间煤炭供应总体有保障；霍尔木兹海峡航运持续受阻，一次能源供应保障压力较大。</w:t>
      </w:r>
    </w:p>
    <w:p>
      <w:pPr>
        <w:ind w:firstLine="420"/>
      </w:pPr>
      <w:r>
        <w:rPr>
          <w:rFonts w:ascii="微软雅黑" w:hAnsi="微软雅黑" w:eastAsia="微软雅黑" w:cs="微软雅黑"/>
        </w:rPr>
        <w:t>来源：</w:t>
      </w:r>
      <w:hyperlink w:anchor="source-31795">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叙利亚与沙特举行视频会议，审议能源合作执行方案进展</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叙利亚能源部石油事务副部长吉亚斯·迪亚卜与沙特能源大臣顾问、国际项目办公室主任福阿德·穆萨率领的沙特代表团举行视频会议，审议叙沙能源合作执行方案及其最新进展。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讨论内容涵盖便利能源领域合作与供应合同、改进碳氢资源的管理与利用，以及确定最优能源结构。双方讨论了沙特专业公司在叙利亚市场的投资机会，并强调需完成与叙利亚财政部的协调、任命联合委员会和研讨会的代表，为落实商定合作领域铺路。</w:t>
      </w:r>
    </w:p>
    <w:p>
      <w:pPr>
        <w:ind w:firstLine="420"/>
      </w:pPr>
      <w:r>
        <w:rPr>
          <w:rFonts w:ascii="微软雅黑" w:hAnsi="微软雅黑" w:eastAsia="微软雅黑" w:cs="微软雅黑"/>
        </w:rPr>
        <w:t>来源：</w:t>
      </w:r>
      <w:hyperlink w:anchor="source-31715">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3. 伊朗称在霍尔木兹海峡拦截美军无人机并截停4艘油轮</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美国方面30日消息，伊朗军方当天多次发布声明，称在霍尔木兹海峡格什姆岛上空拦截了一架美军无人机，另有4艘试图经未授权航线穿越该海峡的违规油轮发生爆炸或被截停；特朗普称战事将“很快结束”，万斯致函伊朗试图重启谈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美国方面消息，30日仅当天，伊朗军方多次发布声明，涉及在霍尔木兹海峡内格什姆岛上空拦截的一架美军无人机，以及4艘试图经未授权航线穿越霍尔木兹海峡、发生爆炸或被截停的违规油轮。同日特朗普称伊朗战事将“很快结束”，并称届时汽油、柴油以及其他各类商品的价格都会下降；美国副总统万斯向伊朗方面致函，试图重启已经停滞许久的美伊谈判。报道引述分析认为，美伊围绕霍尔木兹海峡控制权反复博弈将直接推高国际油价，冲击全球石油供应与供应链体系稳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分析认为，美伊围绕霍尔木兹海峡控制权的博弈将直接推高国际油价，冲击全球石油供应与供应链体系稳定。</w:t>
      </w:r>
    </w:p>
    <w:p>
      <w:pPr>
        <w:ind w:firstLine="420"/>
      </w:pPr>
      <w:r>
        <w:rPr>
          <w:rFonts w:ascii="微软雅黑" w:hAnsi="微软雅黑" w:eastAsia="微软雅黑" w:cs="微软雅黑"/>
        </w:rPr>
        <w:t>来源：</w:t>
      </w:r>
      <w:hyperlink w:anchor="source-31954">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4. 卡塔尔与伊朗德黑兰会谈超12小时 推动美伊重返谈判</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据美国方面30日消息，卡塔尔调解人员与伊朗在德黑兰举行超过12小时会谈，推动美伊达成协议以避免美国中期选举后再起冲突，会谈将于10月31日在多哈继续；卡塔尔敦促双方就一系列对等措施达成一致。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美国方面30日消息，卡塔尔调解人员与伊朗方面在德黑兰举行了超过12小时的会谈，目标是推动美国和伊朗达成协议，避免在美国中期选举后再次爆发冲突；消息称双方会谈将于10月31日在卡塔尔首都多哈继续。卡塔尔正敦促美国与伊朗就一系列对等措施达成一致并在接下来几天实施，从而使各方重返就伊朗核项目等议题的直接谈判。美国坚持伊朗需在核问题上作出让步才恢复谈判，伊朗要求美方先解除海上封锁、释放被冻结资金并允许伊朗出售石油。美国国防部长赫格塞思和国务卿鲁比奥对能否达成任何核协议高度怀疑，主张进一步削弱伊朗甚至发动打击；以色列总理内塔尼亚胡试图说服特朗普在中期选举后立即对伊朗发起联合行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报道称双方立场仍有差距：美国要求伊朗在核问题上让步，伊朗要求解除海上封锁、释放被冻结资金并允许其出售石油。</w:t>
      </w:r>
    </w:p>
    <w:p>
      <w:pPr>
        <w:ind w:firstLine="420"/>
      </w:pPr>
      <w:r>
        <w:rPr>
          <w:rFonts w:ascii="微软雅黑" w:hAnsi="微软雅黑" w:eastAsia="微软雅黑" w:cs="微软雅黑"/>
        </w:rPr>
        <w:t>来源：</w:t>
      </w:r>
      <w:hyperlink w:anchor="source-31953">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5. 10月布伦特单月涨13.6%，月末收于112美元上方</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国际油价领涨全球主要资产，布伦特单月上涨13.6%，WTI大涨15.2%，双双收于数月高位。布伦特自月初约99美元走高，月中一度触及118美元附近，月末收于112美元上方；WTI同步回升至104美元一线。同期一艘油轮在霍尔木兹海峡遭小艇放置的爆炸装置袭击，为2月以来该海峡首次已知同类袭击。</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布伦特自月初约99美元走高，月中一度触及118美元附近，月末收于112美元上方；WTI单月涨15.2%，回升至104美元一线。美国驻利雅得大使馆宣布自10月23日起撤离非紧急政府雇员及其家属。胡塞武装此前声称袭击拉斯塔努拉炼油厂、拉比格炼油厂及阿布盖格生产设施，沙特联军则表示拦截了一枚巡航导弹。多家船舶追踪机构数据显示，沙特10月原油出口量较9月不降反增。</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海外主流机构在月度简报中表示，未来数周油价波动可能进一步加剧，即便冲突缓和油价预计仍运行在较战前更高的区间，参考区间为70至90美元。</w:t>
      </w:r>
    </w:p>
    <w:p>
      <w:pPr>
        <w:ind w:firstLine="420"/>
      </w:pPr>
      <w:r>
        <w:rPr>
          <w:rFonts w:ascii="微软雅黑" w:hAnsi="微软雅黑" w:eastAsia="微软雅黑" w:cs="微软雅黑"/>
        </w:rPr>
        <w:t>来源：</w:t>
      </w:r>
      <w:hyperlink w:anchor="source-3184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1836">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6. 俄无人机大规模袭击乌克兰能源设施，两地大面积断电</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俄罗斯国防部10月31日通报，30日深夜至31日凌晨俄军用无人机打击乌克兰能源和物流基础设施，包括基辅市一座为乌军后勤设施供电的热电厂、哈尔科夫一处零部件车间和无人机仓库，及敖德萨港以南海域一艘货船。泽连斯基称俄无人机还袭击了第聂伯罗彼得罗夫斯克州4座变电所、一处天然气配气设施和苏梅州一座热电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俄国防部通报称，30日20时至31日8时俄防空部队在别尔哥罗德州、萨马拉州等多地拦截并击落433架乌克兰固定翼无人机。袭击导致第聂伯罗市及周边地区约20万户家庭、基辅州8万多户家庭断电。泽连斯基称过去一夜俄无人机袭击了基辅市一座热电厂、第聂伯罗彼得罗夫斯克州的4座变电所和一处天然气配气设施，以及苏梅州绍斯特卡市的一座热电厂。</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基辅州与第聂伯罗地区大规模停电，涉及热电厂、变电所和天然气配气设施等能源基础设施。</w:t>
      </w:r>
    </w:p>
    <w:p>
      <w:pPr>
        <w:ind w:firstLine="420"/>
      </w:pPr>
      <w:r>
        <w:rPr>
          <w:rFonts w:ascii="微软雅黑" w:hAnsi="微软雅黑" w:eastAsia="微软雅黑" w:cs="微软雅黑"/>
        </w:rPr>
        <w:t>来源：</w:t>
      </w:r>
      <w:hyperlink w:anchor="source-32072">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7. 广汇能源三季度归母净利润14.9亿元，同比增842.2%</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广汇能源2026年三季度归母净利润14.9亿元，同比大增842.2%，环比增长43.5%；前三季度净利润27.7亿元，同比翻近两倍。煤炭、天然气、煤化工三大板块产品均价全面上扬，其中东北亚LNG均价环比涨30.8%，新疆甲醇、高温煤焦油价格分别环比涨9.2%和11.6%。</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机构研报指出，Q3业绩高增主因并非产量扩张，而是价格弹性集中释放，公司成本端相对刚性，毛利空间显著扩大。研报称Q4动力煤、LNG、煤焦油价格继续攀升，环比涨幅最高达25.6%，并认为公司自产气长协恢复稳定，叠加低估值优势（2026年PE仅7倍）。上述为机构研报观点，非公司指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研报认为能源价格中枢抬升使公司利润释放节奏有望超预期。</w:t>
      </w:r>
    </w:p>
    <w:p>
      <w:pPr>
        <w:ind w:firstLine="420"/>
      </w:pPr>
      <w:r>
        <w:rPr>
          <w:rFonts w:ascii="微软雅黑" w:hAnsi="微软雅黑" w:eastAsia="微软雅黑" w:cs="微软雅黑"/>
        </w:rPr>
        <w:t>来源：</w:t>
      </w:r>
      <w:hyperlink w:anchor="source-31916">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8. 印度中央电力管理局预测2031-32年需236.22 GWh电池储能</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印度中央电力管理局预测，到2031-32年印度需要236.22 GWh的电池储能系统（BESS），理由是可再生能源扩张以及电网需要更强的灵活性与平衡能力。相关报道同时称BESS正从备用基础设施演变为智能能源管理平台。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印度中央电力管理局预测到2031-32年需要236.22 GWh的BESS，理由是可再生能源扩张以及电网需要更强的灵活性与平衡能力。文章称电池储能系统正从备用基础设施演变为智能能源管理平台；借助先进的BMS、PCS和EMS，储能可连续监测、预测并优化能量流；AI、云计算和数字服务推高功率密度，数据中心除不间断供电外还需要高效智能的电力架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AI、云计算和数字服务推高功率密度，数据中心除不间断供电外还需要高效智能的电力架构；BPE正在构建面向工业、数据中心、基础设施等关键应用的智能可扩展BESS解决方案交付能力。</w:t>
      </w:r>
    </w:p>
    <w:p>
      <w:pPr>
        <w:ind w:firstLine="420"/>
      </w:pPr>
      <w:r>
        <w:rPr>
          <w:rFonts w:ascii="微软雅黑" w:hAnsi="微软雅黑" w:eastAsia="微软雅黑" w:cs="微软雅黑"/>
        </w:rPr>
        <w:t>来源：</w:t>
      </w:r>
      <w:hyperlink w:anchor="source-31854">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宁德时代钠电“钠新”系列进入量产，预计2026年底规模化</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宁德时代钠离子电池“钠新”系列已进入量产阶段，预计2026年底实现规模化量产。研报认为碳酸锂与铜价上行进一步强化钠电成本优势，钠电池将在储能、低速电动车、汽车启停电源等场景渗透。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宁德时代钠离子电池“钠新”系列已进入量产阶段，预计2026年底实现规模化量产。碳酸锂与铜价持续上行，进一步强化钠电成本优势。机构研报认为钠电池将在储能、低速电动车、汽车启停电源等场景快速渗透，核心优势为低温性能好、原材料无锂依赖、成本更低。研报指出短期不会冲击锂电主流格局，但带来结构性机会：上游纯碱、铝箔、普鲁士蓝材料环节受益，中游具备先发优势的电池厂弹性更大；宁德时代作为全球龙头，技术、渠道与量产进度领先，产业化红利最易兑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研报认为上游纯碱、铝箔、普鲁士蓝材料环节受益，中游具备先发优势的电池厂弹性更大；宁德时代作为全球龙头，技术、渠道与量产进度领先，产业化红利最易兑现。</w:t>
      </w:r>
    </w:p>
    <w:p>
      <w:pPr>
        <w:ind w:firstLine="420"/>
      </w:pPr>
      <w:r>
        <w:rPr>
          <w:rFonts w:ascii="微软雅黑" w:hAnsi="微软雅黑" w:eastAsia="微软雅黑" w:cs="微软雅黑"/>
        </w:rPr>
        <w:t>来源：</w:t>
      </w:r>
      <w:hyperlink w:anchor="source-31983">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10. TCL中环三季度减亏加速 子公司中环领先首次单季盈利</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TCL中环发布2026年三季度业绩：营收91.99亿元，同比增长12.55%、环比增长18.46%，归母净利-13.52亿元，同比减亏11.86%、环比减亏13.17%；毛利率回升6.82个百分点至-3.7%。半导体子公司中环领先实现首次单季盈利0.8亿元，前三季度盈亏平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三季度公司营收91.99亿元，同比增长12.55%，环比增长18.46%；归母净利-13.52亿元，同比减亏11.86%，环比减亏13.17%；毛利率回升6.82个百分点至-3.7%，资产与信用减值明显收窄。前三季度光伏业务收入186.1亿元，硅片出货83.4GW，海外组件出货量同比大增202%。半导体子公司中环领先Q3净利润0.8亿元，首次单季盈利，前三季度盈亏平衡，12英寸硅片出货增24%。研报称BC电池/组件技改项目将于2027年一季度陆续投产，50GW组件产能中半数为高毛利BC路线；2026年全年利润仍承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硅片出货83.4GW，海外组件出货量同比大增202%，12英寸硅片出货增24%；研报称光伏主业从“量增”转向“质升”。</w:t>
      </w:r>
    </w:p>
    <w:p>
      <w:pPr>
        <w:ind w:firstLine="420"/>
      </w:pPr>
      <w:r>
        <w:rPr>
          <w:rFonts w:ascii="微软雅黑" w:hAnsi="微软雅黑" w:eastAsia="微软雅黑" w:cs="微软雅黑"/>
        </w:rPr>
        <w:t>来源：</w:t>
      </w:r>
      <w:hyperlink w:anchor="source-31798">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11. 乌兰察布京大150万千瓦风光火储一体化基地开工</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28日，乌兰察布京大150万千瓦“风光火储一体化”大型风电光伏基地项目在丰镇市开工建设。该项目是国家“沙戈荒”大型风光基地重点工程，也是深化京蒙能源协同、落实“绿电进京”战略的标杆项目，目前处于开工阶段，尚未建成投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28日，京大150万千瓦“风光火储一体化”大型风电光伏基地项目在丰镇市开工建设。总装机150万千瓦，含风电120万千瓦、光伏30万千瓦，配套储能22.5万千瓦/4小时，依托存量火电构建“风光发电、储能调节、火电兜底”的多能互补体系，绿电经“京隆—大同—房山”外送通道直供京津冀负荷中心。项目建成投产后预计每年为京津冀电网输送约29.36亿度绿电，节约标煤约103.85万吨，减排二氧化碳约295.9万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项目建成后绿电经“京隆—大同—房山”通道直供京津冀负荷中心，预计每年输送约29.36亿度绿电，节约标煤约103.85万吨、减排二氧化碳约295.9万吨。</w:t>
      </w:r>
    </w:p>
    <w:p>
      <w:pPr>
        <w:ind w:firstLine="420"/>
      </w:pPr>
      <w:r>
        <w:rPr>
          <w:rFonts w:ascii="微软雅黑" w:hAnsi="微软雅黑" w:eastAsia="微软雅黑" w:cs="微软雅黑"/>
        </w:rPr>
        <w:t>来源：</w:t>
      </w:r>
      <w:hyperlink w:anchor="source-32172">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12. 中东局势与炼厂遇袭推高国际油价，WTI结算价升至每桶104.12美元</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受伊朗战争造成的供给中断、乌克兰袭击俄罗斯炼厂以及霍尔木兹海峡遇袭事件影响，油价周五大幅上涨，美国WTI原油结算价报每桶104.12美元，布伦特原油收于每桶117.63美元。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原油结算价上涨2.08%（2.12美元），报每桶104.12美元；布伦特原油当日上涨2.4%（2.76美元），收于每桶117.63美元；12月交割的WTI原油上涨2.1%，结算价为每桶104.12美元，为全球基准油价连续第四个月上涨。报道将上涨与美国总统特朗普多次威胁在中期选举后重启对伊朗空袭、交易员为局势升级做准备联系起来。同日LME期铜下跌1.4%，报14154.5美元/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报道称供给中断推高炼油利润，石油巨头公布了强劲利润。</w:t>
      </w:r>
    </w:p>
    <w:p>
      <w:pPr>
        <w:ind w:firstLine="420"/>
      </w:pPr>
      <w:r>
        <w:rPr>
          <w:rFonts w:ascii="微软雅黑" w:hAnsi="微软雅黑" w:eastAsia="微软雅黑" w:cs="微软雅黑"/>
        </w:rPr>
        <w:t>来源：</w:t>
      </w:r>
      <w:hyperlink w:anchor="source-31794">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1711">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31777">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13. 霍尔木兹海峡油轮遇袭及触雷爆炸，船舶安全风险上升</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霍尔木兹海峡连续发生船舶遇袭与触雷爆炸事件，一艘油轮周五在霍尔木兹海峡遭到袭击，凸显持续存在的供给风险。</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称一艘油轮在霍尔木兹海峡遭到袭击，凸显持续存在的供给风险；同日伊朗方面称当天第四艘违规航行油轮穿越霍尔木兹海峡时触雷爆炸。英国海上贸易行动办公室通报两起船舶遇袭事件。美国财政部报告称，海上封锁与制裁正重创伊朗经济。</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报道将霍尔木兹海峡遇袭与油轮供给风险相联系，交易员已为局势可能升级做准备。</w:t>
      </w:r>
    </w:p>
    <w:p>
      <w:pPr>
        <w:ind w:firstLine="420"/>
      </w:pPr>
      <w:r>
        <w:rPr>
          <w:rFonts w:ascii="微软雅黑" w:hAnsi="微软雅黑" w:eastAsia="微软雅黑" w:cs="微软雅黑"/>
        </w:rPr>
        <w:t>来源：</w:t>
      </w:r>
      <w:hyperlink w:anchor="source-31775">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31794">
        <w:r>
          <w:rPr>
            <w:rFonts w:ascii="微软雅黑" w:hAnsi="微软雅黑" w:eastAsia="微软雅黑" w:cs="微软雅黑"/>
            <w:color w:val="087E89"/>
          </w:rPr>
          <w:t>1</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14. 风电装机7.0亿千瓦，“十五五”提出置信出力与分区利用率目标</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10月26日发布数据，截至9月底我国风电装机达7.0亿千瓦，连续多年居世界第一，发电量约占全社会用电量的11%；《可再生能源发展“十五五”规划》同时提出2030年风电光伏平均置信出力与晚高峰电量占比目标，并下调为分区设定利用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能源局10月26日发布数据：截至9月底风电装机达到7.0亿千瓦，连续多年居世界第一，发电量约占全社会用电量的11%。《可再生能源发展“十五五”规划》提出，到2030年全国风电光伏（含源侧配建储能）平均置信出力达到8%，其中风电11%左右，迎峰度夏、度冬晚高峰风电光伏电量占比达到20%以上。利用率目标已改成分区设定：消纳条件好的地区要求95%以上，“三北”放宽到85%左右，新疆、内蒙古有些时候实际只有70%到80%。娄益民测算，风储一体机中储能与风机同处一个机位、共用一套变压器，风场收益理论上能提升20%左右、建设成本下降约10%。</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国家能源局称风电发电量约占全社会用电量的11%；娄益民测算风储一体机方案可使风场收益理论上提升20%左右、建设成本下降约10%。</w:t>
      </w:r>
    </w:p>
    <w:p>
      <w:pPr>
        <w:ind w:firstLine="420"/>
      </w:pPr>
      <w:r>
        <w:rPr>
          <w:rFonts w:ascii="微软雅黑" w:hAnsi="微软雅黑" w:eastAsia="微软雅黑" w:cs="微软雅黑"/>
        </w:rPr>
        <w:t>来源：</w:t>
      </w:r>
      <w:hyperlink w:anchor="source-31947">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15. 新疆五家渠20万千瓦/80万千瓦时构网型储能电站开工</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疆生产建设兵团第六师五家渠市20万千瓦/80万千瓦时构网型储能电站项目近日举行开工奠基仪式，为开工状态而非投运。项目采用磷酸铁锂电池技术路线，并新建一座110千伏变电站，用于提升区域风电光伏消纳能力和电网调节能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由华夏兴疆(五家渠)新型储能有限公司投资8亿余元建设，技术路线采用磷酸铁锂电池，新建一座110千伏变电站，提升区域风电光伏消纳能力，补强新疆昌吉州东部电网调节能力。项目依托峰谷价差、容量电价、电力辅助服务多元收益模式，打造标准化、可复制的北疆储能示范样板。北塔山牧场目前风电光伏发电企业达13家，总装机容量1.72吉瓦；当地风电光伏存在波动性大、消纳困难、与电网稳定性要求冲突等痛点，弃电率居高不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项目意在解决新能源“发得出、存不住、送不稳”难题，补强新疆昌吉州东部电网调节能力，并打造北疆标准化储能示范样板。</w:t>
      </w:r>
    </w:p>
    <w:p>
      <w:pPr>
        <w:ind w:firstLine="420"/>
      </w:pPr>
      <w:r>
        <w:rPr>
          <w:rFonts w:ascii="微软雅黑" w:hAnsi="微软雅黑" w:eastAsia="微软雅黑" w:cs="微软雅黑"/>
        </w:rPr>
        <w:t>来源：</w:t>
      </w:r>
      <w:hyperlink w:anchor="source-31968">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16. 山西焦煤前三季度净利20.2亿元增40.9%，Q3增86.4%，停产矿陆续复产</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山西焦煤2026年前三季度营收275.6亿元、归母净利润20.2亿元，第三季度单季归母净利润7.83亿元、同比增长86.4%；7—9月临时停产的西曲等矿已陆续复产，10月起复产节奏明显加快。</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山西焦煤2026年前三季度营收275.6亿元，同比增长1.4%；归母净利润20.2亿元，同比增长40.9%。Q3单季营收95.3亿元，同比+4.5%；归母净利润7.83亿元，同比+86.4%。财务费用同比骤降51%，主因西曲矿融资利息资本化；资产处置收益2.06亿元，同比激增29倍；参股中润铝业贡献投资收益4.49亿元。公司以247亿元竞得兴县区块探矿权，含9.5亿吨煤炭资源，毗邻斜沟矿可共享基建，未来800万吨/年新增产能。盈利预测上调，2026—2028年净利润分别调至24.3/29.4/28.5亿元，上调幅度最高达31%。</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公司称未来800万吨/年新增产能将提升资源壁垒；盈利预测上调至2026—2028年净利润24.3/29.4/28.5亿元，上调幅度最高达31%。</w:t>
      </w:r>
    </w:p>
    <w:p>
      <w:pPr>
        <w:ind w:firstLine="420"/>
      </w:pPr>
      <w:r>
        <w:rPr>
          <w:rFonts w:ascii="微软雅黑" w:hAnsi="微软雅黑" w:eastAsia="微软雅黑" w:cs="微软雅黑"/>
        </w:rPr>
        <w:t>来源：</w:t>
      </w:r>
      <w:hyperlink w:anchor="source-31796">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17. 中国海油第三季度营收1129.14亿元、归母净利333亿元同比增长2.7%</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中国海油10月30日公告，2026年第三季度实现营业收入1129.14亿元，同比增长7.6%；归母净利润333亿元，同比增长2.7%，基本每股收益0.7元。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国海油10月30日公告：2026年第三季度营业收入1129.14亿元，同比增长7.6%；归母净利润333亿元，同比增长2.7%；基本每股收益0.7元。前三季度营业收入3555.74亿元，同比增长13.8%；归母净利润1191.18亿元，同比增长16.8%；基本每股收益2.51元。</w:t>
      </w:r>
    </w:p>
    <w:p>
      <w:pPr>
        <w:ind w:firstLine="420"/>
      </w:pPr>
      <w:r>
        <w:rPr>
          <w:rFonts w:ascii="微软雅黑" w:hAnsi="微软雅黑" w:eastAsia="微软雅黑" w:cs="微软雅黑"/>
        </w:rPr>
        <w:t>来源：</w:t>
      </w:r>
      <w:hyperlink w:anchor="source-32092">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18. 前三季度全国可再生能源发电量3.13万亿千瓦时，光伏装机超过煤电</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今年前三季度，全国可再生能源发电量达到3.13万亿千瓦时，同比增长约8%，占全部发电量的41.8%；截至9月底，可再生能源装机规模达25.18亿千瓦，同比增长14.6%，其中光伏装机历史性超过煤电，成为装机规模最大的电源品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前三季度全国可再生能源发电量3.13万亿千瓦时，同比增长约8%，占全部发电量的41.8%，超过同期第三产业用电量16109亿千瓦时与居民生活用电量12346亿千瓦时之和。前三季度可再生能源新增装机1.8亿千瓦，占全部新增装机的71.7%，其中风光新增装机1.7亿千瓦，占全部新增装机的67.6%。截至9月底，可再生能源装机规模25.18亿千瓦，同比增长14.6%，约占总装机的60.94%；风电与光伏装机合计20.1亿千瓦，约占全国电力总装机的48.66%。光伏发电装机历史性超过煤电，成为装机规模最大的电源品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可再生能源发电量超过同期第三产业用电量（16109亿千瓦时）与居民生活用电量（12346亿千瓦时）总和，可满足全社会近四成的用电需求。</w:t>
      </w:r>
    </w:p>
    <w:p>
      <w:pPr>
        <w:ind w:firstLine="420"/>
      </w:pPr>
      <w:r>
        <w:rPr>
          <w:rFonts w:ascii="微软雅黑" w:hAnsi="微软雅黑" w:eastAsia="微软雅黑" w:cs="微软雅黑"/>
        </w:rPr>
        <w:t>来源：</w:t>
      </w:r>
      <w:hyperlink w:anchor="source-31729">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19. 安克创新三季度扣非净利增61.2%，欧洲储能新品落地</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安克创新2026年三季度营收95.4亿元，同比增长17%，扣非归母净利润8.4亿元，同比大增61.2%，欧洲储能新品Solarbank Max和S2000落地，国内收入同比激增92.2%。</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安克创新2026年三季度营收95.4亿元，同比增17%；扣非归母净利润8.4亿元，同比大增61.2%，显著超出市场预期。单季毛利率提升1.4个百分点至46.0%，销售费用率同比下降2.4个百分点。国内收入同比激增92.2%，得益于高端线下渠道快速铺开；欧洲储能新品Solarbank Max和S2000落地。公司归母利润受南芯科技股价下跌拖累，但主动优化费用结构、减值减少、税率回落，核心主业韧性凸显。报道提及当前估值仅20倍PE，低于三年平均，目标价170元，维持“强推”评级。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欧洲储能新品Solarbank Max和S2000落地，打开第二增长曲线；国内收入同比激增92.2%，得益于高端线下渠道快速铺开。</w:t>
      </w:r>
    </w:p>
    <w:p>
      <w:pPr>
        <w:ind w:firstLine="420"/>
      </w:pPr>
      <w:r>
        <w:rPr>
          <w:rFonts w:ascii="微软雅黑" w:hAnsi="微软雅黑" w:eastAsia="微软雅黑" w:cs="微软雅黑"/>
        </w:rPr>
        <w:t>来源：</w:t>
      </w:r>
      <w:hyperlink w:anchor="source-31797">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20. 宁夏首个百万千瓦级“两个联营”示范项目首台机组投运</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国内首个百万千瓦级“两个联营”示范项目首台机组投运，项目同步建设核定产能400万吨/年的南湾煤矿及铁路专用线，采用新一代高效超超临界灵活机组。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同步建设核定产能400万吨/年的南湾煤矿及铁路专用线，配置新一代高效超超临界灵活机组，首次应用百万千瓦级机组20%-100%全域自适应智能巡航控制技术，具备深度降负荷、快速爬坡响应能力。废水采用“低温浓缩+高温干燥”工艺实现零排放，近8000个混凝土桩头全部破碎回用，每年消纳再生水410万立方米作为主要生产水源。首台机组投运后将补齐宁夏能源布局“北重南轻”短板，成为宁夏南部骨干支撑电源，配套铁路专用线打通固原新材料产业园物流通道，并具备工业供汽、民生集中供热能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机组投运后将补齐宁夏能源布局“北重南轻”短板，成为宁夏南部骨干支撑电源，推动区域煤炭资源就地转化，配套铁路专用线打通固原新材料产业园物流通道，并具备工业供汽、民生集中供热能力。</w:t>
      </w:r>
    </w:p>
    <w:p>
      <w:pPr>
        <w:ind w:firstLine="420"/>
      </w:pPr>
      <w:r>
        <w:rPr>
          <w:rFonts w:ascii="微软雅黑" w:hAnsi="微软雅黑" w:eastAsia="微软雅黑" w:cs="微软雅黑"/>
        </w:rPr>
        <w:t>来源：</w:t>
      </w:r>
      <w:hyperlink w:anchor="source-31946">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特朗普多次威胁在中期选举后重启对伊朗空袭，一名高级指挥官周四向特朗普汇报了军事行动选项。 </w:t>
      </w:r>
      <w:hyperlink w:anchor="source-31794">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1711">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3177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湖南、江西、贵州等地低温凝冻范围和强度可能较往年增大，输变电设备覆冰、风机受冻、光伏覆雪等风险增加。 </w:t>
      </w:r>
      <w:hyperlink w:anchor="source-3179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美伊谈判已停滞许久，重启结果未明；特朗普所称物价下降为其个人表述，非已实现结果。 </w:t>
      </w:r>
      <w:hyperlink w:anchor="source-3195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新疆、内蒙古部分时段实际利用率仅70%到80%；风储一体机收益提升与成本下降为理论测算。 </w:t>
      </w:r>
      <w:hyperlink w:anchor="source-3194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机构给出的70至90美元为预测区间，非实际成交价；霍尔木兹袭击与胡塞武装声称的袭击影响尚无定论。 </w:t>
      </w:r>
      <w:hyperlink w:anchor="source-31842">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31836">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研报称2026年全年利润仍承压；BC电池/组件技改项目将于2027年一季度陆续投产，尚未投产；2027年产能出清、BC与半导体放量三重拐点属研报判断。 </w:t>
      </w:r>
      <w:hyperlink w:anchor="source-31798">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64 篇文章，形成 48 篇有效能源材料；正文引用 23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31794"/>
      <w:bookmarkEnd w:id="1" w:name="source-31794"/>
    </w:p>
    <w:p>
      <w:pPr>
        <w:pStyle w:val="ListBullet"/>
      </w:pPr>
      <w:r>
        <w:rPr>
          <w:rFonts w:ascii="微软雅黑" w:hAnsi="微软雅黑" w:eastAsia="微软雅黑" w:cs="微软雅黑"/>
        </w:rPr>
        <w:t>[1] The Edge Malaysia等｜</w:t>
      </w:r>
      <w:hyperlink r:id="rId11">
        <w:r>
          <w:rPr>
            <w:rFonts w:ascii="微软雅黑" w:hAnsi="微软雅黑" w:eastAsia="微软雅黑" w:cs="微软雅黑"/>
            <w:color w:val="087E89"/>
          </w:rPr>
          <w:t>美国股市因AI现金消耗担忧下跌，油价上涨提振债券走强</w:t>
        </w:r>
      </w:hyperlink>
      <w:r>
        <w:rPr>
          <w:rFonts w:ascii="微软雅黑" w:hAnsi="微软雅黑" w:eastAsia="微软雅黑" w:cs="微软雅黑"/>
        </w:rPr>
      </w:r>
    </w:p>
    <w:p>
      <w:pPr>
        <w:spacing w:after="0" w:line="20" w:lineRule="exact"/>
      </w:pPr>
      <w:bookmarkStart w:id="2" w:name="source-31711"/>
      <w:bookmarkEnd w:id="2" w:name="source-31711"/>
    </w:p>
    <w:p>
      <w:pPr>
        <w:pStyle w:val="ListBullet"/>
      </w:pPr>
      <w:r>
        <w:rPr>
          <w:rFonts w:ascii="微软雅黑" w:hAnsi="微软雅黑" w:eastAsia="微软雅黑" w:cs="微软雅黑"/>
        </w:rPr>
        <w:t>[2] 新浪财经｜</w:t>
      </w:r>
      <w:hyperlink r:id="rId12">
        <w:r>
          <w:rPr>
            <w:rFonts w:ascii="微软雅黑" w:hAnsi="微软雅黑" w:eastAsia="微软雅黑" w:cs="微软雅黑"/>
            <w:color w:val="087E89"/>
          </w:rPr>
          <w:t>原油：油价上涨 中东局势不确定性令投资者担忧</w:t>
        </w:r>
      </w:hyperlink>
      <w:r>
        <w:rPr>
          <w:rFonts w:ascii="微软雅黑" w:hAnsi="微软雅黑" w:eastAsia="微软雅黑" w:cs="微软雅黑"/>
        </w:rPr>
      </w:r>
    </w:p>
    <w:p>
      <w:pPr>
        <w:spacing w:after="0" w:line="20" w:lineRule="exact"/>
      </w:pPr>
      <w:bookmarkStart w:id="3" w:name="source-31777"/>
      <w:bookmarkEnd w:id="3" w:name="source-31777"/>
    </w:p>
    <w:p>
      <w:pPr>
        <w:pStyle w:val="ListBullet"/>
      </w:pPr>
      <w:r>
        <w:rPr>
          <w:rFonts w:ascii="微软雅黑" w:hAnsi="微软雅黑" w:eastAsia="微软雅黑" w:cs="微软雅黑"/>
        </w:rPr>
        <w:t>[3] 新浪财经｜</w:t>
      </w:r>
      <w:hyperlink r:id="rId13">
        <w:r>
          <w:rPr>
            <w:rFonts w:ascii="微软雅黑" w:hAnsi="微软雅黑" w:eastAsia="微软雅黑" w:cs="微软雅黑"/>
            <w:color w:val="087E89"/>
          </w:rPr>
          <w:t>大宗商品综述：油价上涨 铜价下跌 金价下挫</w:t>
        </w:r>
      </w:hyperlink>
      <w:r>
        <w:rPr>
          <w:rFonts w:ascii="微软雅黑" w:hAnsi="微软雅黑" w:eastAsia="微软雅黑" w:cs="微软雅黑"/>
        </w:rPr>
      </w:r>
    </w:p>
    <w:p>
      <w:pPr>
        <w:spacing w:after="0" w:line="20" w:lineRule="exact"/>
      </w:pPr>
      <w:bookmarkStart w:id="4" w:name="source-31795"/>
      <w:bookmarkEnd w:id="4" w:name="source-31795"/>
    </w:p>
    <w:p>
      <w:pPr>
        <w:pStyle w:val="ListBullet"/>
      </w:pPr>
      <w:r>
        <w:rPr>
          <w:rFonts w:ascii="微软雅黑" w:hAnsi="微软雅黑" w:eastAsia="微软雅黑" w:cs="微软雅黑"/>
        </w:rPr>
        <w:t>[4] 经济日报｜</w:t>
      </w:r>
      <w:hyperlink r:id="rId14">
        <w:r>
          <w:rPr>
            <w:rFonts w:ascii="微软雅黑" w:hAnsi="微软雅黑" w:eastAsia="微软雅黑" w:cs="微软雅黑"/>
            <w:color w:val="087E89"/>
          </w:rPr>
          <w:t>今冬能源电力供应有保障</w:t>
        </w:r>
      </w:hyperlink>
      <w:r>
        <w:rPr>
          <w:rFonts w:ascii="微软雅黑" w:hAnsi="微软雅黑" w:eastAsia="微软雅黑" w:cs="微软雅黑"/>
        </w:rPr>
      </w:r>
    </w:p>
    <w:p>
      <w:pPr>
        <w:spacing w:after="0" w:line="20" w:lineRule="exact"/>
      </w:pPr>
      <w:bookmarkStart w:id="5" w:name="source-31954"/>
      <w:bookmarkEnd w:id="5" w:name="source-31954"/>
    </w:p>
    <w:p>
      <w:pPr>
        <w:pStyle w:val="ListBullet"/>
      </w:pPr>
      <w:r>
        <w:rPr>
          <w:rFonts w:ascii="微软雅黑" w:hAnsi="微软雅黑" w:eastAsia="微软雅黑" w:cs="微软雅黑"/>
        </w:rPr>
        <w:t>[5] 新浪财经｜</w:t>
      </w:r>
      <w:hyperlink r:id="rId15">
        <w:r>
          <w:rPr>
            <w:rFonts w:ascii="微软雅黑" w:hAnsi="微软雅黑" w:eastAsia="微软雅黑" w:cs="微软雅黑"/>
            <w:color w:val="087E89"/>
          </w:rPr>
          <w:t>特朗普再称伊朗战事将“很快结束” 多架美军机飞抵以色列</w:t>
        </w:r>
      </w:hyperlink>
      <w:r>
        <w:rPr>
          <w:rFonts w:ascii="微软雅黑" w:hAnsi="微软雅黑" w:eastAsia="微软雅黑" w:cs="微软雅黑"/>
        </w:rPr>
      </w:r>
    </w:p>
    <w:p>
      <w:pPr>
        <w:spacing w:after="0" w:line="20" w:lineRule="exact"/>
      </w:pPr>
      <w:bookmarkStart w:id="6" w:name="source-31947"/>
      <w:bookmarkEnd w:id="6" w:name="source-31947"/>
    </w:p>
    <w:p>
      <w:pPr>
        <w:pStyle w:val="ListBullet"/>
      </w:pPr>
      <w:r>
        <w:rPr>
          <w:rFonts w:ascii="微软雅黑" w:hAnsi="微软雅黑" w:eastAsia="微软雅黑" w:cs="微软雅黑"/>
        </w:rPr>
        <w:t>[6] 中国能源新闻网 · 中能观察 | 7亿千瓦之后，风电的题，难了｜</w:t>
      </w:r>
      <w:hyperlink r:id="rId16">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7" w:name="source-31842"/>
      <w:bookmarkEnd w:id="7" w:name="source-31842"/>
    </w:p>
    <w:p>
      <w:pPr>
        <w:pStyle w:val="ListBullet"/>
      </w:pPr>
      <w:r>
        <w:rPr>
          <w:rFonts w:ascii="微软雅黑" w:hAnsi="微软雅黑" w:eastAsia="微软雅黑" w:cs="微软雅黑"/>
        </w:rPr>
        <w:t>[7] 汇通财经｜</w:t>
      </w:r>
      <w:hyperlink r:id="rId17">
        <w:r>
          <w:rPr>
            <w:rFonts w:ascii="微软雅黑" w:hAnsi="微软雅黑" w:eastAsia="微软雅黑" w:cs="微软雅黑"/>
            <w:color w:val="087E89"/>
          </w:rPr>
          <w:t>油价单月狂飙14%，118美元的布油只是开始？</w:t>
        </w:r>
      </w:hyperlink>
      <w:r>
        <w:rPr>
          <w:rFonts w:ascii="微软雅黑" w:hAnsi="微软雅黑" w:eastAsia="微软雅黑" w:cs="微软雅黑"/>
        </w:rPr>
      </w:r>
    </w:p>
    <w:p>
      <w:pPr>
        <w:spacing w:after="0" w:line="20" w:lineRule="exact"/>
      </w:pPr>
      <w:bookmarkStart w:id="8" w:name="source-31836"/>
      <w:bookmarkEnd w:id="8" w:name="source-31836"/>
    </w:p>
    <w:p>
      <w:pPr>
        <w:pStyle w:val="ListBullet"/>
      </w:pPr>
      <w:r>
        <w:rPr>
          <w:rFonts w:ascii="微软雅黑" w:hAnsi="微软雅黑" w:eastAsia="微软雅黑" w:cs="微软雅黑"/>
        </w:rPr>
        <w:t>[8] 新浪财经｜</w:t>
      </w:r>
      <w:hyperlink r:id="rId18">
        <w:r>
          <w:rPr>
            <w:rFonts w:ascii="微软雅黑" w:hAnsi="微软雅黑" w:eastAsia="微软雅黑" w:cs="微软雅黑"/>
            <w:color w:val="087E89"/>
          </w:rPr>
          <w:t>油价单月狂飙14%，118美元的布油只是开始？</w:t>
        </w:r>
      </w:hyperlink>
      <w:r>
        <w:rPr>
          <w:rFonts w:ascii="微软雅黑" w:hAnsi="微软雅黑" w:eastAsia="微软雅黑" w:cs="微软雅黑"/>
        </w:rPr>
      </w:r>
    </w:p>
    <w:p>
      <w:pPr>
        <w:spacing w:after="0" w:line="20" w:lineRule="exact"/>
      </w:pPr>
      <w:bookmarkStart w:id="9" w:name="source-31798"/>
      <w:bookmarkEnd w:id="9" w:name="source-31798"/>
    </w:p>
    <w:p>
      <w:pPr>
        <w:pStyle w:val="ListBullet"/>
      </w:pPr>
      <w:r>
        <w:rPr>
          <w:rFonts w:ascii="微软雅黑" w:hAnsi="微软雅黑" w:eastAsia="微软雅黑" w:cs="微软雅黑"/>
        </w:rPr>
        <w:t>[9] 中财网｜</w:t>
      </w:r>
      <w:hyperlink r:id="rId19">
        <w:r>
          <w:rPr>
            <w:rFonts w:ascii="微软雅黑" w:hAnsi="微软雅黑" w:eastAsia="微软雅黑" w:cs="微软雅黑"/>
            <w:color w:val="087E89"/>
          </w:rPr>
          <w:t>TCL中环光伏减亏加速 半导体单季盈利双轮驱动</w:t>
        </w:r>
      </w:hyperlink>
      <w:r>
        <w:rPr>
          <w:rFonts w:ascii="微软雅黑" w:hAnsi="微软雅黑" w:eastAsia="微软雅黑" w:cs="微软雅黑"/>
        </w:rPr>
      </w:r>
    </w:p>
    <w:p>
      <w:pPr>
        <w:spacing w:after="0" w:line="20" w:lineRule="exact"/>
      </w:pPr>
      <w:bookmarkStart w:id="10" w:name="source-31796"/>
      <w:bookmarkEnd w:id="10" w:name="source-31796"/>
    </w:p>
    <w:p>
      <w:pPr>
        <w:pStyle w:val="ListBullet"/>
      </w:pPr>
      <w:r>
        <w:rPr>
          <w:rFonts w:ascii="微软雅黑" w:hAnsi="微软雅黑" w:eastAsia="微软雅黑" w:cs="微软雅黑"/>
        </w:rPr>
        <w:t>[10] 中财网｜</w:t>
      </w:r>
      <w:hyperlink r:id="rId20">
        <w:r>
          <w:rPr>
            <w:rFonts w:ascii="微软雅黑" w:hAnsi="微软雅黑" w:eastAsia="微软雅黑" w:cs="微软雅黑"/>
            <w:color w:val="087E89"/>
          </w:rPr>
          <w:t>山西焦煤Q3净利暴增86% 复产+高煤价双轮驱动</w:t>
        </w:r>
      </w:hyperlink>
      <w:r>
        <w:rPr>
          <w:rFonts w:ascii="微软雅黑" w:hAnsi="微软雅黑" w:eastAsia="微软雅黑" w:cs="微软雅黑"/>
        </w:rPr>
      </w:r>
    </w:p>
    <w:p>
      <w:pPr>
        <w:spacing w:after="0" w:line="20" w:lineRule="exact"/>
      </w:pPr>
      <w:bookmarkStart w:id="11" w:name="source-31946"/>
      <w:bookmarkEnd w:id="11" w:name="source-31946"/>
    </w:p>
    <w:p>
      <w:pPr>
        <w:pStyle w:val="ListBullet"/>
      </w:pPr>
      <w:r>
        <w:rPr>
          <w:rFonts w:ascii="微软雅黑" w:hAnsi="微软雅黑" w:eastAsia="微软雅黑" w:cs="微软雅黑"/>
        </w:rPr>
        <w:t>[11] 中国能源新闻网｜</w:t>
      </w:r>
      <w:hyperlink r:id="rId21">
        <w:r>
          <w:rPr>
            <w:rFonts w:ascii="微软雅黑" w:hAnsi="微软雅黑" w:eastAsia="微软雅黑" w:cs="微软雅黑"/>
            <w:color w:val="087E89"/>
          </w:rPr>
          <w:t>国内首个百万千瓦级“两个联营”示范项目首台机组投运</w:t>
        </w:r>
      </w:hyperlink>
      <w:r>
        <w:rPr>
          <w:rFonts w:ascii="微软雅黑" w:hAnsi="微软雅黑" w:eastAsia="微软雅黑" w:cs="微软雅黑"/>
        </w:rPr>
      </w:r>
    </w:p>
    <w:p>
      <w:pPr>
        <w:spacing w:after="0" w:line="20" w:lineRule="exact"/>
      </w:pPr>
      <w:bookmarkStart w:id="12" w:name="source-31854"/>
      <w:bookmarkEnd w:id="12" w:name="source-31854"/>
    </w:p>
    <w:p>
      <w:pPr>
        <w:pStyle w:val="ListBullet"/>
      </w:pPr>
      <w:r>
        <w:rPr>
          <w:rFonts w:ascii="微软雅黑" w:hAnsi="微软雅黑" w:eastAsia="微软雅黑" w:cs="微软雅黑"/>
        </w:rPr>
        <w:t>[12] The Battery Magazine｜</w:t>
      </w:r>
      <w:hyperlink r:id="rId22">
        <w:r>
          <w:rPr>
            <w:rFonts w:ascii="微软雅黑" w:hAnsi="微软雅黑" w:eastAsia="微软雅黑" w:cs="微软雅黑"/>
            <w:color w:val="087E89"/>
          </w:rPr>
          <w:t>印度BESS：从备用到智能——电力管理的演进</w:t>
        </w:r>
      </w:hyperlink>
      <w:r>
        <w:rPr>
          <w:rFonts w:ascii="微软雅黑" w:hAnsi="微软雅黑" w:eastAsia="微软雅黑" w:cs="微软雅黑"/>
        </w:rPr>
      </w:r>
    </w:p>
    <w:p>
      <w:pPr>
        <w:spacing w:after="0" w:line="20" w:lineRule="exact"/>
      </w:pPr>
      <w:bookmarkStart w:id="13" w:name="source-31729"/>
      <w:bookmarkEnd w:id="13" w:name="source-31729"/>
    </w:p>
    <w:p>
      <w:pPr>
        <w:pStyle w:val="ListBullet"/>
      </w:pPr>
      <w:r>
        <w:rPr>
          <w:rFonts w:ascii="微软雅黑" w:hAnsi="微软雅黑" w:eastAsia="微软雅黑" w:cs="微软雅黑"/>
        </w:rPr>
        <w:t>[13] 人民日报｜</w:t>
      </w:r>
      <w:hyperlink r:id="rId23">
        <w:r>
          <w:rPr>
            <w:rFonts w:ascii="微软雅黑" w:hAnsi="微软雅黑" w:eastAsia="微软雅黑" w:cs="微软雅黑"/>
            <w:color w:val="087E89"/>
          </w:rPr>
          <w:t>前三季度可再生能源发电量增长约百分之八</w:t>
        </w:r>
      </w:hyperlink>
      <w:r>
        <w:rPr>
          <w:rFonts w:ascii="微软雅黑" w:hAnsi="微软雅黑" w:eastAsia="微软雅黑" w:cs="微软雅黑"/>
        </w:rPr>
      </w:r>
    </w:p>
    <w:p>
      <w:pPr>
        <w:spacing w:after="0" w:line="20" w:lineRule="exact"/>
      </w:pPr>
      <w:bookmarkStart w:id="14" w:name="source-31775"/>
      <w:bookmarkEnd w:id="14" w:name="source-31775"/>
    </w:p>
    <w:p>
      <w:pPr>
        <w:pStyle w:val="ListBullet"/>
      </w:pPr>
      <w:r>
        <w:rPr>
          <w:rFonts w:ascii="微软雅黑" w:hAnsi="微软雅黑" w:eastAsia="微软雅黑" w:cs="微软雅黑"/>
        </w:rPr>
        <w:t>[14] 新浪财经｜</w:t>
      </w:r>
      <w:hyperlink r:id="rId24">
        <w:r>
          <w:rPr>
            <w:rFonts w:ascii="微软雅黑" w:hAnsi="微软雅黑" w:eastAsia="微软雅黑" w:cs="微软雅黑"/>
            <w:color w:val="087E89"/>
          </w:rPr>
          <w:t>10月31日隔夜要闻：纳指创下6月以来最差单日表现 金价下跌 油价上涨 俄美乌三方会谈拟于11月举行</w:t>
        </w:r>
      </w:hyperlink>
      <w:r>
        <w:rPr>
          <w:rFonts w:ascii="微软雅黑" w:hAnsi="微软雅黑" w:eastAsia="微软雅黑" w:cs="微软雅黑"/>
        </w:rPr>
      </w:r>
    </w:p>
    <w:p>
      <w:pPr>
        <w:spacing w:after="0" w:line="20" w:lineRule="exact"/>
      </w:pPr>
      <w:bookmarkStart w:id="15" w:name="source-32072"/>
      <w:bookmarkEnd w:id="15" w:name="source-32072"/>
    </w:p>
    <w:p>
      <w:pPr>
        <w:pStyle w:val="ListBullet"/>
      </w:pPr>
      <w:r>
        <w:rPr>
          <w:rFonts w:ascii="微软雅黑" w:hAnsi="微软雅黑" w:eastAsia="微软雅黑" w:cs="微软雅黑"/>
        </w:rPr>
        <w:t>[15] 新华社国际要闻（战略与能源）｜</w:t>
      </w:r>
      <w:hyperlink r:id="rId25">
        <w:r>
          <w:rPr>
            <w:rFonts w:ascii="微软雅黑" w:hAnsi="微软雅黑" w:eastAsia="微软雅黑" w:cs="微软雅黑"/>
            <w:color w:val="087E89"/>
          </w:rPr>
          <w:t>俄罗斯称打击乌克兰能源和物流基础设施</w:t>
        </w:r>
      </w:hyperlink>
      <w:r>
        <w:rPr>
          <w:rFonts w:ascii="微软雅黑" w:hAnsi="微软雅黑" w:eastAsia="微软雅黑" w:cs="微软雅黑"/>
        </w:rPr>
      </w:r>
    </w:p>
    <w:p>
      <w:pPr>
        <w:spacing w:after="0" w:line="20" w:lineRule="exact"/>
      </w:pPr>
      <w:bookmarkStart w:id="16" w:name="source-31715"/>
      <w:bookmarkEnd w:id="16" w:name="source-31715"/>
    </w:p>
    <w:p>
      <w:pPr>
        <w:pStyle w:val="ListBullet"/>
      </w:pPr>
      <w:r>
        <w:rPr>
          <w:rFonts w:ascii="微软雅黑" w:hAnsi="微软雅黑" w:eastAsia="微软雅黑" w:cs="微软雅黑"/>
        </w:rPr>
        <w:t>[16] 叙利亚通讯社｜</w:t>
      </w:r>
      <w:hyperlink r:id="rId26">
        <w:r>
          <w:rPr>
            <w:rFonts w:ascii="微软雅黑" w:hAnsi="微软雅黑" w:eastAsia="微软雅黑" w:cs="微软雅黑"/>
            <w:color w:val="087E89"/>
          </w:rPr>
          <w:t>叙利亚—沙特会谈聚焦加强能源合作并持续供应石油</w:t>
        </w:r>
      </w:hyperlink>
      <w:r>
        <w:rPr>
          <w:rFonts w:ascii="微软雅黑" w:hAnsi="微软雅黑" w:eastAsia="微软雅黑" w:cs="微软雅黑"/>
        </w:rPr>
      </w:r>
    </w:p>
    <w:p>
      <w:pPr>
        <w:spacing w:after="0" w:line="20" w:lineRule="exact"/>
      </w:pPr>
      <w:bookmarkStart w:id="17" w:name="source-31953"/>
      <w:bookmarkEnd w:id="17" w:name="source-31953"/>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视频丨卡塔尔与伊朗举行会谈 推动美伊达成协议</w:t>
        </w:r>
      </w:hyperlink>
      <w:r>
        <w:rPr>
          <w:rFonts w:ascii="微软雅黑" w:hAnsi="微软雅黑" w:eastAsia="微软雅黑" w:cs="微软雅黑"/>
        </w:rPr>
      </w:r>
    </w:p>
    <w:p>
      <w:pPr>
        <w:spacing w:after="0" w:line="20" w:lineRule="exact"/>
      </w:pPr>
      <w:bookmarkStart w:id="18" w:name="source-31968"/>
      <w:bookmarkEnd w:id="18" w:name="source-31968"/>
    </w:p>
    <w:p>
      <w:pPr>
        <w:pStyle w:val="ListBullet"/>
      </w:pPr>
      <w:r>
        <w:rPr>
          <w:rFonts w:ascii="微软雅黑" w:hAnsi="微软雅黑" w:eastAsia="微软雅黑" w:cs="微软雅黑"/>
        </w:rPr>
        <w:t>[18] 中国新闻网｜</w:t>
      </w:r>
      <w:hyperlink r:id="rId28">
        <w:r>
          <w:rPr>
            <w:rFonts w:ascii="微软雅黑" w:hAnsi="微软雅黑" w:eastAsia="微软雅黑" w:cs="微软雅黑"/>
            <w:color w:val="087E89"/>
          </w:rPr>
          <w:t>新疆兵团第六师五家渠市20万千瓦/80万千瓦时构网型储能电站项目开工</w:t>
        </w:r>
      </w:hyperlink>
      <w:r>
        <w:rPr>
          <w:rFonts w:ascii="微软雅黑" w:hAnsi="微软雅黑" w:eastAsia="微软雅黑" w:cs="微软雅黑"/>
        </w:rPr>
      </w:r>
    </w:p>
    <w:p>
      <w:pPr>
        <w:spacing w:after="0" w:line="20" w:lineRule="exact"/>
      </w:pPr>
      <w:bookmarkStart w:id="19" w:name="source-32092"/>
      <w:bookmarkEnd w:id="19" w:name="source-32092"/>
    </w:p>
    <w:p>
      <w:pPr>
        <w:pStyle w:val="ListBullet"/>
      </w:pPr>
      <w:r>
        <w:rPr>
          <w:rFonts w:ascii="微软雅黑" w:hAnsi="微软雅黑" w:eastAsia="微软雅黑" w:cs="微软雅黑"/>
        </w:rPr>
        <w:t>[19] 界面新闻 · 能源早报 | 中国海油第三季度净赚333亿元；宁德时代枧下窝锂矿项目环评获批｜</w:t>
      </w:r>
      <w:hyperlink r:id="rId29">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20" w:name="source-31983"/>
      <w:bookmarkEnd w:id="20" w:name="source-31983"/>
    </w:p>
    <w:p>
      <w:pPr>
        <w:pStyle w:val="ListBullet"/>
      </w:pPr>
      <w:r>
        <w:rPr>
          <w:rFonts w:ascii="微软雅黑" w:hAnsi="微软雅黑" w:eastAsia="微软雅黑" w:cs="微软雅黑"/>
        </w:rPr>
        <w:t>[20] 中财网｜</w:t>
      </w:r>
      <w:hyperlink r:id="rId30">
        <w:r>
          <w:rPr>
            <w:rFonts w:ascii="微软雅黑" w:hAnsi="微软雅黑" w:eastAsia="微软雅黑" w:cs="微软雅黑"/>
            <w:color w:val="087E89"/>
          </w:rPr>
          <w:t>钠电池量产提速 宁德时代2026年规模化落地</w:t>
        </w:r>
      </w:hyperlink>
      <w:r>
        <w:rPr>
          <w:rFonts w:ascii="微软雅黑" w:hAnsi="微软雅黑" w:eastAsia="微软雅黑" w:cs="微软雅黑"/>
        </w:rPr>
      </w:r>
    </w:p>
    <w:p>
      <w:pPr>
        <w:spacing w:after="0" w:line="20" w:lineRule="exact"/>
      </w:pPr>
      <w:bookmarkStart w:id="21" w:name="source-32172"/>
      <w:bookmarkEnd w:id="21" w:name="source-32172"/>
    </w:p>
    <w:p>
      <w:pPr>
        <w:pStyle w:val="ListBullet"/>
      </w:pPr>
      <w:r>
        <w:rPr>
          <w:rFonts w:ascii="微软雅黑" w:hAnsi="微软雅黑" w:eastAsia="微软雅黑" w:cs="微软雅黑"/>
        </w:rPr>
        <w:t>[21] 内蒙古日报｜</w:t>
      </w:r>
      <w:hyperlink r:id="rId31">
        <w:r>
          <w:rPr>
            <w:rFonts w:ascii="微软雅黑" w:hAnsi="微软雅黑" w:eastAsia="微软雅黑" w:cs="微软雅黑"/>
            <w:color w:val="087E89"/>
          </w:rPr>
          <w:t>乌兰察布京大“风光火储一体化”大型风电光伏基地项目开工</w:t>
        </w:r>
      </w:hyperlink>
      <w:r>
        <w:rPr>
          <w:rFonts w:ascii="微软雅黑" w:hAnsi="微软雅黑" w:eastAsia="微软雅黑" w:cs="微软雅黑"/>
        </w:rPr>
      </w:r>
    </w:p>
    <w:p>
      <w:pPr>
        <w:spacing w:after="0" w:line="20" w:lineRule="exact"/>
      </w:pPr>
      <w:bookmarkStart w:id="22" w:name="source-31797"/>
      <w:bookmarkEnd w:id="22" w:name="source-31797"/>
    </w:p>
    <w:p>
      <w:pPr>
        <w:pStyle w:val="ListBullet"/>
      </w:pPr>
      <w:r>
        <w:rPr>
          <w:rFonts w:ascii="微软雅黑" w:hAnsi="微软雅黑" w:eastAsia="微软雅黑" w:cs="微软雅黑"/>
        </w:rPr>
        <w:t>[22] 中财网｜</w:t>
      </w:r>
      <w:hyperlink r:id="rId32">
        <w:r>
          <w:rPr>
            <w:rFonts w:ascii="微软雅黑" w:hAnsi="微软雅黑" w:eastAsia="微软雅黑" w:cs="微软雅黑"/>
            <w:color w:val="087E89"/>
          </w:rPr>
          <w:t>安克创新扣非净利大增61% 储能+国内渠道双轮驱动</w:t>
        </w:r>
      </w:hyperlink>
      <w:r>
        <w:rPr>
          <w:rFonts w:ascii="微软雅黑" w:hAnsi="微软雅黑" w:eastAsia="微软雅黑" w:cs="微软雅黑"/>
        </w:rPr>
      </w:r>
    </w:p>
    <w:p>
      <w:pPr>
        <w:spacing w:after="0" w:line="20" w:lineRule="exact"/>
      </w:pPr>
      <w:bookmarkStart w:id="23" w:name="source-31916"/>
      <w:bookmarkEnd w:id="23" w:name="source-31916"/>
    </w:p>
    <w:p>
      <w:pPr>
        <w:pStyle w:val="ListBullet"/>
      </w:pPr>
      <w:r>
        <w:rPr>
          <w:rFonts w:ascii="微软雅黑" w:hAnsi="微软雅黑" w:eastAsia="微软雅黑" w:cs="微软雅黑"/>
        </w:rPr>
        <w:t>[23] 中财网｜</w:t>
      </w:r>
      <w:hyperlink r:id="rId33">
        <w:r>
          <w:rPr>
            <w:rFonts w:ascii="微软雅黑" w:hAnsi="微软雅黑" w:eastAsia="微软雅黑" w:cs="微软雅黑"/>
            <w:color w:val="087E89"/>
          </w:rPr>
          <w:t>广汇能源Q3利润暴增842% 价格弹性驱动业绩跃升</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theedgemalaysia.com/node/824035" TargetMode="External"/><Relationship Id="rId12" Type="http://schemas.openxmlformats.org/officeDocument/2006/relationships/hyperlink" Target="https://finance.sina.com.cn/stock/usstock/c/2026-10-31/doc-inixaepe1867839.shtml" TargetMode="External"/><Relationship Id="rId13" Type="http://schemas.openxmlformats.org/officeDocument/2006/relationships/hyperlink" Target="https://finance.sina.com.cn/stock/usstock/c/2026-10-31/doc-inixaepa5137279.shtml" TargetMode="External"/><Relationship Id="rId14" Type="http://schemas.openxmlformats.org/officeDocument/2006/relationships/hyperlink" Target="http://www.ce.cn/cysc/newmain/yc/jsxw/202610/t20261031_3277552.shtml" TargetMode="External"/><Relationship Id="rId15" Type="http://schemas.openxmlformats.org/officeDocument/2006/relationships/hyperlink" Target="https://finance.sina.com.cn/roll/2026-10-31/doc-inixakvf4133574.shtml" TargetMode="External"/><Relationship Id="rId16" Type="http://schemas.openxmlformats.org/officeDocument/2006/relationships/hyperlink" Target="https://www.cpnn.com.cn/news/hy/202610/t20261031_1923520.html" TargetMode="External"/><Relationship Id="rId17" Type="http://schemas.openxmlformats.org/officeDocument/2006/relationships/hyperlink" Target="https://www.fx678.com/C/20261031/202610311044572286.html" TargetMode="External"/><Relationship Id="rId18" Type="http://schemas.openxmlformats.org/officeDocument/2006/relationships/hyperlink" Target="https://finance.sina.com.cn/money/forex/hbfx/2026-10-31/doc-inixaraz7646439.shtml" TargetMode="External"/><Relationship Id="rId19" Type="http://schemas.openxmlformats.org/officeDocument/2006/relationships/hyperlink" Target="https://industry.cfi.cn/p20261031000325.html" TargetMode="External"/><Relationship Id="rId20" Type="http://schemas.openxmlformats.org/officeDocument/2006/relationships/hyperlink" Target="https://industry.cfi.cn/p20261031000356.html" TargetMode="External"/><Relationship Id="rId21" Type="http://schemas.openxmlformats.org/officeDocument/2006/relationships/hyperlink" Target="https://www.cpnn.com.cn/news/hy/202610/t20261031_1923521.html" TargetMode="External"/><Relationship Id="rId22" Type="http://schemas.openxmlformats.org/officeDocument/2006/relationships/hyperlink" Target="https://www.thebatterymagazine.com/bess-from-backup-to-intelligence-the-evolution-of-power-management-in-india/" TargetMode="External"/><Relationship Id="rId23" Type="http://schemas.openxmlformats.org/officeDocument/2006/relationships/hyperlink" Target="http://finance.people.com.cn/n1/2026/1031/c1004-40824927.html" TargetMode="External"/><Relationship Id="rId24" Type="http://schemas.openxmlformats.org/officeDocument/2006/relationships/hyperlink" Target="https://finance.sina.com.cn/stock/usstock/c/2026-10-31/doc-inixaepi4234983.shtml" TargetMode="External"/><Relationship Id="rId25" Type="http://schemas.openxmlformats.org/officeDocument/2006/relationships/hyperlink" Target="https://www.news.cn/world/20261031/99e666ad1d2049339fee70c0e687e842/c.html" TargetMode="External"/><Relationship Id="rId26" Type="http://schemas.openxmlformats.org/officeDocument/2006/relationships/hyperlink" Target="https://sana.sy/en/economic/2354741/" TargetMode="External"/><Relationship Id="rId27" Type="http://schemas.openxmlformats.org/officeDocument/2006/relationships/hyperlink" Target="https://finance.sina.com.cn/jjxw/2026-10-31/doc-inixazsu1638394.shtml" TargetMode="External"/><Relationship Id="rId28" Type="http://schemas.openxmlformats.org/officeDocument/2006/relationships/hyperlink" Target="https://www.chinanews.com.cn/cj/2026/10-31/10723938.shtml" TargetMode="External"/><Relationship Id="rId29" Type="http://schemas.openxmlformats.org/officeDocument/2006/relationships/hyperlink" Target="https://www.jiemian.com/article/15274895.html" TargetMode="External"/><Relationship Id="rId30" Type="http://schemas.openxmlformats.org/officeDocument/2006/relationships/hyperlink" Target="https://industry.cfi.cn/p20261031000702.html" TargetMode="External"/><Relationship Id="rId31" Type="http://schemas.openxmlformats.org/officeDocument/2006/relationships/hyperlink" Target="https://szb.northnews.cn/nmgrb/html/2026-11/01/content_58700_290029.htm" TargetMode="External"/><Relationship Id="rId32" Type="http://schemas.openxmlformats.org/officeDocument/2006/relationships/hyperlink" Target="https://industry.cfi.cn/p20261031000317.html" TargetMode="External"/><Relationship Id="rId33" Type="http://schemas.openxmlformats.org/officeDocument/2006/relationships/hyperlink" Target="https://industry.cfi.cn/p202610310005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11月1日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