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核心摘要</w:t>
      </w:r>
    </w:p>
    <w:p>
      <w:pPr>
        <w:pStyle w:val="ListBullet"/>
        <w:spacing w:after="60"/>
      </w:pPr>
      <w:r>
        <w:rPr>
          <w:rFonts w:ascii="微软雅黑" w:hAnsi="微软雅黑" w:eastAsia="微软雅黑" w:cs="微软雅黑"/>
        </w:rPr>
        <w:t>关键数据</w:t>
      </w:r>
    </w:p>
    <w:p>
      <w:pPr>
        <w:pStyle w:val="ListBullet"/>
        <w:spacing w:after="60"/>
      </w:pPr>
      <w:r>
        <w:rPr>
          <w:rFonts w:ascii="微软雅黑" w:hAnsi="微软雅黑" w:eastAsia="微软雅黑" w:cs="微软雅黑"/>
        </w:rPr>
        <w:t>国际重点事件</w:t>
      </w:r>
    </w:p>
    <w:p>
      <w:pPr>
        <w:pStyle w:val="ListBullet"/>
        <w:spacing w:after="60"/>
      </w:pPr>
      <w:r>
        <w:rPr>
          <w:rFonts w:ascii="微软雅黑" w:hAnsi="微软雅黑" w:eastAsia="微软雅黑" w:cs="微软雅黑"/>
        </w:rPr>
        <w:t>中国重点事件</w:t>
      </w:r>
    </w:p>
    <w:p>
      <w:pPr>
        <w:pStyle w:val="ListBullet"/>
        <w:spacing w:after="60"/>
      </w:pPr>
      <w:r>
        <w:rPr>
          <w:rFonts w:ascii="微软雅黑" w:hAnsi="微软雅黑" w:eastAsia="微软雅黑" w:cs="微软雅黑"/>
        </w:rPr>
        <w:t>风险与后续观察</w:t>
      </w:r>
    </w:p>
    <w:p>
      <w:pPr>
        <w:pStyle w:val="ListBullet"/>
        <w:spacing w:after="60"/>
      </w:pPr>
      <w:r>
        <w:rPr>
          <w:rFonts w:ascii="微软雅黑" w:hAnsi="微软雅黑" w:eastAsia="微软雅黑" w:cs="微软雅黑"/>
        </w:rPr>
        <w:t>资料覆盖说明</w:t>
      </w:r>
    </w:p>
    <w:p>
      <w:pPr>
        <w:pStyle w:val="ListBullet"/>
        <w:spacing w:after="60"/>
      </w:pPr>
      <w:r>
        <w:rPr>
          <w:rFonts w:ascii="微软雅黑" w:hAnsi="微软雅黑" w:eastAsia="微软雅黑" w:cs="微软雅黑"/>
        </w:rPr>
        <w:t>资料来源</w:t>
      </w:r>
    </w:p>
    <w:p>
      <w:pPr>
        <w:spacing w:after="280"/>
      </w:pPr>
    </w:p>
    <w:p>
      <w:pPr>
        <w:ind w:firstLine="420"/>
      </w:pPr>
      <w:r>
        <w:rPr>
          <w:rFonts w:ascii="微软雅黑" w:hAnsi="微软雅黑" w:eastAsia="微软雅黑" w:cs="微软雅黑"/>
        </w:rPr>
        <w:t>信息覆盖时段：2026-09-22 00:00 至 2026-09-23 00:00（不含），Asia/Shanghai。</w:t>
      </w:r>
    </w:p>
    <w:p>
      <w:pPr/>
      <w:r>
        <w:rPr>
          <w:rFonts w:ascii="微软雅黑" w:hAnsi="微软雅黑" w:eastAsia="微软雅黑" w:cs="微软雅黑"/>
        </w:rPr>
        <w:t>统计区间：2026-09-22 至 2026-09-23（结束日不含，北京时间）</w:t>
      </w:r>
    </w:p>
    <w:p>
      <w:pPr>
        <w:ind w:firstLine="420"/>
      </w:pPr>
      <w:r>
        <w:rPr>
          <w:rFonts w:ascii="微软雅黑" w:hAnsi="微软雅黑" w:eastAsia="微软雅黑" w:cs="微软雅黑"/>
        </w:rPr>
        <w:t>资料更新截止：2026-09-23 04:00（北京时间）</w:t>
      </w:r>
    </w:p>
    <w:p>
      <w:pPr>
        <w:pStyle w:val="Heading2"/>
      </w:pPr>
      <w:r>
        <w:rPr>
          <w:rFonts w:ascii="微软雅黑" w:hAnsi="微软雅黑" w:eastAsia="微软雅黑" w:cs="微软雅黑"/>
        </w:rPr>
        <w:t>核心摘要</w:t>
      </w:r>
    </w:p>
    <w:p>
      <w:pPr>
        <w:pStyle w:val="ListBullet"/>
      </w:pPr>
      <w:r>
        <w:rPr>
          <w:rFonts w:ascii="微软雅黑" w:hAnsi="微软雅黑" w:eastAsia="微软雅黑" w:cs="微软雅黑"/>
        </w:rPr>
        <w:t xml:space="preserve">伊朗据传提议七日内重开霍尔木兹海峡 </w:t>
      </w:r>
      <w:hyperlink w:anchor="source-5389">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5474">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5333">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一艘液化石油气运输船在霍尔木兹海峡遇袭 </w:t>
      </w:r>
      <w:hyperlink w:anchor="source-5122">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5093">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越南工贸部督促各省加快屋顶光伏配套政策落地 </w:t>
      </w:r>
      <w:hyperlink w:anchor="source-5303">
        <w:r>
          <w:rPr>
            <w:rFonts w:ascii="微软雅黑" w:hAnsi="微软雅黑" w:eastAsia="微软雅黑" w:cs="微软雅黑"/>
            <w:color w:val="087E89"/>
          </w:rPr>
          <w:t>6</w:t>
        </w:r>
      </w:hyperlink>
      <w:r>
        <w:rPr>
          <w:rFonts w:ascii="微软雅黑" w:hAnsi="微软雅黑" w:eastAsia="微软雅黑" w:cs="微软雅黑"/>
        </w:rPr>
      </w:r>
    </w:p>
    <w:p>
      <w:pPr>
        <w:pStyle w:val="ListBullet"/>
      </w:pPr>
      <w:r>
        <w:rPr>
          <w:rFonts w:ascii="微软雅黑" w:hAnsi="微软雅黑" w:eastAsia="微软雅黑" w:cs="微软雅黑"/>
        </w:rPr>
        <w:t xml:space="preserve">德国《热电联产法》修订拟与煤电退出和氢能推进对齐 </w:t>
      </w:r>
      <w:hyperlink w:anchor="source-5296">
        <w:r>
          <w:rPr>
            <w:rFonts w:ascii="微软雅黑" w:hAnsi="微软雅黑" w:eastAsia="微软雅黑" w:cs="微软雅黑"/>
            <w:color w:val="087E89"/>
          </w:rPr>
          <w:t>7</w:t>
        </w:r>
      </w:hyperlink>
      <w:r>
        <w:rPr>
          <w:rFonts w:ascii="微软雅黑" w:hAnsi="微软雅黑" w:eastAsia="微软雅黑" w:cs="微软雅黑"/>
        </w:rPr>
      </w:r>
    </w:p>
    <w:p>
      <w:pPr>
        <w:pStyle w:val="ListBullet"/>
      </w:pPr>
      <w:r>
        <w:rPr>
          <w:rFonts w:ascii="微软雅黑" w:hAnsi="微软雅黑" w:eastAsia="微软雅黑" w:cs="微软雅黑"/>
        </w:rPr>
        <w:t xml:space="preserve">英国将投资近170亿英镑启动新建核电计划并建设HALEU浓缩设施 </w:t>
      </w:r>
      <w:hyperlink w:anchor="source-5275">
        <w:r>
          <w:rPr>
            <w:rFonts w:ascii="微软雅黑" w:hAnsi="微软雅黑" w:eastAsia="微软雅黑" w:cs="微软雅黑"/>
            <w:color w:val="087E89"/>
          </w:rPr>
          <w:t>8</w:t>
        </w:r>
      </w:hyperlink>
      <w:r>
        <w:rPr>
          <w:rFonts w:ascii="微软雅黑" w:hAnsi="微软雅黑" w:eastAsia="微软雅黑" w:cs="微软雅黑"/>
        </w:rPr>
      </w:r>
    </w:p>
    <w:p>
      <w:pPr>
        <w:pStyle w:val="Heading2"/>
        <w:keepNext/>
      </w:pPr>
      <w:r>
        <w:rPr>
          <w:rFonts w:ascii="微软雅黑" w:hAnsi="微软雅黑" w:eastAsia="微软雅黑" w:cs="微软雅黑"/>
        </w:rPr>
        <w:t>关键数据</w:t>
      </w:r>
    </w:p>
    <w:tbl>
      <w:tblPr>
        <w:tblStyle w:val="TableGrid"/>
        <w:tblW w:type="auto" w:w="0"/>
        <w:tblLook w:firstColumn="1" w:firstRow="1" w:lastColumn="0" w:lastRow="0" w:noHBand="0" w:noVBand="1" w:val="04A0"/>
      </w:tblPr>
      <w:tblGrid>
        <w:gridCol w:w="2268"/>
        <w:gridCol w:w="2268"/>
        <w:gridCol w:w="2268"/>
        <w:gridCol w:w="2268"/>
      </w:tblGrid>
      <w:tr>
        <w:trPr>
          <w:cantSplit/>
          <w:tblHeader/>
        </w:trPr>
        <w:tc>
          <w:tcPr>
            <w:tcW w:type="dxa" w:w="2268"/>
          </w:tcPr>
          <w:p>
            <w:pPr>
              <w:spacing w:after="40"/>
            </w:pPr>
            <w:r>
              <w:rPr>
                <w:rFonts w:ascii="微软雅黑" w:hAnsi="微软雅黑" w:eastAsia="微软雅黑" w:cs="微软雅黑"/>
                <w:b/>
              </w:rPr>
              <w:t>指标</w:t>
            </w:r>
          </w:p>
        </w:tc>
        <w:tc>
          <w:tcPr>
            <w:tcW w:type="dxa" w:w="2268"/>
          </w:tcPr>
          <w:p>
            <w:pPr>
              <w:spacing w:after="40"/>
            </w:pPr>
            <w:r>
              <w:rPr>
                <w:rFonts w:ascii="微软雅黑" w:hAnsi="微软雅黑" w:eastAsia="微软雅黑" w:cs="微软雅黑"/>
                <w:b/>
              </w:rPr>
              <w:t>数值及单位</w:t>
            </w:r>
          </w:p>
        </w:tc>
        <w:tc>
          <w:tcPr>
            <w:tcW w:type="dxa" w:w="2268"/>
          </w:tcPr>
          <w:p>
            <w:pPr>
              <w:spacing w:after="40"/>
            </w:pPr>
            <w:r>
              <w:rPr>
                <w:rFonts w:ascii="微软雅黑" w:hAnsi="微软雅黑" w:eastAsia="微软雅黑" w:cs="微软雅黑"/>
                <w:b/>
              </w:rPr>
              <w:t>数据时间</w:t>
            </w:r>
          </w:p>
        </w:tc>
        <w:tc>
          <w:tcPr>
            <w:tcW w:type="dxa" w:w="2268"/>
          </w:tcPr>
          <w:p>
            <w:pPr>
              <w:spacing w:after="40"/>
            </w:pPr>
            <w:r>
              <w:rPr>
                <w:rFonts w:ascii="微软雅黑" w:hAnsi="微软雅黑" w:eastAsia="微软雅黑" w:cs="微软雅黑"/>
                <w:b/>
              </w:rPr>
              <w:t>来源</w:t>
            </w:r>
          </w:p>
        </w:tc>
      </w:tr>
      <w:tr>
        <w:trPr>
          <w:cantSplit/>
        </w:trPr>
        <w:tc>
          <w:tcPr>
            <w:tcW w:type="dxa" w:w="2268"/>
          </w:tcPr>
          <w:p>
            <w:pPr>
              <w:spacing w:after="40"/>
            </w:pPr>
            <w:r>
              <w:rPr>
                <w:rFonts w:ascii="微软雅黑" w:hAnsi="微软雅黑" w:eastAsia="微软雅黑" w:cs="微软雅黑"/>
              </w:rPr>
              <w:t>油价盘中跌幅</w:t>
            </w:r>
          </w:p>
        </w:tc>
        <w:tc>
          <w:tcPr>
            <w:tcW w:type="dxa" w:w="2268"/>
          </w:tcPr>
          <w:p>
            <w:pPr>
              <w:spacing w:after="40"/>
            </w:pPr>
            <w:r>
              <w:rPr>
                <w:rFonts w:ascii="微软雅黑" w:hAnsi="微软雅黑" w:eastAsia="微软雅黑" w:cs="微软雅黑"/>
              </w:rPr>
              <w:t>约3%</w:t>
            </w:r>
          </w:p>
        </w:tc>
        <w:tc>
          <w:tcPr>
            <w:tcW w:type="dxa" w:w="2268"/>
          </w:tcPr>
          <w:p>
            <w:pPr>
              <w:spacing w:after="40"/>
            </w:pPr>
            <w:r>
              <w:rPr>
                <w:rFonts w:ascii="微软雅黑" w:hAnsi="微软雅黑" w:eastAsia="微软雅黑" w:cs="微软雅黑"/>
              </w:rPr>
              <w:t>报道日</w:t>
            </w:r>
          </w:p>
        </w:tc>
        <w:tc>
          <w:tcPr>
            <w:tcW w:type="dxa" w:w="2268"/>
          </w:tcPr>
          <w:p>
            <w:pPr>
              <w:spacing w:after="40"/>
            </w:pPr>
            <w:r>
              <w:rPr>
                <w:rFonts w:ascii="微软雅黑" w:hAnsi="微软雅黑" w:eastAsia="微软雅黑" w:cs="微软雅黑"/>
              </w:rPr>
            </w:r>
            <w:hyperlink w:anchor="source-5389">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5474">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5333">
              <w:r>
                <w:rPr>
                  <w:rFonts w:ascii="微软雅黑" w:hAnsi="微软雅黑" w:eastAsia="微软雅黑" w:cs="微软雅黑"/>
                  <w:color w:val="087E89"/>
                </w:rPr>
                <w:t>3</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油价回升水平</w:t>
            </w:r>
          </w:p>
        </w:tc>
        <w:tc>
          <w:tcPr>
            <w:tcW w:type="dxa" w:w="2268"/>
          </w:tcPr>
          <w:p>
            <w:pPr>
              <w:spacing w:after="40"/>
            </w:pPr>
            <w:r>
              <w:rPr>
                <w:rFonts w:ascii="微软雅黑" w:hAnsi="微软雅黑" w:eastAsia="微软雅黑" w:cs="微软雅黑"/>
              </w:rPr>
              <w:t>约97.6美元/桶</w:t>
            </w:r>
          </w:p>
        </w:tc>
        <w:tc>
          <w:tcPr>
            <w:tcW w:type="dxa" w:w="2268"/>
          </w:tcPr>
          <w:p>
            <w:pPr>
              <w:spacing w:after="40"/>
            </w:pPr>
            <w:r>
              <w:rPr>
                <w:rFonts w:ascii="微软雅黑" w:hAnsi="微软雅黑" w:eastAsia="微软雅黑" w:cs="微软雅黑"/>
              </w:rPr>
              <w:t>报道日</w:t>
            </w:r>
          </w:p>
        </w:tc>
        <w:tc>
          <w:tcPr>
            <w:tcW w:type="dxa" w:w="2268"/>
          </w:tcPr>
          <w:p>
            <w:pPr>
              <w:spacing w:after="40"/>
            </w:pPr>
            <w:r>
              <w:rPr>
                <w:rFonts w:ascii="微软雅黑" w:hAnsi="微软雅黑" w:eastAsia="微软雅黑" w:cs="微软雅黑"/>
              </w:rPr>
            </w:r>
            <w:hyperlink w:anchor="source-5389">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5474">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5333">
              <w:r>
                <w:rPr>
                  <w:rFonts w:ascii="微软雅黑" w:hAnsi="微软雅黑" w:eastAsia="微软雅黑" w:cs="微软雅黑"/>
                  <w:color w:val="087E89"/>
                </w:rPr>
                <w:t>3</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沙特经霍尔木兹海峡日出口量</w:t>
            </w:r>
          </w:p>
        </w:tc>
        <w:tc>
          <w:tcPr>
            <w:tcW w:type="dxa" w:w="2268"/>
          </w:tcPr>
          <w:p>
            <w:pPr>
              <w:spacing w:after="40"/>
            </w:pPr>
            <w:r>
              <w:rPr>
                <w:rFonts w:ascii="微软雅黑" w:hAnsi="微软雅黑" w:eastAsia="微软雅黑" w:cs="微软雅黑"/>
              </w:rPr>
              <w:t>由8月70万桶升至约290万桶</w:t>
            </w:r>
          </w:p>
        </w:tc>
        <w:tc>
          <w:tcPr>
            <w:tcW w:type="dxa" w:w="2268"/>
          </w:tcPr>
          <w:p>
            <w:pPr>
              <w:spacing w:after="40"/>
            </w:pPr>
            <w:r>
              <w:rPr>
                <w:rFonts w:ascii="微软雅黑" w:hAnsi="微软雅黑" w:eastAsia="微软雅黑" w:cs="微软雅黑"/>
              </w:rPr>
              <w:t>近期</w:t>
            </w:r>
          </w:p>
        </w:tc>
        <w:tc>
          <w:tcPr>
            <w:tcW w:type="dxa" w:w="2268"/>
          </w:tcPr>
          <w:p>
            <w:pPr>
              <w:spacing w:after="40"/>
            </w:pPr>
            <w:r>
              <w:rPr>
                <w:rFonts w:ascii="微软雅黑" w:hAnsi="微软雅黑" w:eastAsia="微软雅黑" w:cs="微软雅黑"/>
              </w:rPr>
            </w:r>
            <w:hyperlink w:anchor="source-5122">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5093">
              <w:r>
                <w:rPr>
                  <w:rFonts w:ascii="微软雅黑" w:hAnsi="微软雅黑" w:eastAsia="微软雅黑" w:cs="微软雅黑"/>
                  <w:color w:val="087E89"/>
                </w:rPr>
                <w:t>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也门冲突死亡人数</w:t>
            </w:r>
          </w:p>
        </w:tc>
        <w:tc>
          <w:tcPr>
            <w:tcW w:type="dxa" w:w="2268"/>
          </w:tcPr>
          <w:p>
            <w:pPr>
              <w:spacing w:after="40"/>
            </w:pPr>
            <w:r>
              <w:rPr>
                <w:rFonts w:ascii="微软雅黑" w:hAnsi="微软雅黑" w:eastAsia="微软雅黑" w:cs="微软雅黑"/>
              </w:rPr>
              <w:t>近700人</w:t>
            </w:r>
          </w:p>
        </w:tc>
        <w:tc>
          <w:tcPr>
            <w:tcW w:type="dxa" w:w="2268"/>
          </w:tcPr>
          <w:p>
            <w:pPr>
              <w:spacing w:after="40"/>
            </w:pPr>
            <w:r>
              <w:rPr>
                <w:rFonts w:ascii="微软雅黑" w:hAnsi="微软雅黑" w:eastAsia="微软雅黑" w:cs="微软雅黑"/>
              </w:rPr>
              <w:t>本轮冲突升级期间</w:t>
            </w:r>
          </w:p>
        </w:tc>
        <w:tc>
          <w:tcPr>
            <w:tcW w:type="dxa" w:w="2268"/>
          </w:tcPr>
          <w:p>
            <w:pPr>
              <w:spacing w:after="40"/>
            </w:pPr>
            <w:r>
              <w:rPr>
                <w:rFonts w:ascii="微软雅黑" w:hAnsi="微软雅黑" w:eastAsia="微软雅黑" w:cs="微软雅黑"/>
              </w:rPr>
            </w:r>
            <w:hyperlink w:anchor="source-5122">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5093">
              <w:r>
                <w:rPr>
                  <w:rFonts w:ascii="微软雅黑" w:hAnsi="微软雅黑" w:eastAsia="微软雅黑" w:cs="微软雅黑"/>
                  <w:color w:val="087E89"/>
                </w:rPr>
                <w:t>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也门境内流离失所人数</w:t>
            </w:r>
          </w:p>
        </w:tc>
        <w:tc>
          <w:tcPr>
            <w:tcW w:type="dxa" w:w="2268"/>
          </w:tcPr>
          <w:p>
            <w:pPr>
              <w:spacing w:after="40"/>
            </w:pPr>
            <w:r>
              <w:rPr>
                <w:rFonts w:ascii="微软雅黑" w:hAnsi="微软雅黑" w:eastAsia="微软雅黑" w:cs="微软雅黑"/>
              </w:rPr>
              <w:t>约13万人</w:t>
            </w:r>
          </w:p>
        </w:tc>
        <w:tc>
          <w:tcPr>
            <w:tcW w:type="dxa" w:w="2268"/>
          </w:tcPr>
          <w:p>
            <w:pPr>
              <w:spacing w:after="40"/>
            </w:pPr>
            <w:r>
              <w:rPr>
                <w:rFonts w:ascii="微软雅黑" w:hAnsi="微软雅黑" w:eastAsia="微软雅黑" w:cs="微软雅黑"/>
              </w:rPr>
              <w:t>本轮冲突升级期间</w:t>
            </w:r>
          </w:p>
        </w:tc>
        <w:tc>
          <w:tcPr>
            <w:tcW w:type="dxa" w:w="2268"/>
          </w:tcPr>
          <w:p>
            <w:pPr>
              <w:spacing w:after="40"/>
            </w:pPr>
            <w:r>
              <w:rPr>
                <w:rFonts w:ascii="微软雅黑" w:hAnsi="微软雅黑" w:eastAsia="微软雅黑" w:cs="微软雅黑"/>
              </w:rPr>
            </w:r>
            <w:hyperlink w:anchor="source-5122">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5093">
              <w:r>
                <w:rPr>
                  <w:rFonts w:ascii="微软雅黑" w:hAnsi="微软雅黑" w:eastAsia="微软雅黑" w:cs="微软雅黑"/>
                  <w:color w:val="087E89"/>
                </w:rPr>
                <w:t>5</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KWKG拟延长至</w:t>
            </w:r>
          </w:p>
        </w:tc>
        <w:tc>
          <w:tcPr>
            <w:tcW w:type="dxa" w:w="2268"/>
          </w:tcPr>
          <w:p>
            <w:pPr>
              <w:spacing w:after="40"/>
            </w:pPr>
            <w:r>
              <w:rPr>
                <w:rFonts w:ascii="微软雅黑" w:hAnsi="微软雅黑" w:eastAsia="微软雅黑" w:cs="微软雅黑"/>
              </w:rPr>
              <w:t>2038年</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5296">
              <w:r>
                <w:rPr>
                  <w:rFonts w:ascii="微软雅黑" w:hAnsi="微软雅黑" w:eastAsia="微软雅黑" w:cs="微软雅黑"/>
                  <w:color w:val="087E89"/>
                </w:rPr>
                <w:t>7</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最后一次KWK竞标延至</w:t>
            </w:r>
          </w:p>
        </w:tc>
        <w:tc>
          <w:tcPr>
            <w:tcW w:type="dxa" w:w="2268"/>
          </w:tcPr>
          <w:p>
            <w:pPr>
              <w:spacing w:after="40"/>
            </w:pPr>
            <w:r>
              <w:rPr>
                <w:rFonts w:ascii="微软雅黑" w:hAnsi="微软雅黑" w:eastAsia="微软雅黑" w:cs="微软雅黑"/>
              </w:rPr>
              <w:t>2035年底</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5296">
              <w:r>
                <w:rPr>
                  <w:rFonts w:ascii="微软雅黑" w:hAnsi="微软雅黑" w:eastAsia="微软雅黑" w:cs="微软雅黑"/>
                  <w:color w:val="087E89"/>
                </w:rPr>
                <w:t>7</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英国到2030年新建核电计划投资</w:t>
            </w:r>
          </w:p>
        </w:tc>
        <w:tc>
          <w:tcPr>
            <w:tcW w:type="dxa" w:w="2268"/>
          </w:tcPr>
          <w:p>
            <w:pPr>
              <w:spacing w:after="40"/>
            </w:pPr>
            <w:r>
              <w:rPr>
                <w:rFonts w:ascii="微软雅黑" w:hAnsi="微软雅黑" w:eastAsia="微软雅黑" w:cs="微软雅黑"/>
              </w:rPr>
              <w:t>近170亿英镑</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5275">
              <w:r>
                <w:rPr>
                  <w:rFonts w:ascii="微软雅黑" w:hAnsi="微软雅黑" w:eastAsia="微软雅黑" w:cs="微软雅黑"/>
                  <w:color w:val="087E89"/>
                </w:rPr>
                <w:t>8</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卡塔尔布尔哈宁EPIC项目合同金额</w:t>
            </w:r>
          </w:p>
        </w:tc>
        <w:tc>
          <w:tcPr>
            <w:tcW w:type="dxa" w:w="2268"/>
          </w:tcPr>
          <w:p>
            <w:pPr>
              <w:spacing w:after="40"/>
            </w:pPr>
            <w:r>
              <w:rPr>
                <w:rFonts w:ascii="微软雅黑" w:hAnsi="微软雅黑" w:eastAsia="微软雅黑" w:cs="微软雅黑"/>
              </w:rPr>
              <w:t>约40亿美元</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5257">
              <w:r>
                <w:rPr>
                  <w:rFonts w:ascii="微软雅黑" w:hAnsi="微软雅黑" w:eastAsia="微软雅黑" w:cs="微软雅黑"/>
                  <w:color w:val="087E89"/>
                </w:rPr>
                <w:t>9</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钢结构加工量</w:t>
            </w:r>
          </w:p>
        </w:tc>
        <w:tc>
          <w:tcPr>
            <w:tcW w:type="dxa" w:w="2268"/>
          </w:tcPr>
          <w:p>
            <w:pPr>
              <w:spacing w:after="40"/>
            </w:pPr>
            <w:r>
              <w:rPr>
                <w:rFonts w:ascii="微软雅黑" w:hAnsi="微软雅黑" w:eastAsia="微软雅黑" w:cs="微软雅黑"/>
              </w:rPr>
              <w:t>超过13万吨</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5257">
              <w:r>
                <w:rPr>
                  <w:rFonts w:ascii="微软雅黑" w:hAnsi="微软雅黑" w:eastAsia="微软雅黑" w:cs="微软雅黑"/>
                  <w:color w:val="087E89"/>
                </w:rPr>
                <w:t>9</w:t>
              </w:r>
            </w:hyperlink>
            <w:r>
              <w:rPr>
                <w:rFonts w:ascii="微软雅黑" w:hAnsi="微软雅黑" w:eastAsia="微软雅黑" w:cs="微软雅黑"/>
              </w:rPr>
            </w:r>
          </w:p>
        </w:tc>
      </w:tr>
    </w:tbl>
    <w:p>
      <w:pPr>
        <w:spacing w:after="120"/>
      </w:pPr>
    </w:p>
    <w:p>
      <w:pPr>
        <w:pStyle w:val="Heading2"/>
      </w:pPr>
      <w:r>
        <w:rPr>
          <w:rFonts w:ascii="微软雅黑" w:hAnsi="微软雅黑" w:eastAsia="微软雅黑" w:cs="微软雅黑"/>
        </w:rPr>
        <w:t>国际重点事件</w:t>
      </w:r>
    </w:p>
    <w:p>
      <w:pPr>
        <w:pStyle w:val="Heading3"/>
      </w:pPr>
      <w:r>
        <w:rPr>
          <w:rFonts w:ascii="微软雅黑" w:hAnsi="微软雅黑" w:eastAsia="微软雅黑" w:cs="微软雅黑"/>
        </w:rPr>
        <w:t>1. 一艘液化石油气运输船在霍尔木兹海峡遇袭</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英国海上贸易行动办公室9月21日通报，一艘液化石油气运输船在驶出霍尔木兹海峡时遭不明投射物碎片击中，遭袭船上人员安全，船只将继续驶往下一个停靠港，暂无环境污染情况报告，有关部门正在调查该事件。</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通报称，这是该机构当日通报的第二起袭击事件。当天早些时候，一艘油轮在霍尔木兹海峡航行时遭不明投射物袭击，2名船员受轻伤，船只仍可依靠自身动力航行。同期，沙特经霍尔木兹海峡的日出口量已从8月的70万桶升至近期约290万桶。</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胡塞武装争夺卡赫布布山脉等战略高地，意在巩固曼德海峡周边后方阵地并开辟新战线；其声称袭击沙特利雅得敏感目标和延布沙特阿美设施；冲突已造成近700人死亡、数千人受伤，约13万也门人流离失所，逾3000人乘船渡过红海逃往非洲。</w:t>
      </w:r>
    </w:p>
    <w:p>
      <w:pPr>
        <w:ind w:firstLine="420"/>
      </w:pPr>
      <w:r>
        <w:rPr>
          <w:rFonts w:ascii="微软雅黑" w:hAnsi="微软雅黑" w:eastAsia="微软雅黑" w:cs="微软雅黑"/>
        </w:rPr>
        <w:t>来源：</w:t>
      </w:r>
      <w:hyperlink w:anchor="source-5122">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5093">
        <w:r>
          <w:rPr>
            <w:rFonts w:ascii="微软雅黑" w:hAnsi="微软雅黑" w:eastAsia="微软雅黑" w:cs="微软雅黑"/>
            <w:color w:val="087E89"/>
          </w:rPr>
          <w:t>5</w:t>
        </w:r>
      </w:hyperlink>
      <w:r>
        <w:rPr>
          <w:rFonts w:ascii="微软雅黑" w:hAnsi="微软雅黑" w:eastAsia="微软雅黑" w:cs="微软雅黑"/>
        </w:rPr>
      </w:r>
    </w:p>
    <w:p>
      <w:pPr>
        <w:pStyle w:val="Heading3"/>
      </w:pPr>
      <w:r>
        <w:rPr>
          <w:rFonts w:ascii="微软雅黑" w:hAnsi="微软雅黑" w:eastAsia="微软雅黑" w:cs="微软雅黑"/>
        </w:rPr>
        <w:t>2. 利比亚Sharara油田产量因管道关闭腰斩</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卫星数据显示，沙特在一条关键跨境输油管道关闭后，将出口重新转向霍尔木兹海峡。同期，利比亚最大油田Sharara因通往Zawiya出口终端的管道被武装组织关闭，产量腰斩至约12.7万桶/日。</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WTI原油在连续四个交易日累计下跌逾9%后维持在每桶95美元上方，布伦特原油结算价接近每桶100美元；今年以来油价累计上涨逾60%，中东战事扰乱霍尔木兹海峡能源运输，俄乌冲突破坏能源基础设施是主要原因。</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来源未明确给出Sharara减产对全球油价的直接量化影响。</w:t>
      </w:r>
    </w:p>
    <w:p>
      <w:pPr>
        <w:ind w:firstLine="420"/>
      </w:pPr>
      <w:r>
        <w:rPr>
          <w:rFonts w:ascii="微软雅黑" w:hAnsi="微软雅黑" w:eastAsia="微软雅黑" w:cs="微软雅黑"/>
        </w:rPr>
        <w:t>来源：</w:t>
      </w:r>
      <w:hyperlink w:anchor="source-5052">
        <w:r>
          <w:rPr>
            <w:rFonts w:ascii="微软雅黑" w:hAnsi="微软雅黑" w:eastAsia="微软雅黑" w:cs="微软雅黑"/>
            <w:color w:val="087E89"/>
          </w:rPr>
          <w:t>19</w:t>
        </w:r>
      </w:hyperlink>
      <w:r>
        <w:rPr>
          <w:rFonts w:ascii="微软雅黑" w:hAnsi="微软雅黑" w:eastAsia="微软雅黑" w:cs="微软雅黑"/>
        </w:rPr>
      </w:r>
    </w:p>
    <w:p>
      <w:pPr>
        <w:pStyle w:val="Heading3"/>
      </w:pPr>
      <w:r>
        <w:rPr>
          <w:rFonts w:ascii="微软雅黑" w:hAnsi="微软雅黑" w:eastAsia="微软雅黑" w:cs="微软雅黑"/>
        </w:rPr>
        <w:t>3. 伊朗据传提议七日内重开霍尔木兹海峡</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伊朗被传提议，若美国采取初步措施缓和军事压力，伊朗将在七天内重新开放霍尔木兹海峡。但伊朗半官方法尔斯通讯社称相关报道“不可靠且不真实”，表态存在矛盾。</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据报道，伊朗的提议附带条件：美国须终止对伊朗港口的军事封锁并停止霍尔木兹海峡周边的军事行动。法尔斯通讯社否认相关报道，使真实性存疑。市场对供应中断担忧因此出现明显缓解。</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市场对霍尔木兹海峡中断风险的担忧显著降温，国际油价一度下跌约3%，随后回升。</w:t>
      </w:r>
    </w:p>
    <w:p>
      <w:pPr>
        <w:ind w:firstLine="420"/>
      </w:pPr>
      <w:r>
        <w:rPr>
          <w:rFonts w:ascii="微软雅黑" w:hAnsi="微软雅黑" w:eastAsia="微软雅黑" w:cs="微软雅黑"/>
        </w:rPr>
        <w:t>来源：</w:t>
      </w:r>
      <w:hyperlink w:anchor="source-5389">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5474">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5333">
        <w:r>
          <w:rPr>
            <w:rFonts w:ascii="微软雅黑" w:hAnsi="微软雅黑" w:eastAsia="微软雅黑" w:cs="微软雅黑"/>
            <w:color w:val="087E89"/>
          </w:rPr>
          <w:t>3</w:t>
        </w:r>
      </w:hyperlink>
      <w:r>
        <w:rPr>
          <w:rFonts w:ascii="微软雅黑" w:hAnsi="微软雅黑" w:eastAsia="微软雅黑" w:cs="微软雅黑"/>
        </w:rPr>
      </w:r>
    </w:p>
    <w:p>
      <w:pPr>
        <w:pStyle w:val="Heading3"/>
      </w:pPr>
      <w:r>
        <w:rPr>
          <w:rFonts w:ascii="微软雅黑" w:hAnsi="微软雅黑" w:eastAsia="微软雅黑" w:cs="微软雅黑"/>
        </w:rPr>
        <w:t>4. 沙特东西输油管道有望数日内部分恢复</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因利雅得和麦地那地区管道此前遭袭被预防性关闭，沙特东西输油管道有望于数日内部分恢复运行，并可能经延布港恢复出口。</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三名消息人士称沙特已重启东西管道运营，可能于稍晚恢复经红海沿岸延布港的出口。报道将该进展与中东地缘担忧减弱共同列为油价下跌的因素之一。</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管道部分恢复将增加沙特经红海的替代出口能力，对全球原油海运供应形成补充。</w:t>
      </w:r>
    </w:p>
    <w:p>
      <w:pPr>
        <w:ind w:firstLine="420"/>
      </w:pPr>
      <w:r>
        <w:rPr>
          <w:rFonts w:ascii="微软雅黑" w:hAnsi="微软雅黑" w:eastAsia="微软雅黑" w:cs="微软雅黑"/>
        </w:rPr>
        <w:t>来源：</w:t>
      </w:r>
      <w:hyperlink w:anchor="source-5194">
        <w:r>
          <w:rPr>
            <w:rFonts w:ascii="微软雅黑" w:hAnsi="微软雅黑" w:eastAsia="微软雅黑" w:cs="微软雅黑"/>
            <w:color w:val="087E89"/>
          </w:rPr>
          <w:t>21</w:t>
        </w:r>
      </w:hyperlink>
      <w:r>
        <w:rPr>
          <w:rFonts w:ascii="微软雅黑" w:hAnsi="微软雅黑" w:eastAsia="微软雅黑" w:cs="微软雅黑"/>
        </w:rPr>
        <w:t xml:space="preserve"> </w:t>
      </w:r>
      <w:hyperlink w:anchor="source-5474">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5333">
        <w:r>
          <w:rPr>
            <w:rFonts w:ascii="微软雅黑" w:hAnsi="微软雅黑" w:eastAsia="微软雅黑" w:cs="微软雅黑"/>
            <w:color w:val="087E89"/>
          </w:rPr>
          <w:t>3</w:t>
        </w:r>
      </w:hyperlink>
      <w:r>
        <w:rPr>
          <w:rFonts w:ascii="微软雅黑" w:hAnsi="微软雅黑" w:eastAsia="微软雅黑" w:cs="微软雅黑"/>
        </w:rPr>
      </w:r>
    </w:p>
    <w:p>
      <w:pPr>
        <w:pStyle w:val="Heading3"/>
      </w:pPr>
      <w:r>
        <w:rPr>
          <w:rFonts w:ascii="微软雅黑" w:hAnsi="微软雅黑" w:eastAsia="微软雅黑" w:cs="微软雅黑"/>
        </w:rPr>
        <w:t>5. 中海油工程启动卡塔尔布尔哈宁海上油气EPIC项目</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海油工程以EPIC模式承担卡塔尔布尔哈宁油田项目，合同总价值约40亿美元，由卡塔尔能源公司投资开发。报道称这是迄今中国企业以合同金额计最大的国际海上油气工程总承包项目。</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项目工作范围包括建造超过60个海上油气设施单元、约40条海底管道和电缆，对现有平台进行改造升级并对达到服役年限的平台进行弃置拆除。钢结构加工量超过13万吨。海油工程采用一体化项目管理方式，应用三维数字化建模和全过程工程仿真技术。十四五期间海油工程累计中标170余个海外项目，主要项目包括加拿大LNG项目、Penguin FPSO和沙特Marjan项目。</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项目落地将巩固中国企业在国际海上油气工程总承包领域的份额，并带动钢结构、管道及海工装备出口。</w:t>
      </w:r>
    </w:p>
    <w:p>
      <w:pPr>
        <w:ind w:firstLine="420"/>
      </w:pPr>
      <w:r>
        <w:rPr>
          <w:rFonts w:ascii="微软雅黑" w:hAnsi="微软雅黑" w:eastAsia="微软雅黑" w:cs="微软雅黑"/>
        </w:rPr>
        <w:t>来源：</w:t>
      </w:r>
      <w:hyperlink w:anchor="source-5257">
        <w:r>
          <w:rPr>
            <w:rFonts w:ascii="微软雅黑" w:hAnsi="微软雅黑" w:eastAsia="微软雅黑" w:cs="微软雅黑"/>
            <w:color w:val="087E89"/>
          </w:rPr>
          <w:t>9</w:t>
        </w:r>
      </w:hyperlink>
      <w:r>
        <w:rPr>
          <w:rFonts w:ascii="微软雅黑" w:hAnsi="微软雅黑" w:eastAsia="微软雅黑" w:cs="微软雅黑"/>
        </w:rPr>
      </w:r>
    </w:p>
    <w:p>
      <w:pPr>
        <w:pStyle w:val="Heading3"/>
      </w:pPr>
      <w:r>
        <w:rPr>
          <w:rFonts w:ascii="微软雅黑" w:hAnsi="微软雅黑" w:eastAsia="微软雅黑" w:cs="微软雅黑"/>
        </w:rPr>
        <w:t>6. 阿布扎比XRG探讨入股加拿大LNG项目</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XRG正与LNG Canada现有股东就出售股份进行初步讨论，交易未必达成。该项目主要由韩国、日本和中国采购，合作伙伴正考虑将产能翻倍的扩产方案，决策预计年内作出。中石油曾就其15%股权征询意向。</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LNG Canada现有股东结构为壳牌40%、马来西亚国家石油25%、三菱15%、中石油15%、Kogas 5%。中石油曾就其15%股权征询意向以筹资支持二期。卡塔尔去年供应全球近五分之一LNG市场。报道明确指出交易未必达成，扩产方案决策预计年内作出。</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若新股东进入，可能影响二期扩产融资与权益分配；中东冲突及霍尔木兹海峡潜在中断或令全球LNG供应紧张多年。</w:t>
      </w:r>
    </w:p>
    <w:p>
      <w:pPr>
        <w:ind w:firstLine="420"/>
      </w:pPr>
      <w:r>
        <w:rPr>
          <w:rFonts w:ascii="微软雅黑" w:hAnsi="微软雅黑" w:eastAsia="微软雅黑" w:cs="微软雅黑"/>
        </w:rPr>
        <w:t>来源：</w:t>
      </w:r>
      <w:hyperlink w:anchor="source-5524">
        <w:r>
          <w:rPr>
            <w:rFonts w:ascii="微软雅黑" w:hAnsi="微软雅黑" w:eastAsia="微软雅黑" w:cs="微软雅黑"/>
            <w:color w:val="087E89"/>
          </w:rPr>
          <w:t>23</w:t>
        </w:r>
      </w:hyperlink>
      <w:r>
        <w:rPr>
          <w:rFonts w:ascii="微软雅黑" w:hAnsi="微软雅黑" w:eastAsia="微软雅黑" w:cs="微软雅黑"/>
        </w:rPr>
      </w:r>
    </w:p>
    <w:p>
      <w:pPr>
        <w:pStyle w:val="Heading3"/>
      </w:pPr>
      <w:r>
        <w:rPr>
          <w:rFonts w:ascii="微软雅黑" w:hAnsi="微软雅黑" w:eastAsia="微软雅黑" w:cs="微软雅黑"/>
        </w:rPr>
        <w:t>7. 预计2030年我国电气化率将居全球主要经济体首位</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预计2030年全国电气化率达到35%，届时将跃居全球主要经济体首位。</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2025年我国电气化率约为29.5%，较上年提高1.4个百分点。电力占终端能源消费比重高出煤炭3.1个百分点。京津冀、长三角、粤港澳大湾区、成渝经济圈电气化率分别约为23.0%、34.6%、41.1%、30.2%。2015年以来我国对世界电气化率增长的贡献度超过80%。</w:t>
      </w:r>
    </w:p>
    <w:p>
      <w:pPr>
        <w:ind w:firstLine="420"/>
      </w:pPr>
      <w:r>
        <w:rPr>
          <w:rFonts w:ascii="微软雅黑" w:hAnsi="微软雅黑" w:eastAsia="微软雅黑" w:cs="微软雅黑"/>
        </w:rPr>
        <w:t>来源：</w:t>
      </w:r>
      <w:hyperlink w:anchor="source-5381">
        <w:r>
          <w:rPr>
            <w:rFonts w:ascii="微软雅黑" w:hAnsi="微软雅黑" w:eastAsia="微软雅黑" w:cs="微软雅黑"/>
            <w:color w:val="087E89"/>
          </w:rPr>
          <w:t>12</w:t>
        </w:r>
      </w:hyperlink>
      <w:r>
        <w:rPr>
          <w:rFonts w:ascii="微软雅黑" w:hAnsi="微软雅黑" w:eastAsia="微软雅黑" w:cs="微软雅黑"/>
        </w:rPr>
      </w:r>
    </w:p>
    <w:p>
      <w:pPr>
        <w:pStyle w:val="Heading3"/>
      </w:pPr>
      <w:r>
        <w:rPr>
          <w:rFonts w:ascii="微软雅黑" w:hAnsi="微软雅黑" w:eastAsia="微软雅黑" w:cs="微软雅黑"/>
        </w:rPr>
        <w:t>8. 英国将投资近170亿英镑启动新建核电计划并建设HALEU浓缩设施</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英国在国际原子能机构第七十届大会国家声明中宣布，正投资近170亿英镑到2030年用于其一代人以来最大规模的新建核电计划，并将通过HALEU计划建立英国首座同类高丰度低富集铀（HALEU）浓缩设施，为第四代反应堆开发商提供燃料供应保障。</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声明同时敦促俄罗斯、伊朗和朝鲜履行国际义务，并呼吁各国普遍实施全面保障协定与附加议定书。原facts未给出170亿英镑的资金构成、年度安排、HALEU设施选址与投产时间等细节，存在不确定性。</w:t>
      </w:r>
    </w:p>
    <w:p>
      <w:pPr>
        <w:ind w:firstLine="420"/>
      </w:pPr>
      <w:r>
        <w:rPr>
          <w:rFonts w:ascii="微软雅黑" w:hAnsi="微软雅黑" w:eastAsia="微软雅黑" w:cs="微软雅黑"/>
        </w:rPr>
        <w:t>来源：</w:t>
      </w:r>
      <w:hyperlink w:anchor="source-5275">
        <w:r>
          <w:rPr>
            <w:rFonts w:ascii="微软雅黑" w:hAnsi="微软雅黑" w:eastAsia="微软雅黑" w:cs="微软雅黑"/>
            <w:color w:val="087E89"/>
          </w:rPr>
          <w:t>8</w:t>
        </w:r>
      </w:hyperlink>
      <w:r>
        <w:rPr>
          <w:rFonts w:ascii="微软雅黑" w:hAnsi="微软雅黑" w:eastAsia="微软雅黑" w:cs="微软雅黑"/>
        </w:rPr>
      </w:r>
    </w:p>
    <w:p>
      <w:pPr>
        <w:pStyle w:val="Heading3"/>
      </w:pPr>
      <w:r>
        <w:rPr>
          <w:rFonts w:ascii="微软雅黑" w:hAnsi="微软雅黑" w:eastAsia="微软雅黑" w:cs="微软雅黑"/>
        </w:rPr>
        <w:t>9. 德国《热电联产法》修订拟与煤电退出和氢能推进对齐</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德国BDEW主张将《热电联产法》（KWKG）延长至2038年、最后一次KWK竞标延至2035年底，以与煤电退出和氢能推进保持一致。</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修订拟采用“成本中性压缩”机制，即缩短补贴期限同时提高补贴水平，以激励KWK机组更灵活地配合可再生能源运行。德国政府计划在数周内完成内阁草案、2027年初前完成立法程序，力争修订后的KWKG于2027年第一季度生效。BDEW预计修订后的KWKG将与电力和热力改革一道带动未来数年能源行业达数十亿欧元的投资。</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修订旨在提升热电联产机组的灵活性，支撑煤电退出与氢能转型的衔接。</w:t>
      </w:r>
    </w:p>
    <w:p>
      <w:pPr>
        <w:ind w:firstLine="420"/>
      </w:pPr>
      <w:r>
        <w:rPr>
          <w:rFonts w:ascii="微软雅黑" w:hAnsi="微软雅黑" w:eastAsia="微软雅黑" w:cs="微软雅黑"/>
        </w:rPr>
        <w:t>来源：</w:t>
      </w:r>
      <w:hyperlink w:anchor="source-5296">
        <w:r>
          <w:rPr>
            <w:rFonts w:ascii="微软雅黑" w:hAnsi="微软雅黑" w:eastAsia="微软雅黑" w:cs="微软雅黑"/>
            <w:color w:val="087E89"/>
          </w:rPr>
          <w:t>7</w:t>
        </w:r>
      </w:hyperlink>
      <w:r>
        <w:rPr>
          <w:rFonts w:ascii="微软雅黑" w:hAnsi="微软雅黑" w:eastAsia="微软雅黑" w:cs="微软雅黑"/>
        </w:rPr>
      </w:r>
    </w:p>
    <w:p>
      <w:pPr>
        <w:pStyle w:val="Heading3"/>
      </w:pPr>
      <w:r>
        <w:rPr>
          <w:rFonts w:ascii="微软雅黑" w:hAnsi="微软雅黑" w:eastAsia="微软雅黑" w:cs="微软雅黑"/>
        </w:rPr>
        <w:t>10. 锂回收商Bridge Green与Hartree签署八年碳酸锂供应协议</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美国关键材料回收公司Bridge Green Upcycle与全球大宗商品贸易商Hartree Partners签署一份碳酸锂商业协议，初始期限为八年，按当前市场价格计算价值在5亿至10亿美元之间。</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双方可将该协议再续期七年，首批依据Hartree协议供应的碳酸锂预计于2028年交付。Hartree还对Bridge Green过渡融资轮进行股权投资，以支持其电池回收和关键矿物精炼的扩张计划。</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协议为电池回收来源的碳酸锂提供长期承销渠道，并支持回收企业扩张。</w:t>
      </w:r>
    </w:p>
    <w:p>
      <w:pPr>
        <w:ind w:firstLine="420"/>
      </w:pPr>
      <w:r>
        <w:rPr>
          <w:rFonts w:ascii="微软雅黑" w:hAnsi="微软雅黑" w:eastAsia="微软雅黑" w:cs="微软雅黑"/>
        </w:rPr>
        <w:t>来源：</w:t>
      </w:r>
      <w:hyperlink w:anchor="source-5262">
        <w:r>
          <w:rPr>
            <w:rFonts w:ascii="微软雅黑" w:hAnsi="微软雅黑" w:eastAsia="微软雅黑" w:cs="微软雅黑"/>
            <w:color w:val="087E89"/>
          </w:rPr>
          <w:t>20</w:t>
        </w:r>
      </w:hyperlink>
      <w:r>
        <w:rPr>
          <w:rFonts w:ascii="微软雅黑" w:hAnsi="微软雅黑" w:eastAsia="微软雅黑" w:cs="微软雅黑"/>
        </w:rPr>
      </w:r>
    </w:p>
    <w:p>
      <w:pPr>
        <w:pStyle w:val="Heading3"/>
      </w:pPr>
      <w:r>
        <w:rPr>
          <w:rFonts w:ascii="微软雅黑" w:hAnsi="微软雅黑" w:eastAsia="微软雅黑" w:cs="微软雅黑"/>
        </w:rPr>
        <w:t>11. 越南工贸部督促各省加快屋顶光伏配套政策落地</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越南工贸部已发出指令，要求各省市及相关部委加快屋顶光伏配套政策的落地，并指出大多数省市未能遵守国家级截止期限。</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工贸部指出，大多数省市未能遵守既定的国家级截止期限，因此命令各地方政府和相关部委加速屋顶光伏相关配套政策的落地，以释放分布式光伏项目空间。</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证据未给出省级执行进度更新或对装机量的量化影响。</w:t>
      </w:r>
    </w:p>
    <w:p>
      <w:pPr>
        <w:ind w:firstLine="420"/>
      </w:pPr>
      <w:r>
        <w:rPr>
          <w:rFonts w:ascii="微软雅黑" w:hAnsi="微软雅黑" w:eastAsia="微软雅黑" w:cs="微软雅黑"/>
        </w:rPr>
        <w:t>来源：</w:t>
      </w:r>
      <w:hyperlink w:anchor="source-5303">
        <w:r>
          <w:rPr>
            <w:rFonts w:ascii="微软雅黑" w:hAnsi="微软雅黑" w:eastAsia="微软雅黑" w:cs="微软雅黑"/>
            <w:color w:val="087E89"/>
          </w:rPr>
          <w:t>6</w:t>
        </w:r>
      </w:hyperlink>
      <w:r>
        <w:rPr>
          <w:rFonts w:ascii="微软雅黑" w:hAnsi="微软雅黑" w:eastAsia="微软雅黑" w:cs="微软雅黑"/>
        </w:rPr>
      </w:r>
    </w:p>
    <w:p>
      <w:pPr>
        <w:pStyle w:val="Heading3"/>
      </w:pPr>
      <w:r>
        <w:rPr>
          <w:rFonts w:ascii="微软雅黑" w:hAnsi="微软雅黑" w:eastAsia="微软雅黑" w:cs="微软雅黑"/>
        </w:rPr>
        <w:t>12. 美国IRA推动光伏制造资本开支到2026年底将累计达122亿美元</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《通胀削减法案》自2022年出台后，显著加速美国光伏制造业投资。Terawatt PV Research预计，到2026年底美国累计光伏制造资本开支将达122亿美元，占2001年以来该行业总支出的逾50%。2024年单年资本开支已创纪录达41.4亿美元，其中逾60%由First Solar和Qcells贡献。</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研究显示，自2022年IRA生效以来，累计资本开支预计到2026年底将达约122亿美元，超过2001年以来美国光伏制造总支出的一半。2024年单年资本开支达创纪录的41.4亿美元，其中逾60%来自First Solar和Qcells。该机构还将采用基于站点级自有数据库的方法，对美国光伏制造商进行AAA至C级制造实力评级，覆盖范围通常占相关投资和产量的95%以上。</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得州凭借Canadian Solar、Sirius/Elin、Imperial Star、SEG Solar、T1 Energy、TOYO/Abalance和Waaree Energies等企业，在2026年超越俄亥俄成为美国组件产量第一大州，反映IRA投资向州层面的再分布。</w:t>
      </w:r>
    </w:p>
    <w:p>
      <w:pPr>
        <w:ind w:firstLine="420"/>
      </w:pPr>
      <w:r>
        <w:rPr>
          <w:rFonts w:ascii="微软雅黑" w:hAnsi="微软雅黑" w:eastAsia="微软雅黑" w:cs="微软雅黑"/>
        </w:rPr>
        <w:t>来源：</w:t>
      </w:r>
      <w:hyperlink w:anchor="source-5529">
        <w:r>
          <w:rPr>
            <w:rFonts w:ascii="微软雅黑" w:hAnsi="微软雅黑" w:eastAsia="微软雅黑" w:cs="微软雅黑"/>
            <w:color w:val="087E89"/>
          </w:rPr>
          <w:t>22</w:t>
        </w:r>
      </w:hyperlink>
      <w:r>
        <w:rPr>
          <w:rFonts w:ascii="微软雅黑" w:hAnsi="微软雅黑" w:eastAsia="微软雅黑" w:cs="微软雅黑"/>
        </w:rPr>
      </w:r>
    </w:p>
    <w:p>
      <w:pPr>
        <w:pStyle w:val="Heading3"/>
      </w:pPr>
      <w:r>
        <w:rPr>
          <w:rFonts w:ascii="微软雅黑" w:hAnsi="微软雅黑" w:eastAsia="微软雅黑" w:cs="微软雅黑"/>
        </w:rPr>
        <w:t>13. 印尼莫罗瓦利工业园因干旱通知企业削减镍生铁产量</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印尼莫罗瓦利工业园（IMIP）因厄尔尼诺导致干旱、冷却及设备用水短缺，已通知园区企业削减镍生铁产量。IMIP此前警告，若供水形势不改善，产量可能削减30%至40%。</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印尼是全球最大镍生产国，产量占全球过半，大量镍在莫罗瓦利等工业园加工。本次削减基于园区供水紧张，属企业层面的产量调整措施，IMIP已对外发出通知。</w:t>
      </w:r>
    </w:p>
    <w:p>
      <w:pPr>
        <w:ind w:firstLine="420"/>
      </w:pPr>
      <w:r>
        <w:rPr>
          <w:rFonts w:ascii="微软雅黑" w:hAnsi="微软雅黑" w:eastAsia="微软雅黑" w:cs="微软雅黑"/>
        </w:rPr>
        <w:t>来源：</w:t>
      </w:r>
      <w:hyperlink w:anchor="source-5259">
        <w:r>
          <w:rPr>
            <w:rFonts w:ascii="微软雅黑" w:hAnsi="微软雅黑" w:eastAsia="微软雅黑" w:cs="微软雅黑"/>
            <w:color w:val="087E89"/>
          </w:rPr>
          <w:t>13</w:t>
        </w:r>
      </w:hyperlink>
      <w:r>
        <w:rPr>
          <w:rFonts w:ascii="微软雅黑" w:hAnsi="微软雅黑" w:eastAsia="微软雅黑" w:cs="微软雅黑"/>
        </w:rPr>
      </w:r>
    </w:p>
    <w:p>
      <w:pPr>
        <w:pStyle w:val="Heading2"/>
      </w:pPr>
      <w:r>
        <w:rPr>
          <w:rFonts w:ascii="微软雅黑" w:hAnsi="微软雅黑" w:eastAsia="微软雅黑" w:cs="微软雅黑"/>
        </w:rPr>
        <w:t>中国重点事件</w:t>
      </w:r>
    </w:p>
    <w:p>
      <w:pPr>
        <w:pStyle w:val="Heading3"/>
      </w:pPr>
      <w:r>
        <w:rPr>
          <w:rFonts w:ascii="微软雅黑" w:hAnsi="微软雅黑" w:eastAsia="微软雅黑" w:cs="微软雅黑"/>
        </w:rPr>
        <w:t>14. 齐鲁石化鲁油鲁炼100万吨/年乙烯装置开工建设</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齐鲁石化鲁油鲁炼项目100万吨/年乙烯装置近日开工建设，标志着中国石化与山东省深化战略合作的标志性工程取得新进展。</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100万吨/年乙烯装置采用中国石化自主知识产权的CBL裂解技术与低能耗乙烯分离技术，关键设备全部实现国产化。主要产品为聚合级乙烯、聚合级丙烯、混合碳四、粗裂解汽油、氢气等，建成投用后将为齐鲁石化下游高压乙烯、聚丙烯、丁二烯等装置提供主要原料，对完善公司产业链、提升产品竞争力和保障化工原料供应具有重要意义。</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装置建成后将向下游高压乙烯、聚丙烯、丁二烯等装置提供主要原料，保障化工原料供应。</w:t>
      </w:r>
    </w:p>
    <w:p>
      <w:pPr>
        <w:ind w:firstLine="420"/>
      </w:pPr>
      <w:r>
        <w:rPr>
          <w:rFonts w:ascii="微软雅黑" w:hAnsi="微软雅黑" w:eastAsia="微软雅黑" w:cs="微软雅黑"/>
        </w:rPr>
        <w:t>来源：</w:t>
      </w:r>
      <w:hyperlink w:anchor="source-5139">
        <w:r>
          <w:rPr>
            <w:rFonts w:ascii="微软雅黑" w:hAnsi="微软雅黑" w:eastAsia="微软雅黑" w:cs="微软雅黑"/>
            <w:color w:val="087E89"/>
          </w:rPr>
          <w:t>18</w:t>
        </w:r>
      </w:hyperlink>
      <w:r>
        <w:rPr>
          <w:rFonts w:ascii="微软雅黑" w:hAnsi="微软雅黑" w:eastAsia="微软雅黑" w:cs="微软雅黑"/>
        </w:rPr>
      </w:r>
    </w:p>
    <w:p>
      <w:pPr>
        <w:pStyle w:val="Heading3"/>
      </w:pPr>
      <w:r>
        <w:rPr>
          <w:rFonts w:ascii="微软雅黑" w:hAnsi="微软雅黑" w:eastAsia="微软雅黑" w:cs="微软雅黑"/>
        </w:rPr>
        <w:t>15. 我国发现超大型规模铜金矿</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9月22日国务院新闻办“开局起步‘十五五’”系列主题新闻发布会披露，安徽茶亭铜金矿、贵州猪拱塘铅锌矿新增资源量均达超大型规模，茶亭有望打造为华东超大型铜金生产基地。</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茶亭矿床位于安徽宣城宣州区，属斑岩铜多金属矿床；铜潜在资源超数个大型铜矿规模（大型标准为50万吨），金潜在资源超十余个大型金矿规模（大型标准为20吨）。今年1—8月，全国石油新增可采储量近7000万吨，天然气新增可采储量6100亿立方米。上述数据由9月22日国务院新闻办“开局起步‘十五五’”系列主题新闻发布会披露。</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茶亭矿区有望打造成为华东超大型铜金生产基地，为“十五五”开局阶段资源接续提供支撑。</w:t>
      </w:r>
    </w:p>
    <w:p>
      <w:pPr>
        <w:ind w:firstLine="420"/>
      </w:pPr>
      <w:r>
        <w:rPr>
          <w:rFonts w:ascii="微软雅黑" w:hAnsi="微软雅黑" w:eastAsia="微软雅黑" w:cs="微软雅黑"/>
        </w:rPr>
        <w:t>来源：</w:t>
      </w:r>
      <w:hyperlink w:anchor="source-5224">
        <w:r>
          <w:rPr>
            <w:rFonts w:ascii="微软雅黑" w:hAnsi="微软雅黑" w:eastAsia="微软雅黑" w:cs="微软雅黑"/>
            <w:color w:val="087E89"/>
          </w:rPr>
          <w:t>14</w:t>
        </w:r>
      </w:hyperlink>
      <w:r>
        <w:rPr>
          <w:rFonts w:ascii="微软雅黑" w:hAnsi="微软雅黑" w:eastAsia="微软雅黑" w:cs="微软雅黑"/>
        </w:rPr>
      </w:r>
    </w:p>
    <w:p>
      <w:pPr>
        <w:pStyle w:val="Heading3"/>
      </w:pPr>
      <w:r>
        <w:rPr>
          <w:rFonts w:ascii="微软雅黑" w:hAnsi="微软雅黑" w:eastAsia="微软雅黑" w:cs="微软雅黑"/>
        </w:rPr>
        <w:t>16. 我国牵头7项天然气国际标准获ISO立项</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国际标准化组织近日批准由我国牵头的7项天然气国际标准全部立项。</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本批标准涵盖页岩气勘探开发、天然气碳足迹核算、天然气储层岩心取样、天然气水合物测试等产业链上游关键领域。其中《天然气上游领域 产品碳足迹量化指南》国际标准预计每年可挖掘千万吨级二氧化碳当量减排潜力；《天然气上游领域 岩心取样 起钻式保压取心方法》标准统一井下起钻式保压取心全流程作业规范和原位测试方法，填补国际空白。本次立项的两项天然气水合物测试标准为水合物勘查及流动安全提供标准化技术支撑。</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助力全球99万亿立方米天然气水合物资源量的勘探开发，并为产品碳足迹核算与页岩气勘探开发提供国际标准化支撑。</w:t>
      </w:r>
    </w:p>
    <w:p>
      <w:pPr>
        <w:ind w:firstLine="420"/>
      </w:pPr>
      <w:r>
        <w:rPr>
          <w:rFonts w:ascii="微软雅黑" w:hAnsi="微软雅黑" w:eastAsia="微软雅黑" w:cs="微软雅黑"/>
        </w:rPr>
        <w:t>来源：</w:t>
      </w:r>
      <w:hyperlink w:anchor="source-5165">
        <w:r>
          <w:rPr>
            <w:rFonts w:ascii="微软雅黑" w:hAnsi="微软雅黑" w:eastAsia="微软雅黑" w:cs="微软雅黑"/>
            <w:color w:val="087E89"/>
          </w:rPr>
          <w:t>17</w:t>
        </w:r>
      </w:hyperlink>
      <w:r>
        <w:rPr>
          <w:rFonts w:ascii="微软雅黑" w:hAnsi="微软雅黑" w:eastAsia="微软雅黑" w:cs="微软雅黑"/>
        </w:rPr>
      </w:r>
    </w:p>
    <w:p>
      <w:pPr>
        <w:pStyle w:val="Heading3"/>
      </w:pPr>
      <w:r>
        <w:rPr>
          <w:rFonts w:ascii="微软雅黑" w:hAnsi="微软雅黑" w:eastAsia="微软雅黑" w:cs="微软雅黑"/>
        </w:rPr>
        <w:t>17. 秦皇岛港5500大卡动力煤现货报价升至989元/吨</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9月10日，秦皇岛港5500大卡动力煤现货报价约989元/吨，环渤海港口市场煤报价自2023年10月中旬以来首次突破千元，创近三年新高。</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据报道，9月10日秦皇岛港5500大卡动力煤现货报价约989元/吨，环渤海港口市场煤报价自2023年10月中旬以来首次突破千元，创下近三年新高。截至9月20日，CCTD环渤海动力煤现货参考价5500、5000、4500大卡分别收于979、884、798元/吨。</w:t>
      </w:r>
    </w:p>
    <w:p>
      <w:pPr>
        <w:ind w:firstLine="420"/>
      </w:pPr>
      <w:r>
        <w:rPr>
          <w:rFonts w:ascii="微软雅黑" w:hAnsi="微软雅黑" w:eastAsia="微软雅黑" w:cs="微软雅黑"/>
        </w:rPr>
        <w:t>来源：</w:t>
      </w:r>
      <w:hyperlink w:anchor="source-5169">
        <w:r>
          <w:rPr>
            <w:rFonts w:ascii="微软雅黑" w:hAnsi="微软雅黑" w:eastAsia="微软雅黑" w:cs="微软雅黑"/>
            <w:color w:val="087E89"/>
          </w:rPr>
          <w:t>16</w:t>
        </w:r>
      </w:hyperlink>
      <w:r>
        <w:rPr>
          <w:rFonts w:ascii="微软雅黑" w:hAnsi="微软雅黑" w:eastAsia="微软雅黑" w:cs="微软雅黑"/>
        </w:rPr>
      </w:r>
    </w:p>
    <w:p>
      <w:pPr>
        <w:pStyle w:val="Heading3"/>
      </w:pPr>
      <w:r>
        <w:rPr>
          <w:rFonts w:ascii="微软雅黑" w:hAnsi="微软雅黑" w:eastAsia="微软雅黑" w:cs="微软雅黑"/>
        </w:rPr>
        <w:t>18. 国家电网“十五五”跨省区输电能力目标达5亿千瓦</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国家电网董事长张智刚表示，“十五五”是如期实现碳达峰、加快建设能源强国的关键时期，将力争建成投产特高压直流15回以上、累计达到35回以上，跨省区输电能力达到5亿千瓦。</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张智刚指出，将因地制宜推进末端保供型微电网、村镇级微能网建设；积极引导虚拟电厂、充换电运营商等重点群体参与削峰填谷。服务“沙戈荒”、海上风电等基地建设和分布式光伏快速发展，加大抽水蓄能建设力度，支持新型储能规模化应用，推动煤电灵活性改造；深化电网与算力设施协同规划建设，实施供电质量提升专项行动；大力实施电网补短板和防灾抗灾专项方案，提升应对台风强风、雨雪冰冻、山洪内涝等灾害能力。</w:t>
      </w:r>
    </w:p>
    <w:p>
      <w:pPr>
        <w:ind w:firstLine="420"/>
      </w:pPr>
      <w:r>
        <w:rPr>
          <w:rFonts w:ascii="微软雅黑" w:hAnsi="微软雅黑" w:eastAsia="微软雅黑" w:cs="微软雅黑"/>
        </w:rPr>
        <w:t>来源：</w:t>
      </w:r>
      <w:hyperlink w:anchor="source-5384">
        <w:r>
          <w:rPr>
            <w:rFonts w:ascii="微软雅黑" w:hAnsi="微软雅黑" w:eastAsia="微软雅黑" w:cs="微软雅黑"/>
            <w:color w:val="087E89"/>
          </w:rPr>
          <w:t>11</w:t>
        </w:r>
      </w:hyperlink>
      <w:r>
        <w:rPr>
          <w:rFonts w:ascii="微软雅黑" w:hAnsi="微软雅黑" w:eastAsia="微软雅黑" w:cs="微软雅黑"/>
        </w:rPr>
      </w:r>
    </w:p>
    <w:p>
      <w:pPr>
        <w:pStyle w:val="Heading3"/>
      </w:pPr>
      <w:r>
        <w:rPr>
          <w:rFonts w:ascii="微软雅黑" w:hAnsi="微软雅黑" w:eastAsia="微软雅黑" w:cs="微软雅黑"/>
        </w:rPr>
        <w:t>19. 郑州获批创建国家级氢能综合应用试点城市群</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工信部、财政部、国家发改委批复黄河几字弯—中原城市群创建国家级氢能综合应用试点城市群，成为全国五大国家级氢能试点城市群之一。郑州为双主责城市之一。</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该城市群横跨河南、内蒙古等6个省区，包括郑州、平顶山、濮阳等12个城市和地区。郑州聚焦重载物流、冷链运输、市政环卫等场景，高标准完成1250辆氢燃料电池汽车推广及配套加氢设施建设，并依托汽车制造基础，发挥宇通等链主企业牵引作用，重点发展氢燃料电池整车、大功率电堆、关键零部件、储运加注及安全监测等核心环节。试点将依托周边富集工业副产氢资源，推进规模化提纯保供，并通过车型标准化、部件批量化、用氢规模化降低用氢成本。</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郑州将立足双主责城市定位，深化黄河几字弯城市群联动，推动跨区域加氢网络、示范线路、氢源保障、运营数据互通共享。</w:t>
      </w:r>
    </w:p>
    <w:p>
      <w:pPr>
        <w:ind w:firstLine="420"/>
      </w:pPr>
      <w:r>
        <w:rPr>
          <w:rFonts w:ascii="微软雅黑" w:hAnsi="微软雅黑" w:eastAsia="微软雅黑" w:cs="微软雅黑"/>
        </w:rPr>
        <w:t>来源：</w:t>
      </w:r>
      <w:hyperlink w:anchor="source-5392">
        <w:r>
          <w:rPr>
            <w:rFonts w:ascii="微软雅黑" w:hAnsi="微软雅黑" w:eastAsia="微软雅黑" w:cs="微软雅黑"/>
            <w:color w:val="087E89"/>
          </w:rPr>
          <w:t>10</w:t>
        </w:r>
      </w:hyperlink>
      <w:r>
        <w:rPr>
          <w:rFonts w:ascii="微软雅黑" w:hAnsi="微软雅黑" w:eastAsia="微软雅黑" w:cs="微软雅黑"/>
        </w:rPr>
      </w:r>
    </w:p>
    <w:p>
      <w:pPr>
        <w:pStyle w:val="Heading3"/>
      </w:pPr>
      <w:r>
        <w:rPr>
          <w:rFonts w:ascii="微软雅黑" w:hAnsi="微软雅黑" w:eastAsia="微软雅黑" w:cs="微软雅黑"/>
        </w:rPr>
        <w:t>20. 浙江前8月全社会用电量首破5000亿千瓦时</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2026年前8个月，浙江全社会用电量首次突破5000亿千瓦时，同比增长5.43%。一、二、三产业用电量均实现增长，充换电服务业、互联网数据服务业用电量增速突出。</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2026年1—8月，浙江全社会用电量首次突破5000亿千瓦时，同比增长5.43%。一、二、三产业用电量分别增长5.80%、5.88%、6.82%。重点制造业用电增速明显：汽车制造业14.80%、计算机通信和其他电子设备制造业14.55%、专用设备制造业10.91%、通用设备制造业10.25%。新兴服务业用电增长强劲，互联网数据服务业、充换电服务业用电量增速分别达20.95%和50.19%。</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数据显示制造业与新兴服务业用电增速显著高于全社会平均，反映浙江工业升级和数字经济、充换电基础设施用电需求快速扩张。</w:t>
      </w:r>
    </w:p>
    <w:p>
      <w:pPr>
        <w:ind w:firstLine="420"/>
      </w:pPr>
      <w:r>
        <w:rPr>
          <w:rFonts w:ascii="微软雅黑" w:hAnsi="微软雅黑" w:eastAsia="微软雅黑" w:cs="微软雅黑"/>
        </w:rPr>
        <w:t>来源：</w:t>
      </w:r>
      <w:hyperlink w:anchor="source-5192">
        <w:r>
          <w:rPr>
            <w:rFonts w:ascii="微软雅黑" w:hAnsi="微软雅黑" w:eastAsia="微软雅黑" w:cs="微软雅黑"/>
            <w:color w:val="087E89"/>
          </w:rPr>
          <w:t>15</w:t>
        </w:r>
      </w:hyperlink>
      <w:r>
        <w:rPr>
          <w:rFonts w:ascii="微软雅黑" w:hAnsi="微软雅黑" w:eastAsia="微软雅黑" w:cs="微软雅黑"/>
        </w:rPr>
      </w:r>
    </w:p>
    <w:p>
      <w:pPr>
        <w:pStyle w:val="Heading2"/>
      </w:pPr>
      <w:r>
        <w:rPr>
          <w:rFonts w:ascii="微软雅黑" w:hAnsi="微软雅黑" w:eastAsia="微软雅黑" w:cs="微软雅黑"/>
        </w:rPr>
        <w:t>风险与后续观察</w:t>
      </w:r>
    </w:p>
    <w:p>
      <w:pPr>
        <w:pStyle w:val="ListBullet"/>
      </w:pPr>
      <w:r>
        <w:rPr>
          <w:rFonts w:ascii="微软雅黑" w:hAnsi="微软雅黑" w:eastAsia="微软雅黑" w:cs="微软雅黑"/>
        </w:rPr>
        <w:t xml:space="preserve">伊朗官方是否正式确认提议；美方是否做出回应及采取相应缓和措施。 </w:t>
      </w:r>
      <w:hyperlink w:anchor="source-5389">
        <w:r>
          <w:rPr>
            <w:rFonts w:ascii="微软雅黑" w:hAnsi="微软雅黑" w:eastAsia="微软雅黑" w:cs="微软雅黑"/>
            <w:color w:val="087E89"/>
          </w:rPr>
          <w:t>1</w:t>
        </w:r>
      </w:hyperlink>
      <w:r>
        <w:rPr>
          <w:rFonts w:ascii="微软雅黑" w:hAnsi="微软雅黑" w:eastAsia="微软雅黑" w:cs="微软雅黑"/>
        </w:rPr>
        <w:t xml:space="preserve"> </w:t>
      </w:r>
      <w:hyperlink w:anchor="source-5474">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5333">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两起袭击事件均处于调查阶段；需关注胡塞武装战事走向、沙特经霍尔木兹海峡出口能否维持，以及美方对胡塞武装的空袭决策（已被报道临时叫停，但目标清单已获批、战机已挂弹）。 </w:t>
      </w:r>
      <w:hyperlink w:anchor="source-5122">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5093">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各省后续政策落地的具体时间表以及对屋顶光伏项目储备的实际转化效果，尚待跟踪。 </w:t>
      </w:r>
      <w:hyperlink w:anchor="source-5303">
        <w:r>
          <w:rPr>
            <w:rFonts w:ascii="微软雅黑" w:hAnsi="微软雅黑" w:eastAsia="微软雅黑" w:cs="微软雅黑"/>
            <w:color w:val="087E89"/>
          </w:rPr>
          <w:t>6</w:t>
        </w:r>
      </w:hyperlink>
      <w:r>
        <w:rPr>
          <w:rFonts w:ascii="微软雅黑" w:hAnsi="微软雅黑" w:eastAsia="微软雅黑" w:cs="微软雅黑"/>
        </w:rPr>
      </w:r>
    </w:p>
    <w:p>
      <w:pPr>
        <w:pStyle w:val="ListBullet"/>
      </w:pPr>
      <w:r>
        <w:rPr>
          <w:rFonts w:ascii="微软雅黑" w:hAnsi="微软雅黑" w:eastAsia="微软雅黑" w:cs="微软雅黑"/>
        </w:rPr>
        <w:t xml:space="preserve">内阁草案出台时间、立法进度及2027年第一季度生效是否如期实现。 </w:t>
      </w:r>
      <w:hyperlink w:anchor="source-5296">
        <w:r>
          <w:rPr>
            <w:rFonts w:ascii="微软雅黑" w:hAnsi="微软雅黑" w:eastAsia="微软雅黑" w:cs="微软雅黑"/>
            <w:color w:val="087E89"/>
          </w:rPr>
          <w:t>7</w:t>
        </w:r>
      </w:hyperlink>
      <w:r>
        <w:rPr>
          <w:rFonts w:ascii="微软雅黑" w:hAnsi="微软雅黑" w:eastAsia="微软雅黑" w:cs="微软雅黑"/>
        </w:rPr>
      </w:r>
    </w:p>
    <w:p>
      <w:pPr>
        <w:pStyle w:val="ListBullet"/>
      </w:pPr>
      <w:r>
        <w:rPr>
          <w:rFonts w:ascii="微软雅黑" w:hAnsi="微软雅黑" w:eastAsia="微软雅黑" w:cs="微软雅黑"/>
        </w:rPr>
        <w:t xml:space="preserve">近170亿英镑新建核电资金的落地节奏；英国首座HALEU浓缩设施的选址、产能与投产时间；面向第四代反应堆开发商的燃料供应机制细节。 </w:t>
      </w:r>
      <w:hyperlink w:anchor="source-5275">
        <w:r>
          <w:rPr>
            <w:rFonts w:ascii="微软雅黑" w:hAnsi="微软雅黑" w:eastAsia="微软雅黑" w:cs="微软雅黑"/>
            <w:color w:val="087E89"/>
          </w:rPr>
          <w:t>8</w:t>
        </w:r>
      </w:hyperlink>
      <w:r>
        <w:rPr>
          <w:rFonts w:ascii="微软雅黑" w:hAnsi="微软雅黑" w:eastAsia="微软雅黑" w:cs="微软雅黑"/>
        </w:rPr>
      </w:r>
    </w:p>
    <w:p>
      <w:pPr>
        <w:pStyle w:val="ListBullet"/>
      </w:pPr>
      <w:r>
        <w:rPr>
          <w:rFonts w:ascii="微软雅黑" w:hAnsi="微软雅黑" w:eastAsia="微软雅黑" w:cs="微软雅黑"/>
        </w:rPr>
        <w:t xml:space="preserve">项目执行进度、钢结构建造与海上安装交付节奏。 </w:t>
      </w:r>
      <w:hyperlink w:anchor="source-5257">
        <w:r>
          <w:rPr>
            <w:rFonts w:ascii="微软雅黑" w:hAnsi="微软雅黑" w:eastAsia="微软雅黑" w:cs="微软雅黑"/>
            <w:color w:val="087E89"/>
          </w:rPr>
          <w:t>9</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本期采集快照包含 437 篇文章，形成 324 篇有效能源材料；正文引用 23 篇来源，整理 20 个重点事件。</w:t>
      </w:r>
    </w:p>
    <w:p>
      <w:pPr>
        <w:ind w:firstLine="420"/>
      </w:pPr>
      <w:r>
        <w:rPr>
          <w:rFonts w:ascii="微软雅黑" w:hAnsi="微软雅黑" w:eastAsia="微软雅黑" w:cs="微软雅黑"/>
        </w:rPr>
        <w:t>按报道发布时间归档。历史数据、计划和预测不代表当日新发生或已经实现；来源样本不等于完整市场统计。</w:t>
      </w:r>
    </w:p>
    <w:p>
      <w:pPr>
        <w:ind w:firstLine="420"/>
      </w:pPr>
      <w:r>
        <w:rPr>
          <w:rFonts w:ascii="微软雅黑" w:hAnsi="微软雅黑" w:eastAsia="微软雅黑" w:cs="微软雅黑"/>
        </w:rPr>
        <w:t>另有 2 篇材料尚待复核，未纳入本期判断。</w:t>
      </w:r>
    </w:p>
    <w:p>
      <w:pPr>
        <w:ind w:firstLine="420"/>
      </w:pPr>
      <w:r>
        <w:rPr>
          <w:rFonts w:ascii="微软雅黑" w:hAnsi="微软雅黑" w:eastAsia="微软雅黑" w:cs="微软雅黑"/>
        </w:rPr>
        <w:t>本期材料较多，综合部分按重要性及主题覆盖择取。</w:t>
      </w:r>
    </w:p>
    <w:p>
      <w:pPr>
        <w:pStyle w:val="Heading2"/>
      </w:pPr>
      <w:r>
        <w:rPr>
          <w:rFonts w:ascii="微软雅黑" w:hAnsi="微软雅黑" w:eastAsia="微软雅黑" w:cs="微软雅黑"/>
        </w:rPr>
        <w:t>资料来源</w:t>
      </w:r>
    </w:p>
    <w:p>
      <w:pPr>
        <w:spacing w:after="0" w:line="20" w:lineRule="exact"/>
      </w:pPr>
      <w:bookmarkStart w:id="1" w:name="source-5389"/>
      <w:bookmarkEnd w:id="1" w:name="source-5389"/>
    </w:p>
    <w:p>
      <w:pPr>
        <w:pStyle w:val="ListBullet"/>
      </w:pPr>
      <w:r>
        <w:rPr>
          <w:rFonts w:ascii="微软雅黑" w:hAnsi="微软雅黑" w:eastAsia="微软雅黑" w:cs="微软雅黑"/>
        </w:rPr>
        <w:t>[1] 智通财经｜</w:t>
      </w:r>
      <w:hyperlink r:id="rId11">
        <w:r>
          <w:rPr>
            <w:rFonts w:ascii="微软雅黑" w:hAnsi="微软雅黑" w:eastAsia="微软雅黑" w:cs="微软雅黑"/>
            <w:color w:val="087E89"/>
          </w:rPr>
          <w:t>油价五连跌创两周新低：伊朗据传提议重开霍尔木兹，沙特关键管道重启</w:t>
        </w:r>
      </w:hyperlink>
      <w:r>
        <w:rPr>
          <w:rFonts w:ascii="微软雅黑" w:hAnsi="微软雅黑" w:eastAsia="微软雅黑" w:cs="微软雅黑"/>
        </w:rPr>
      </w:r>
    </w:p>
    <w:p>
      <w:pPr>
        <w:spacing w:after="0" w:line="20" w:lineRule="exact"/>
      </w:pPr>
      <w:bookmarkStart w:id="2" w:name="source-5474"/>
      <w:bookmarkEnd w:id="2" w:name="source-5474"/>
    </w:p>
    <w:p>
      <w:pPr>
        <w:pStyle w:val="ListBullet"/>
      </w:pPr>
      <w:r>
        <w:rPr>
          <w:rFonts w:ascii="微软雅黑" w:hAnsi="微软雅黑" w:eastAsia="微软雅黑" w:cs="微软雅黑"/>
        </w:rPr>
        <w:t>[2] Business Day｜</w:t>
      </w:r>
      <w:hyperlink r:id="rId12">
        <w:r>
          <w:rPr>
            <w:rFonts w:ascii="微软雅黑" w:hAnsi="微软雅黑" w:eastAsia="微软雅黑" w:cs="微软雅黑"/>
            <w:color w:val="087E89"/>
          </w:rPr>
          <w:t>受人工智能乐观情绪重燃提振，股市上扬，油价跌破100美元</w:t>
        </w:r>
      </w:hyperlink>
      <w:r>
        <w:rPr>
          <w:rFonts w:ascii="微软雅黑" w:hAnsi="微软雅黑" w:eastAsia="微软雅黑" w:cs="微软雅黑"/>
        </w:rPr>
      </w:r>
    </w:p>
    <w:p>
      <w:pPr>
        <w:spacing w:after="0" w:line="20" w:lineRule="exact"/>
      </w:pPr>
      <w:bookmarkStart w:id="3" w:name="source-5333"/>
      <w:bookmarkEnd w:id="3" w:name="source-5333"/>
    </w:p>
    <w:p>
      <w:pPr>
        <w:pStyle w:val="ListBullet"/>
      </w:pPr>
      <w:r>
        <w:rPr>
          <w:rFonts w:ascii="微软雅黑" w:hAnsi="微软雅黑" w:eastAsia="微软雅黑" w:cs="微软雅黑"/>
        </w:rPr>
        <w:t>[3] 汇通财经｜</w:t>
      </w:r>
      <w:hyperlink r:id="rId13">
        <w:r>
          <w:rPr>
            <w:rFonts w:ascii="微软雅黑" w:hAnsi="微软雅黑" w:eastAsia="微软雅黑" w:cs="微软雅黑"/>
            <w:color w:val="087E89"/>
          </w:rPr>
          <w:t>国际原油震荡急跌，市场焦点持续围绕外交动态</w:t>
        </w:r>
      </w:hyperlink>
      <w:r>
        <w:rPr>
          <w:rFonts w:ascii="微软雅黑" w:hAnsi="微软雅黑" w:eastAsia="微软雅黑" w:cs="微软雅黑"/>
        </w:rPr>
      </w:r>
    </w:p>
    <w:p>
      <w:pPr>
        <w:spacing w:after="0" w:line="20" w:lineRule="exact"/>
      </w:pPr>
      <w:bookmarkStart w:id="4" w:name="source-5122"/>
      <w:bookmarkEnd w:id="4" w:name="source-5122"/>
    </w:p>
    <w:p>
      <w:pPr>
        <w:pStyle w:val="ListBullet"/>
      </w:pPr>
      <w:r>
        <w:rPr>
          <w:rFonts w:ascii="微软雅黑" w:hAnsi="微软雅黑" w:eastAsia="微软雅黑" w:cs="微软雅黑"/>
        </w:rPr>
        <w:t>[4] 中国能源新闻网｜</w:t>
      </w:r>
      <w:hyperlink r:id="rId14">
        <w:r>
          <w:rPr>
            <w:rFonts w:ascii="微软雅黑" w:hAnsi="微软雅黑" w:eastAsia="微软雅黑" w:cs="微软雅黑"/>
            <w:color w:val="087E89"/>
          </w:rPr>
          <w:t>一艘液化石油气运输船在霍尔木兹海峡遇袭</w:t>
        </w:r>
      </w:hyperlink>
      <w:r>
        <w:rPr>
          <w:rFonts w:ascii="微软雅黑" w:hAnsi="微软雅黑" w:eastAsia="微软雅黑" w:cs="微软雅黑"/>
        </w:rPr>
      </w:r>
    </w:p>
    <w:p>
      <w:pPr>
        <w:spacing w:after="0" w:line="20" w:lineRule="exact"/>
      </w:pPr>
      <w:bookmarkStart w:id="5" w:name="source-5093"/>
      <w:bookmarkEnd w:id="5" w:name="source-5093"/>
    </w:p>
    <w:p>
      <w:pPr>
        <w:pStyle w:val="ListBullet"/>
      </w:pPr>
      <w:r>
        <w:rPr>
          <w:rFonts w:ascii="微软雅黑" w:hAnsi="微软雅黑" w:eastAsia="微软雅黑" w:cs="微软雅黑"/>
        </w:rPr>
        <w:t>[5] SHMET（上海金属网）｜</w:t>
      </w:r>
      <w:hyperlink r:id="rId15">
        <w:r>
          <w:rPr>
            <w:rFonts w:ascii="微软雅黑" w:hAnsi="微软雅黑" w:eastAsia="微软雅黑" w:cs="微软雅黑"/>
            <w:color w:val="087E89"/>
          </w:rPr>
          <w:t>胡塞武装攻占战略高地！特朗普据报临时叫停空袭，中东能源风险再升级</w:t>
        </w:r>
      </w:hyperlink>
      <w:r>
        <w:rPr>
          <w:rFonts w:ascii="微软雅黑" w:hAnsi="微软雅黑" w:eastAsia="微软雅黑" w:cs="微软雅黑"/>
        </w:rPr>
      </w:r>
    </w:p>
    <w:p>
      <w:pPr>
        <w:spacing w:after="0" w:line="20" w:lineRule="exact"/>
      </w:pPr>
      <w:bookmarkStart w:id="6" w:name="source-5303"/>
      <w:bookmarkEnd w:id="6" w:name="source-5303"/>
    </w:p>
    <w:p>
      <w:pPr>
        <w:pStyle w:val="ListBullet"/>
      </w:pPr>
      <w:r>
        <w:rPr>
          <w:rFonts w:ascii="微软雅黑" w:hAnsi="微软雅黑" w:eastAsia="微软雅黑" w:cs="微软雅黑"/>
        </w:rPr>
        <w:t>[6] 光伏杂志国际版｜</w:t>
      </w:r>
      <w:hyperlink r:id="rId16">
        <w:r>
          <w:rPr>
            <w:rFonts w:ascii="微软雅黑" w:hAnsi="微软雅黑" w:eastAsia="微软雅黑" w:cs="微软雅黑"/>
            <w:color w:val="087E89"/>
          </w:rPr>
          <w:t>越南督促各省份加快推进屋顶光伏部署</w:t>
        </w:r>
      </w:hyperlink>
      <w:r>
        <w:rPr>
          <w:rFonts w:ascii="微软雅黑" w:hAnsi="微软雅黑" w:eastAsia="微软雅黑" w:cs="微软雅黑"/>
        </w:rPr>
      </w:r>
    </w:p>
    <w:p>
      <w:pPr>
        <w:spacing w:after="0" w:line="20" w:lineRule="exact"/>
      </w:pPr>
      <w:bookmarkStart w:id="7" w:name="source-5296"/>
      <w:bookmarkEnd w:id="7" w:name="source-5296"/>
    </w:p>
    <w:p>
      <w:pPr>
        <w:pStyle w:val="ListBullet"/>
      </w:pPr>
      <w:r>
        <w:rPr>
          <w:rFonts w:ascii="微软雅黑" w:hAnsi="微软雅黑" w:eastAsia="微软雅黑" w:cs="微软雅黑"/>
        </w:rPr>
        <w:t>[7] BDEW｜</w:t>
      </w:r>
      <w:hyperlink r:id="rId17">
        <w:r>
          <w:rPr>
            <w:rFonts w:ascii="微软雅黑" w:hAnsi="微软雅黑" w:eastAsia="微软雅黑" w:cs="微软雅黑"/>
            <w:color w:val="087E89"/>
          </w:rPr>
          <w:t>《热电联产法》修订要点的方向是正确的</w:t>
        </w:r>
      </w:hyperlink>
      <w:r>
        <w:rPr>
          <w:rFonts w:ascii="微软雅黑" w:hAnsi="微软雅黑" w:eastAsia="微软雅黑" w:cs="微软雅黑"/>
        </w:rPr>
      </w:r>
    </w:p>
    <w:p>
      <w:pPr>
        <w:spacing w:after="0" w:line="20" w:lineRule="exact"/>
      </w:pPr>
      <w:bookmarkStart w:id="8" w:name="source-5275"/>
      <w:bookmarkEnd w:id="8" w:name="source-5275"/>
    </w:p>
    <w:p>
      <w:pPr>
        <w:pStyle w:val="ListBullet"/>
      </w:pPr>
      <w:r>
        <w:rPr>
          <w:rFonts w:ascii="微软雅黑" w:hAnsi="微软雅黑" w:eastAsia="微软雅黑" w:cs="微软雅黑"/>
        </w:rPr>
        <w:t>[8] 英国能源安全与净零排放部｜</w:t>
      </w:r>
      <w:hyperlink r:id="rId18">
        <w:r>
          <w:rPr>
            <w:rFonts w:ascii="微软雅黑" w:hAnsi="微软雅黑" w:eastAsia="微软雅黑" w:cs="微软雅黑"/>
            <w:color w:val="087E89"/>
          </w:rPr>
          <w:t>国际原子能机构第七十届大会：英国国家声明</w:t>
        </w:r>
      </w:hyperlink>
      <w:r>
        <w:rPr>
          <w:rFonts w:ascii="微软雅黑" w:hAnsi="微软雅黑" w:eastAsia="微软雅黑" w:cs="微软雅黑"/>
        </w:rPr>
      </w:r>
    </w:p>
    <w:p>
      <w:pPr>
        <w:spacing w:after="0" w:line="20" w:lineRule="exact"/>
      </w:pPr>
      <w:bookmarkStart w:id="9" w:name="source-5257"/>
      <w:bookmarkEnd w:id="9" w:name="source-5257"/>
    </w:p>
    <w:p>
      <w:pPr>
        <w:pStyle w:val="ListBullet"/>
      </w:pPr>
      <w:r>
        <w:rPr>
          <w:rFonts w:ascii="微软雅黑" w:hAnsi="微软雅黑" w:eastAsia="微软雅黑" w:cs="微软雅黑"/>
        </w:rPr>
        <w:t>[9] SaudiGulf Projects｜</w:t>
      </w:r>
      <w:hyperlink r:id="rId19">
        <w:r>
          <w:rPr>
            <w:rFonts w:ascii="微软雅黑" w:hAnsi="微软雅黑" w:eastAsia="微软雅黑" w:cs="微软雅黑"/>
            <w:color w:val="087E89"/>
          </w:rPr>
          <w:t>中海油服启动卡塔尔布尔哈宁海上油气EPIC项目 合同约40亿美元</w:t>
        </w:r>
      </w:hyperlink>
      <w:r>
        <w:rPr>
          <w:rFonts w:ascii="微软雅黑" w:hAnsi="微软雅黑" w:eastAsia="微软雅黑" w:cs="微软雅黑"/>
        </w:rPr>
      </w:r>
    </w:p>
    <w:p>
      <w:pPr>
        <w:spacing w:after="0" w:line="20" w:lineRule="exact"/>
      </w:pPr>
      <w:bookmarkStart w:id="10" w:name="source-5392"/>
      <w:bookmarkEnd w:id="10" w:name="source-5392"/>
    </w:p>
    <w:p>
      <w:pPr>
        <w:pStyle w:val="ListBullet"/>
      </w:pPr>
      <w:r>
        <w:rPr>
          <w:rFonts w:ascii="微软雅黑" w:hAnsi="微软雅黑" w:eastAsia="微软雅黑" w:cs="微软雅黑"/>
        </w:rPr>
        <w:t>[10] 科技日报｜</w:t>
      </w:r>
      <w:hyperlink r:id="rId20">
        <w:r>
          <w:rPr>
            <w:rFonts w:ascii="微软雅黑" w:hAnsi="微软雅黑" w:eastAsia="微软雅黑" w:cs="微软雅黑"/>
            <w:color w:val="087E89"/>
          </w:rPr>
          <w:t>河南郑州：打造全国氢能产业高质量发展标杆城市</w:t>
        </w:r>
      </w:hyperlink>
      <w:r>
        <w:rPr>
          <w:rFonts w:ascii="微软雅黑" w:hAnsi="微软雅黑" w:eastAsia="微软雅黑" w:cs="微软雅黑"/>
        </w:rPr>
      </w:r>
    </w:p>
    <w:p>
      <w:pPr>
        <w:spacing w:after="0" w:line="20" w:lineRule="exact"/>
      </w:pPr>
      <w:bookmarkStart w:id="11" w:name="source-5384"/>
      <w:bookmarkEnd w:id="11" w:name="source-5384"/>
    </w:p>
    <w:p>
      <w:pPr>
        <w:pStyle w:val="ListBullet"/>
      </w:pPr>
      <w:r>
        <w:rPr>
          <w:rFonts w:ascii="微软雅黑" w:hAnsi="微软雅黑" w:eastAsia="微软雅黑" w:cs="微软雅黑"/>
        </w:rPr>
        <w:t>[11] 中国能源新闻网｜</w:t>
      </w:r>
      <w:hyperlink r:id="rId21">
        <w:r>
          <w:rPr>
            <w:rFonts w:ascii="微软雅黑" w:hAnsi="微软雅黑" w:eastAsia="微软雅黑" w:cs="微软雅黑"/>
            <w:color w:val="087E89"/>
          </w:rPr>
          <w:t>国家电网董事长、党组书记 张智刚：当好新型电力系统建设主力军 努力为服务能源强国建设贡献电网力量</w:t>
        </w:r>
      </w:hyperlink>
      <w:r>
        <w:rPr>
          <w:rFonts w:ascii="微软雅黑" w:hAnsi="微软雅黑" w:eastAsia="微软雅黑" w:cs="微软雅黑"/>
        </w:rPr>
      </w:r>
    </w:p>
    <w:p>
      <w:pPr>
        <w:spacing w:after="0" w:line="20" w:lineRule="exact"/>
      </w:pPr>
      <w:bookmarkStart w:id="12" w:name="source-5381"/>
      <w:bookmarkEnd w:id="12" w:name="source-5381"/>
    </w:p>
    <w:p>
      <w:pPr>
        <w:pStyle w:val="ListBullet"/>
      </w:pPr>
      <w:r>
        <w:rPr>
          <w:rFonts w:ascii="微软雅黑" w:hAnsi="微软雅黑" w:eastAsia="微软雅黑" w:cs="微软雅黑"/>
        </w:rPr>
        <w:t>[12] 财联社｜</w:t>
      </w:r>
      <w:hyperlink r:id="rId22">
        <w:r>
          <w:rPr>
            <w:rFonts w:ascii="微软雅黑" w:hAnsi="微软雅黑" w:eastAsia="微软雅黑" w:cs="微软雅黑"/>
            <w:color w:val="087E89"/>
          </w:rPr>
          <w:t>到2030年我国电气化率将跃居全球主要经济体首位</w:t>
        </w:r>
      </w:hyperlink>
      <w:r>
        <w:rPr>
          <w:rFonts w:ascii="微软雅黑" w:hAnsi="微软雅黑" w:eastAsia="微软雅黑" w:cs="微软雅黑"/>
        </w:rPr>
      </w:r>
    </w:p>
    <w:p>
      <w:pPr>
        <w:spacing w:after="0" w:line="20" w:lineRule="exact"/>
      </w:pPr>
      <w:bookmarkStart w:id="13" w:name="source-5259"/>
      <w:bookmarkEnd w:id="13" w:name="source-5259"/>
    </w:p>
    <w:p>
      <w:pPr>
        <w:pStyle w:val="ListBullet"/>
      </w:pPr>
      <w:r>
        <w:rPr>
          <w:rFonts w:ascii="微软雅黑" w:hAnsi="微软雅黑" w:eastAsia="微软雅黑" w:cs="微软雅黑"/>
        </w:rPr>
        <w:t>[13] Mining Weekly｜</w:t>
      </w:r>
      <w:hyperlink r:id="rId23">
        <w:r>
          <w:rPr>
            <w:rFonts w:ascii="微软雅黑" w:hAnsi="微软雅黑" w:eastAsia="微软雅黑" w:cs="微软雅黑"/>
            <w:color w:val="087E89"/>
          </w:rPr>
          <w:t>印度尼西亚镍中心将因厄尔尼诺引发的干旱削减产量</w:t>
        </w:r>
      </w:hyperlink>
      <w:r>
        <w:rPr>
          <w:rFonts w:ascii="微软雅黑" w:hAnsi="微软雅黑" w:eastAsia="微软雅黑" w:cs="微软雅黑"/>
        </w:rPr>
      </w:r>
    </w:p>
    <w:p>
      <w:pPr>
        <w:spacing w:after="0" w:line="20" w:lineRule="exact"/>
      </w:pPr>
      <w:bookmarkStart w:id="14" w:name="source-5224"/>
      <w:bookmarkEnd w:id="14" w:name="source-5224"/>
    </w:p>
    <w:p>
      <w:pPr>
        <w:pStyle w:val="ListBullet"/>
      </w:pPr>
      <w:r>
        <w:rPr>
          <w:rFonts w:ascii="微软雅黑" w:hAnsi="微软雅黑" w:eastAsia="微软雅黑" w:cs="微软雅黑"/>
        </w:rPr>
        <w:t>[14] 中国能源新闻网｜</w:t>
      </w:r>
      <w:hyperlink r:id="rId24">
        <w:r>
          <w:rPr>
            <w:rFonts w:ascii="微软雅黑" w:hAnsi="微软雅黑" w:eastAsia="微软雅黑" w:cs="微软雅黑"/>
            <w:color w:val="087E89"/>
          </w:rPr>
          <w:t>我国发现超大型规模铜金矿</w:t>
        </w:r>
      </w:hyperlink>
      <w:r>
        <w:rPr>
          <w:rFonts w:ascii="微软雅黑" w:hAnsi="微软雅黑" w:eastAsia="微软雅黑" w:cs="微软雅黑"/>
        </w:rPr>
      </w:r>
    </w:p>
    <w:p>
      <w:pPr>
        <w:spacing w:after="0" w:line="20" w:lineRule="exact"/>
      </w:pPr>
      <w:bookmarkStart w:id="15" w:name="source-5192"/>
      <w:bookmarkEnd w:id="15" w:name="source-5192"/>
    </w:p>
    <w:p>
      <w:pPr>
        <w:pStyle w:val="ListBullet"/>
      </w:pPr>
      <w:r>
        <w:rPr>
          <w:rFonts w:ascii="微软雅黑" w:hAnsi="微软雅黑" w:eastAsia="微软雅黑" w:cs="微软雅黑"/>
        </w:rPr>
        <w:t>[15] 中国能源新闻网｜</w:t>
      </w:r>
      <w:hyperlink r:id="rId25">
        <w:r>
          <w:rPr>
            <w:rFonts w:ascii="微软雅黑" w:hAnsi="微软雅黑" w:eastAsia="微软雅黑" w:cs="微软雅黑"/>
            <w:color w:val="087E89"/>
          </w:rPr>
          <w:t>浙江前8个月用电量首超5000亿千瓦时</w:t>
        </w:r>
      </w:hyperlink>
      <w:r>
        <w:rPr>
          <w:rFonts w:ascii="微软雅黑" w:hAnsi="微软雅黑" w:eastAsia="微软雅黑" w:cs="微软雅黑"/>
        </w:rPr>
      </w:r>
    </w:p>
    <w:p>
      <w:pPr>
        <w:spacing w:after="0" w:line="20" w:lineRule="exact"/>
      </w:pPr>
      <w:bookmarkStart w:id="16" w:name="source-5169"/>
      <w:bookmarkEnd w:id="16" w:name="source-5169"/>
    </w:p>
    <w:p>
      <w:pPr>
        <w:pStyle w:val="ListBullet"/>
      </w:pPr>
      <w:r>
        <w:rPr>
          <w:rFonts w:ascii="微软雅黑" w:hAnsi="微软雅黑" w:eastAsia="微软雅黑" w:cs="微软雅黑"/>
        </w:rPr>
        <w:t>[16] 中国能源新闻网 · 中能财经 | 煤价冲上千元，这次和2021年有何不同？｜</w:t>
      </w:r>
      <w:hyperlink r:id="rId26">
        <w:r>
          <w:rPr>
            <w:rFonts w:ascii="微软雅黑" w:hAnsi="微软雅黑" w:eastAsia="微软雅黑" w:cs="微软雅黑"/>
            <w:color w:val="087E89"/>
          </w:rPr>
          <w:t>查看原文</w:t>
        </w:r>
      </w:hyperlink>
      <w:r>
        <w:rPr>
          <w:rFonts w:ascii="微软雅黑" w:hAnsi="微软雅黑" w:eastAsia="微软雅黑" w:cs="微软雅黑"/>
        </w:rPr>
      </w:r>
    </w:p>
    <w:p>
      <w:pPr>
        <w:spacing w:after="0" w:line="20" w:lineRule="exact"/>
      </w:pPr>
      <w:bookmarkStart w:id="17" w:name="source-5165"/>
      <w:bookmarkEnd w:id="17" w:name="source-5165"/>
    </w:p>
    <w:p>
      <w:pPr>
        <w:pStyle w:val="ListBullet"/>
      </w:pPr>
      <w:r>
        <w:rPr>
          <w:rFonts w:ascii="微软雅黑" w:hAnsi="微软雅黑" w:eastAsia="微软雅黑" w:cs="微软雅黑"/>
        </w:rPr>
        <w:t>[17] 上海石油天然气交易中心｜</w:t>
      </w:r>
      <w:hyperlink r:id="rId27">
        <w:r>
          <w:rPr>
            <w:rFonts w:ascii="微软雅黑" w:hAnsi="微软雅黑" w:eastAsia="微软雅黑" w:cs="微软雅黑"/>
            <w:color w:val="087E89"/>
          </w:rPr>
          <w:t>我国推进7项天然气国际标准成功立项</w:t>
        </w:r>
      </w:hyperlink>
      <w:r>
        <w:rPr>
          <w:rFonts w:ascii="微软雅黑" w:hAnsi="微软雅黑" w:eastAsia="微软雅黑" w:cs="微软雅黑"/>
        </w:rPr>
      </w:r>
    </w:p>
    <w:p>
      <w:pPr>
        <w:spacing w:after="0" w:line="20" w:lineRule="exact"/>
      </w:pPr>
      <w:bookmarkStart w:id="18" w:name="source-5139"/>
      <w:bookmarkEnd w:id="18" w:name="source-5139"/>
    </w:p>
    <w:p>
      <w:pPr>
        <w:pStyle w:val="ListBullet"/>
      </w:pPr>
      <w:r>
        <w:rPr>
          <w:rFonts w:ascii="微软雅黑" w:hAnsi="微软雅黑" w:eastAsia="微软雅黑" w:cs="微软雅黑"/>
        </w:rPr>
        <w:t>[18] 中国能源新闻网｜</w:t>
      </w:r>
      <w:hyperlink r:id="rId28">
        <w:r>
          <w:rPr>
            <w:rFonts w:ascii="微软雅黑" w:hAnsi="微软雅黑" w:eastAsia="微软雅黑" w:cs="微软雅黑"/>
            <w:color w:val="087E89"/>
          </w:rPr>
          <w:t>齐鲁石化鲁油鲁炼项目100万吨/年乙烯装置开工建设</w:t>
        </w:r>
      </w:hyperlink>
      <w:r>
        <w:rPr>
          <w:rFonts w:ascii="微软雅黑" w:hAnsi="微软雅黑" w:eastAsia="微软雅黑" w:cs="微软雅黑"/>
        </w:rPr>
      </w:r>
    </w:p>
    <w:p>
      <w:pPr>
        <w:spacing w:after="0" w:line="20" w:lineRule="exact"/>
      </w:pPr>
      <w:bookmarkStart w:id="19" w:name="source-5052"/>
      <w:bookmarkEnd w:id="19" w:name="source-5052"/>
    </w:p>
    <w:p>
      <w:pPr>
        <w:pStyle w:val="ListBullet"/>
      </w:pPr>
      <w:r>
        <w:rPr>
          <w:rFonts w:ascii="微软雅黑" w:hAnsi="微软雅黑" w:eastAsia="微软雅黑" w:cs="微软雅黑"/>
        </w:rPr>
        <w:t>[19] The Edge Malaysia等｜</w:t>
      </w:r>
      <w:hyperlink r:id="rId29">
        <w:r>
          <w:rPr>
            <w:rFonts w:ascii="微软雅黑" w:hAnsi="微软雅黑" w:eastAsia="微软雅黑" w:cs="微软雅黑"/>
            <w:color w:val="087E89"/>
          </w:rPr>
          <w:t>油价在连续四天下跌后企稳，交易员关注霍尔木兹海峡原油流通情况</w:t>
        </w:r>
      </w:hyperlink>
      <w:r>
        <w:rPr>
          <w:rFonts w:ascii="微软雅黑" w:hAnsi="微软雅黑" w:eastAsia="微软雅黑" w:cs="微软雅黑"/>
        </w:rPr>
      </w:r>
    </w:p>
    <w:p>
      <w:pPr>
        <w:spacing w:after="0" w:line="20" w:lineRule="exact"/>
      </w:pPr>
      <w:bookmarkStart w:id="20" w:name="source-5262"/>
      <w:bookmarkEnd w:id="20" w:name="source-5262"/>
    </w:p>
    <w:p>
      <w:pPr>
        <w:pStyle w:val="ListBullet"/>
      </w:pPr>
      <w:r>
        <w:rPr>
          <w:rFonts w:ascii="微软雅黑" w:hAnsi="微软雅黑" w:eastAsia="微软雅黑" w:cs="微软雅黑"/>
        </w:rPr>
        <w:t>[20] Mining Weekly｜</w:t>
      </w:r>
      <w:hyperlink r:id="rId30">
        <w:r>
          <w:rPr>
            <w:rFonts w:ascii="微软雅黑" w:hAnsi="微软雅黑" w:eastAsia="微软雅黑" w:cs="微软雅黑"/>
            <w:color w:val="087E89"/>
          </w:rPr>
          <w:t>锂回收公司Bridge Green与贸易商Hartree签署供应协议</w:t>
        </w:r>
      </w:hyperlink>
      <w:r>
        <w:rPr>
          <w:rFonts w:ascii="微软雅黑" w:hAnsi="微软雅黑" w:eastAsia="微软雅黑" w:cs="微软雅黑"/>
        </w:rPr>
      </w:r>
    </w:p>
    <w:p>
      <w:pPr>
        <w:spacing w:after="0" w:line="20" w:lineRule="exact"/>
      </w:pPr>
      <w:bookmarkStart w:id="21" w:name="source-5194"/>
      <w:bookmarkEnd w:id="21" w:name="source-5194"/>
    </w:p>
    <w:p>
      <w:pPr>
        <w:pStyle w:val="ListBullet"/>
      </w:pPr>
      <w:r>
        <w:rPr>
          <w:rFonts w:ascii="微软雅黑" w:hAnsi="微软雅黑" w:eastAsia="微软雅黑" w:cs="微软雅黑"/>
        </w:rPr>
        <w:t>[21] 中国能源新闻网｜</w:t>
      </w:r>
      <w:hyperlink r:id="rId31">
        <w:r>
          <w:rPr>
            <w:rFonts w:ascii="微软雅黑" w:hAnsi="微软雅黑" w:eastAsia="微软雅黑" w:cs="微软雅黑"/>
            <w:color w:val="087E89"/>
          </w:rPr>
          <w:t>国际油价21日显著下跌</w:t>
        </w:r>
      </w:hyperlink>
      <w:r>
        <w:rPr>
          <w:rFonts w:ascii="微软雅黑" w:hAnsi="微软雅黑" w:eastAsia="微软雅黑" w:cs="微软雅黑"/>
        </w:rPr>
      </w:r>
    </w:p>
    <w:p>
      <w:pPr>
        <w:spacing w:after="0" w:line="20" w:lineRule="exact"/>
      </w:pPr>
      <w:bookmarkStart w:id="22" w:name="source-5529"/>
      <w:bookmarkEnd w:id="22" w:name="source-5529"/>
    </w:p>
    <w:p>
      <w:pPr>
        <w:pStyle w:val="ListBullet"/>
      </w:pPr>
      <w:r>
        <w:rPr>
          <w:rFonts w:ascii="微软雅黑" w:hAnsi="微软雅黑" w:eastAsia="微软雅黑" w:cs="微软雅黑"/>
        </w:rPr>
        <w:t>[22] 光伏杂志国际版｜</w:t>
      </w:r>
      <w:hyperlink r:id="rId32">
        <w:r>
          <w:rPr>
            <w:rFonts w:ascii="微软雅黑" w:hAnsi="微软雅黑" w:eastAsia="微软雅黑" w:cs="微软雅黑"/>
            <w:color w:val="087E89"/>
          </w:rPr>
          <w:t>IRA 刺激下美国太阳能制造业资本开支到 2026 年底将达 122 亿美元</w:t>
        </w:r>
      </w:hyperlink>
      <w:r>
        <w:rPr>
          <w:rFonts w:ascii="微软雅黑" w:hAnsi="微软雅黑" w:eastAsia="微软雅黑" w:cs="微软雅黑"/>
        </w:rPr>
      </w:r>
    </w:p>
    <w:p>
      <w:pPr>
        <w:spacing w:after="0" w:line="20" w:lineRule="exact"/>
      </w:pPr>
      <w:bookmarkStart w:id="23" w:name="source-5524"/>
      <w:bookmarkEnd w:id="23" w:name="source-5524"/>
    </w:p>
    <w:p>
      <w:pPr>
        <w:pStyle w:val="ListBullet"/>
      </w:pPr>
      <w:r>
        <w:rPr>
          <w:rFonts w:ascii="微软雅黑" w:hAnsi="微软雅黑" w:eastAsia="微软雅黑" w:cs="微软雅黑"/>
        </w:rPr>
        <w:t>[23] World Oil｜</w:t>
      </w:r>
      <w:hyperlink r:id="rId33">
        <w:r>
          <w:rPr>
            <w:rFonts w:ascii="微软雅黑" w:hAnsi="微软雅黑" w:eastAsia="微软雅黑" w:cs="微软雅黑"/>
            <w:color w:val="087E89"/>
          </w:rPr>
          <w:t>阿布扎比XRG探讨入股加拿大LNG项目，合作伙伴权衡扩能方案</w:t>
        </w:r>
      </w:hyperlink>
      <w:r>
        <w:rPr>
          <w:rFonts w:ascii="微软雅黑" w:hAnsi="微软雅黑" w:eastAsia="微软雅黑" w:cs="微软雅黑"/>
        </w:rPr>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www.zhitongcaijing.com/content/detail/1499511.html" TargetMode="External"/><Relationship Id="rId12" Type="http://schemas.openxmlformats.org/officeDocument/2006/relationships/hyperlink" Target="https://www.businessday.co.za/world/international-companies/2026-09-22-stocks-rally-on-renewed-ai-optimism-while-oil-dips-below-100/" TargetMode="External"/><Relationship Id="rId13" Type="http://schemas.openxmlformats.org/officeDocument/2006/relationships/hyperlink" Target="https://www.fx678.com/C/20260922/202609221803288815.html" TargetMode="External"/><Relationship Id="rId14" Type="http://schemas.openxmlformats.org/officeDocument/2006/relationships/hyperlink" Target="https://www.cpnn.com.cn/news/yq/202609/t20260922_1916757.html" TargetMode="External"/><Relationship Id="rId15" Type="http://schemas.openxmlformats.org/officeDocument/2006/relationships/hyperlink" Target="https://api.shmet.com/api/rest/news/v2/getNewsById?newsId=925242" TargetMode="External"/><Relationship Id="rId16" Type="http://schemas.openxmlformats.org/officeDocument/2006/relationships/hyperlink" Target="https://www.pv-magazine.com/2026/09/22/vietnam-pushes-provinces-to-accelerate-rooftop-solar-rollout/" TargetMode="External"/><Relationship Id="rId17" Type="http://schemas.openxmlformats.org/officeDocument/2006/relationships/hyperlink" Target="https://www.bdew.de/presse/eckpunkte-zur-kwkg-novelle-weisen-in-die-richtige-richtung/" TargetMode="External"/><Relationship Id="rId18" Type="http://schemas.openxmlformats.org/officeDocument/2006/relationships/hyperlink" Target="https://www.gov.uk/government/speeches/70th-iaea-general-conference-uk-national-statement" TargetMode="External"/><Relationship Id="rId19" Type="http://schemas.openxmlformats.org/officeDocument/2006/relationships/hyperlink" Target="https://www.saudigulfprojects.com/2026/09/cooec-starts-construction-of-4-billion-qatar-bul-hanine-offshore-oil-gas-epic-project/" TargetMode="External"/><Relationship Id="rId20" Type="http://schemas.openxmlformats.org/officeDocument/2006/relationships/hyperlink" Target="https://www.stdaily.com/web/gdxw/2026-09/22/content_585893.html" TargetMode="External"/><Relationship Id="rId21" Type="http://schemas.openxmlformats.org/officeDocument/2006/relationships/hyperlink" Target="https://www.cpnn.com.cn/news/hy/202609/t20260922_1916971.html" TargetMode="External"/><Relationship Id="rId22" Type="http://schemas.openxmlformats.org/officeDocument/2006/relationships/hyperlink" Target="https://www.cls.cn/detail/2490340" TargetMode="External"/><Relationship Id="rId23" Type="http://schemas.openxmlformats.org/officeDocument/2006/relationships/hyperlink" Target="https://www.miningweekly.com/article/indonesia-nickel-hub-to-cut-production-on-el-nio-driven-drought-2026-09-22" TargetMode="External"/><Relationship Id="rId24" Type="http://schemas.openxmlformats.org/officeDocument/2006/relationships/hyperlink" Target="https://www.cpnn.com.cn/news/yq/202609/t20260922_1916812.html" TargetMode="External"/><Relationship Id="rId25" Type="http://schemas.openxmlformats.org/officeDocument/2006/relationships/hyperlink" Target="https://www.cpnn.com.cn/news/dfny/202609/t20260922_1916754.html" TargetMode="External"/><Relationship Id="rId26" Type="http://schemas.openxmlformats.org/officeDocument/2006/relationships/hyperlink" Target="https://www.cpnn.com.cn/news/zngc/202609/t20260922_1916723.html" TargetMode="External"/><Relationship Id="rId27" Type="http://schemas.openxmlformats.org/officeDocument/2006/relationships/hyperlink" Target="https://www.shpgx.com/html/xyzx/20260922/9957.html" TargetMode="External"/><Relationship Id="rId28" Type="http://schemas.openxmlformats.org/officeDocument/2006/relationships/hyperlink" Target="https://www.cpnn.com.cn/news/yq/202609/t20260922_1916728.html" TargetMode="External"/><Relationship Id="rId29" Type="http://schemas.openxmlformats.org/officeDocument/2006/relationships/hyperlink" Target="https://theedgemalaysia.com/node/818821" TargetMode="External"/><Relationship Id="rId30" Type="http://schemas.openxmlformats.org/officeDocument/2006/relationships/hyperlink" Target="https://www.miningweekly.com/article/lithium-recovery-company-bridge-green-inks-supply-agreement-with-trader-hartree-2026-09-22" TargetMode="External"/><Relationship Id="rId31" Type="http://schemas.openxmlformats.org/officeDocument/2006/relationships/hyperlink" Target="https://www.cpnn.com.cn/news/gj/202609/t20260922_1916758.html" TargetMode="External"/><Relationship Id="rId32" Type="http://schemas.openxmlformats.org/officeDocument/2006/relationships/hyperlink" Target="https://www.pv-magazine.com/2026/09/22/ira-stimulated-u-s-solar-manufacturing-capex-to-reach-12-2-billion-by-end-2026/" TargetMode="External"/><Relationship Id="rId33" Type="http://schemas.openxmlformats.org/officeDocument/2006/relationships/hyperlink" Target="https://www.worldoil.com/news/2026/9/22/abu-dhabi-s-xrg-explores-lng-canada-stake-as-partners-weigh-expan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2026年9月22日 每日能源报告</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