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信息覆盖时段：2026-09-21 00:00 至 2026-09-22 00:00（不含），Asia/Shanghai。</w:t>
      </w:r>
    </w:p>
    <w:p>
      <w:pPr/>
      <w:r>
        <w:rPr>
          <w:rFonts w:ascii="微软雅黑" w:hAnsi="微软雅黑" w:eastAsia="微软雅黑" w:cs="微软雅黑"/>
        </w:rPr>
        <w:t>统计区间：2026-09-21 至 2026-09-22（结束日不含，北京时间）</w:t>
      </w:r>
    </w:p>
    <w:p>
      <w:pPr>
        <w:ind w:firstLine="420"/>
      </w:pPr>
      <w:r>
        <w:rPr>
          <w:rFonts w:ascii="微软雅黑" w:hAnsi="微软雅黑" w:eastAsia="微软雅黑" w:cs="微软雅黑"/>
        </w:rPr>
        <w:t>资料更新截止：2026-09-22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美拒绝伊朗代表团部分成员赴联大签证，霍尔木兹航道谈判同步推进 </w:t>
      </w:r>
      <w:hyperlink w:anchor="source-487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美伊外交推进，伊朗经卡塔尔提出七项谈判先决条件 </w:t>
      </w:r>
      <w:hyperlink w:anchor="source-4812">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480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4687">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国家发改委、能源局印发石油天然气发展“十五五”规划 </w:t>
      </w:r>
      <w:hyperlink w:anchor="source-464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卡塔尔能源大臣称霍尔木兹海峡重开后数周可恢复LNG运营 </w:t>
      </w:r>
      <w:hyperlink w:anchor="source-477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457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欧盟启动数据中心最低性能标准公开征求意见 </w:t>
      </w:r>
      <w:hyperlink w:anchor="source-4898">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5000">
        <w:r>
          <w:rPr>
            <w:rFonts w:ascii="微软雅黑" w:hAnsi="微软雅黑" w:eastAsia="微软雅黑" w:cs="微软雅黑"/>
            <w:color w:val="087E89"/>
          </w:rPr>
          <w:t>9</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2030年国内油气供应量目标</w:t>
            </w:r>
          </w:p>
        </w:tc>
        <w:tc>
          <w:tcPr>
            <w:tcW w:type="dxa" w:w="2268"/>
          </w:tcPr>
          <w:p>
            <w:pPr>
              <w:spacing w:after="40"/>
            </w:pPr>
            <w:r>
              <w:rPr>
                <w:rFonts w:ascii="微软雅黑" w:hAnsi="微软雅黑" w:eastAsia="微软雅黑" w:cs="微软雅黑"/>
              </w:rPr>
              <w:t>4.4亿吨油当量</w:t>
            </w:r>
          </w:p>
        </w:tc>
        <w:tc>
          <w:tcPr>
            <w:tcW w:type="dxa" w:w="2268"/>
          </w:tcPr>
          <w:p>
            <w:pPr>
              <w:spacing w:after="40"/>
            </w:pPr>
            <w:r>
              <w:rPr>
                <w:rFonts w:ascii="微软雅黑" w:hAnsi="微软雅黑" w:eastAsia="微软雅黑" w:cs="微软雅黑"/>
              </w:rPr>
              <w:t>2030年</w:t>
            </w:r>
          </w:p>
        </w:tc>
        <w:tc>
          <w:tcPr>
            <w:tcW w:type="dxa" w:w="2268"/>
          </w:tcPr>
          <w:p>
            <w:pPr>
              <w:spacing w:after="40"/>
            </w:pPr>
            <w:r>
              <w:rPr>
                <w:rFonts w:ascii="微软雅黑" w:hAnsi="微软雅黑" w:eastAsia="微软雅黑" w:cs="微软雅黑"/>
              </w:rPr>
            </w:r>
            <w:hyperlink w:anchor="source-464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2030年CCS/CCUS年均注入二氧化碳目标</w:t>
            </w:r>
          </w:p>
        </w:tc>
        <w:tc>
          <w:tcPr>
            <w:tcW w:type="dxa" w:w="2268"/>
          </w:tcPr>
          <w:p>
            <w:pPr>
              <w:spacing w:after="40"/>
            </w:pPr>
            <w:r>
              <w:rPr>
                <w:rFonts w:ascii="微软雅黑" w:hAnsi="微软雅黑" w:eastAsia="微软雅黑" w:cs="微软雅黑"/>
              </w:rPr>
              <w:t>1000万吨</w:t>
            </w:r>
          </w:p>
        </w:tc>
        <w:tc>
          <w:tcPr>
            <w:tcW w:type="dxa" w:w="2268"/>
          </w:tcPr>
          <w:p>
            <w:pPr>
              <w:spacing w:after="40"/>
            </w:pPr>
            <w:r>
              <w:rPr>
                <w:rFonts w:ascii="微软雅黑" w:hAnsi="微软雅黑" w:eastAsia="微软雅黑" w:cs="微软雅黑"/>
              </w:rPr>
              <w:t>2030年</w:t>
            </w:r>
          </w:p>
        </w:tc>
        <w:tc>
          <w:tcPr>
            <w:tcW w:type="dxa" w:w="2268"/>
          </w:tcPr>
          <w:p>
            <w:pPr>
              <w:spacing w:after="40"/>
            </w:pPr>
            <w:r>
              <w:rPr>
                <w:rFonts w:ascii="微软雅黑" w:hAnsi="微软雅黑" w:eastAsia="微软雅黑" w:cs="微软雅黑"/>
              </w:rPr>
            </w:r>
            <w:hyperlink w:anchor="source-4642">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Golden Pass LNG投运进度</w:t>
            </w:r>
          </w:p>
        </w:tc>
        <w:tc>
          <w:tcPr>
            <w:tcW w:type="dxa" w:w="2268"/>
          </w:tcPr>
          <w:p>
            <w:pPr>
              <w:spacing w:after="40"/>
            </w:pPr>
            <w:r>
              <w:rPr>
                <w:rFonts w:ascii="微软雅黑" w:hAnsi="微软雅黑" w:eastAsia="微软雅黑" w:cs="微软雅黑"/>
              </w:rPr>
              <w:t>首列已出货，次年第二、三列将全面投运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77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4572">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2026年8月全社会用电量</w:t>
            </w:r>
          </w:p>
        </w:tc>
        <w:tc>
          <w:tcPr>
            <w:tcW w:type="dxa" w:w="2268"/>
          </w:tcPr>
          <w:p>
            <w:pPr>
              <w:spacing w:after="40"/>
            </w:pPr>
            <w:r>
              <w:rPr>
                <w:rFonts w:ascii="微软雅黑" w:hAnsi="微软雅黑" w:eastAsia="微软雅黑" w:cs="微软雅黑"/>
              </w:rPr>
              <w:t>10332亿千瓦时</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467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4655">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2026年8月最大用电负荷</w:t>
            </w:r>
          </w:p>
        </w:tc>
        <w:tc>
          <w:tcPr>
            <w:tcW w:type="dxa" w:w="2268"/>
          </w:tcPr>
          <w:p>
            <w:pPr>
              <w:spacing w:after="40"/>
            </w:pPr>
            <w:r>
              <w:rPr>
                <w:rFonts w:ascii="微软雅黑" w:hAnsi="微软雅黑" w:eastAsia="微软雅黑" w:cs="微软雅黑"/>
              </w:rPr>
              <w:t>15.6亿千瓦</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467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4655">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2026年1—8月累计全社会用电量</w:t>
            </w:r>
          </w:p>
        </w:tc>
        <w:tc>
          <w:tcPr>
            <w:tcW w:type="dxa" w:w="2268"/>
          </w:tcPr>
          <w:p>
            <w:pPr>
              <w:spacing w:after="40"/>
            </w:pPr>
            <w:r>
              <w:rPr>
                <w:rFonts w:ascii="微软雅黑" w:hAnsi="微软雅黑" w:eastAsia="微软雅黑" w:cs="微软雅黑"/>
              </w:rPr>
              <w:t>71730亿千瓦时</w:t>
            </w:r>
          </w:p>
        </w:tc>
        <w:tc>
          <w:tcPr>
            <w:tcW w:type="dxa" w:w="2268"/>
          </w:tcPr>
          <w:p>
            <w:pPr>
              <w:spacing w:after="40"/>
            </w:pPr>
            <w:r>
              <w:rPr>
                <w:rFonts w:ascii="微软雅黑" w:hAnsi="微软雅黑" w:eastAsia="微软雅黑" w:cs="微软雅黑"/>
              </w:rPr>
              <w:t>2026年1—8月</w:t>
            </w:r>
          </w:p>
        </w:tc>
        <w:tc>
          <w:tcPr>
            <w:tcW w:type="dxa" w:w="2268"/>
          </w:tcPr>
          <w:p>
            <w:pPr>
              <w:spacing w:after="40"/>
            </w:pPr>
            <w:r>
              <w:rPr>
                <w:rFonts w:ascii="微软雅黑" w:hAnsi="微软雅黑" w:eastAsia="微软雅黑" w:cs="微软雅黑"/>
              </w:rPr>
            </w:r>
            <w:hyperlink w:anchor="source-467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4655">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申报材料报送截止日期</w:t>
            </w:r>
          </w:p>
        </w:tc>
        <w:tc>
          <w:tcPr>
            <w:tcW w:type="dxa" w:w="2268"/>
          </w:tcPr>
          <w:p>
            <w:pPr>
              <w:spacing w:after="40"/>
            </w:pPr>
            <w:r>
              <w:rPr>
                <w:rFonts w:ascii="微软雅黑" w:hAnsi="微软雅黑" w:eastAsia="微软雅黑" w:cs="微软雅黑"/>
              </w:rPr>
              <w:t>2026年11月16日前</w:t>
            </w:r>
          </w:p>
        </w:tc>
        <w:tc>
          <w:tcPr>
            <w:tcW w:type="dxa" w:w="2268"/>
          </w:tcPr>
          <w:p>
            <w:pPr>
              <w:spacing w:after="40"/>
            </w:pPr>
            <w:r>
              <w:rPr>
                <w:rFonts w:ascii="微软雅黑" w:hAnsi="微软雅黑" w:eastAsia="微软雅黑" w:cs="微软雅黑"/>
              </w:rPr>
              <w:t>2026年</w:t>
            </w:r>
          </w:p>
        </w:tc>
        <w:tc>
          <w:tcPr>
            <w:tcW w:type="dxa" w:w="2268"/>
          </w:tcPr>
          <w:p>
            <w:pPr>
              <w:spacing w:after="40"/>
            </w:pPr>
            <w:r>
              <w:rPr>
                <w:rFonts w:ascii="微软雅黑" w:hAnsi="微软雅黑" w:eastAsia="微软雅黑" w:cs="微软雅黑"/>
              </w:rPr>
            </w:r>
            <w:hyperlink w:anchor="source-4780">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申报最低标准机架数</w:t>
            </w:r>
          </w:p>
        </w:tc>
        <w:tc>
          <w:tcPr>
            <w:tcW w:type="dxa" w:w="2268"/>
          </w:tcPr>
          <w:p>
            <w:pPr>
              <w:spacing w:after="40"/>
            </w:pPr>
            <w:r>
              <w:rPr>
                <w:rFonts w:ascii="微软雅黑" w:hAnsi="微软雅黑" w:eastAsia="微软雅黑" w:cs="微软雅黑"/>
              </w:rPr>
              <w:t>3000个</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780">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上架率下限（公共机构、金融、智算除外）</w:t>
            </w:r>
          </w:p>
        </w:tc>
        <w:tc>
          <w:tcPr>
            <w:tcW w:type="dxa" w:w="2268"/>
          </w:tcPr>
          <w:p>
            <w:pPr>
              <w:spacing w:after="40"/>
            </w:pPr>
            <w:r>
              <w:rPr>
                <w:rFonts w:ascii="微软雅黑" w:hAnsi="微软雅黑" w:eastAsia="微软雅黑" w:cs="微软雅黑"/>
              </w:rPr>
              <w:t>60%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780">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页岩含气量测定标准测试效率提升倍数</w:t>
            </w:r>
          </w:p>
        </w:tc>
        <w:tc>
          <w:tcPr>
            <w:tcW w:type="dxa" w:w="2268"/>
          </w:tcPr>
          <w:p>
            <w:pPr>
              <w:spacing w:after="40"/>
            </w:pPr>
            <w:r>
              <w:rPr>
                <w:rFonts w:ascii="微软雅黑" w:hAnsi="微软雅黑" w:eastAsia="微软雅黑" w:cs="微软雅黑"/>
              </w:rPr>
              <w:t>4倍</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4648">
              <w:r>
                <w:rPr>
                  <w:rFonts w:ascii="微软雅黑" w:hAnsi="微软雅黑" w:eastAsia="微软雅黑" w:cs="微软雅黑"/>
                  <w:color w:val="087E89"/>
                </w:rPr>
                <w:t>17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美拒绝伊朗代表团部分成员赴联大签证，霍尔木兹航道谈判同步推进</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拒绝为伊朗总统佩泽什基安访团部分成员发放赴联合国大会签证，但仍批准代表团赴联大，并保留去年实施的奢侈品购买等限制。伊朗外长阿拉格希已离境，经卡塔尔中转赴会。伊朗称已通过卡塔尔向美方转达重开霍尔木兹海峡油气航道的条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被拒签证人员包括通讯团队成员。美国对伊朗港口实施反封锁。美方保留去年以来的奢侈品购买限制。伊朗外长阿拉格希周日晚间离境，经卡塔尔中转前往联大。伊朗表示已通过卡塔尔向美方转达重新开放霍尔木兹海峡油气航道的条件，该海峡自战争爆发以来被封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美伊外交接触受限与航道封锁并行，霍尔木兹海峡通航条件成为双方博弈筹码。</w:t>
      </w:r>
    </w:p>
    <w:p>
      <w:pPr>
        <w:ind w:firstLine="420"/>
      </w:pPr>
      <w:r>
        <w:rPr>
          <w:rFonts w:ascii="微软雅黑" w:hAnsi="微软雅黑" w:eastAsia="微软雅黑" w:cs="微软雅黑"/>
        </w:rPr>
        <w:t>来源：</w:t>
      </w:r>
      <w:hyperlink w:anchor="source-4873">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伊朗革命卫队警告若美再袭，将以新武器打击新目标</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伊朗革命卫队警告称，若美国发动新一轮攻击，将动用新武器打击新目标，并已为持久战做准备。卫队发言人表示，防御和反击方式将出现重大变化，并推出具备新能力的武器。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军方中央司令部上周六通过国家电视台表示，美方正计划对德黑兰采取新行动，但未透露细节。美伊战争已持续近七个月，双方陷入僵局，但均不愿全面恢复大规模战事。冲突期间，霍尔木兹海峡对商船的零星袭击持续，双方在该水道维持相互封锁。冲突已蔓延至也门，胡塞武装从沙特支持的政府手中夺取更多领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新武器与新目标的表态增加冲突升级风险，但双方均表达不愿全面恢复大规模战事。</w:t>
      </w:r>
    </w:p>
    <w:p>
      <w:pPr>
        <w:ind w:firstLine="420"/>
      </w:pPr>
      <w:r>
        <w:rPr>
          <w:rFonts w:ascii="微软雅黑" w:hAnsi="微软雅黑" w:eastAsia="微软雅黑" w:cs="微软雅黑"/>
        </w:rPr>
        <w:t>来源：</w:t>
      </w:r>
      <w:hyperlink w:anchor="source-4803">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3. 美伊外交推进，伊朗经卡塔尔提出七项谈判先决条件</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卡塔尔外交部称其调解团队近两周来就在美伊之间交换方案，美方官员向卡塔尔保证华盛顿希望达成协议。伊朗通过卡塔尔向美方递交七项先决条件，包括终止军事行动、解冻海外资产、解除海上军事封锁等。</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卡塔尔外交部表示，其调解团队近两周来一直在就重启美伊谈判交换方案，美方官员向卡塔尔保证华盛顿希望达成协议，但卡塔尔未给出恢复谈判时间表。伊朗经卡塔尔向美方递交七项先决条件：所有战线停火、终止军事行动、解冻伊朗海外资产、结束美国海军对伊朗港口的封锁等。特朗普对在联大期间与伊朗总统佩泽希齐扬会面持开放态度，同时威胁称若伊朗不达成协议将摧毁伊朗经济并清除其领导层。伊朗革命卫队警告将对美方及中东盟友实施报复打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雪佛龙CEO认为，缓冲伊朗地缘冲突的调控手段已基本耗尽，未来数月油价大概率维持高位甚至再度上行。</w:t>
      </w:r>
    </w:p>
    <w:p>
      <w:pPr>
        <w:ind w:firstLine="420"/>
      </w:pPr>
      <w:r>
        <w:rPr>
          <w:rFonts w:ascii="微软雅黑" w:hAnsi="微软雅黑" w:eastAsia="微软雅黑" w:cs="微软雅黑"/>
        </w:rPr>
        <w:t>来源：</w:t>
      </w:r>
      <w:hyperlink w:anchor="source-4812">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480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4687">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4. 沙特阿美10月暂停对欧原油分配，管道完全修复或需6周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沙特阿美告知欧洲至少两家炼油客户，10月在长约框架下将不会获得任何原油分配，该决定适用于所有欧洲买家。沙特计划数日内恢复部分输送产能，但泵站全面修复或需长达6周。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沙特阿美已告知欧洲至少两家炼油客户，其10月在长约框架下将不会收到原油分配，且该决定适用于所有欧洲买家。欧洲每天消耗约1400万桶石油，其中约60万至80万桶来自沙特。沙特计划在数日内恢复部分输送产能，但完全修复受损泵站并让管道全面运营可能需要长达6周时间。波兰奥伦公司已从挪威、英国、阿尔及利亚、哈萨克斯坦、阿塞拜疆和美洲额外购买了16批货物，以维持其炼油厂在10月份的运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欧洲炼厂被迫临时转向现货市场采购替代原油。</w:t>
      </w:r>
    </w:p>
    <w:p>
      <w:pPr>
        <w:ind w:firstLine="420"/>
      </w:pPr>
      <w:r>
        <w:rPr>
          <w:rFonts w:ascii="微软雅黑" w:hAnsi="微软雅黑" w:eastAsia="微软雅黑" w:cs="微软雅黑"/>
        </w:rPr>
        <w:t>来源：</w:t>
      </w:r>
      <w:hyperlink w:anchor="source-4738">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4547">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5. 卡塔尔能源大臣称霍尔木兹海峡重开后数周可恢复LNG运营</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卡塔尔能源事务国务大臣萨阿德·谢里达·阿尔-卡比表示，若霍尔木兹海峡重新开放，卡塔尔可在数周内恢复正常运营，并反驳海峡“过时论”，指出该水道承担沿岸国家各类产品贸易。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阿尔-卡比还称卡塔尔正打造全球最大LNG贸易组织，“在不久的将来”将成为遥遥领先的全球最大LNG贸易商。Golden Pass LNG首列已出货，次年第二、三列将全面投运；Golden Triangle Polymers项目已开始调试。卡塔尔方面表示，目前不打算新建绕开霍尔木兹海峡的管道。</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卡塔尔将自身定位为全球最大LNG贸易商，但出口高度依赖霍尔木兹海峡，若海峡持续中断，LNG扩产后续生产线投产或被推迟。</w:t>
      </w:r>
    </w:p>
    <w:p>
      <w:pPr>
        <w:ind w:firstLine="420"/>
      </w:pPr>
      <w:r>
        <w:rPr>
          <w:rFonts w:ascii="微软雅黑" w:hAnsi="微软雅黑" w:eastAsia="微软雅黑" w:cs="微软雅黑"/>
        </w:rPr>
        <w:t>来源：</w:t>
      </w:r>
      <w:hyperlink w:anchor="source-477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4572">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6. 土耳其即期市场天然气周日交易量同比增长69.5%</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土耳其能源交易所伊斯坦布尔（EXIST）数据显示，周日土耳其即期天然气市场交易量约为1370万里拉，同比增长69.5%；周六即期市场总交易额约为810万里拉。</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周日即期市场上，1000立方米天然气价格为17279.47里拉，累计天然气交易量约为79.5万立方米；土耳其周日天然气进口量约为9136万立方米。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周日交易额同比增长显著，显示即期市场活跃度上升。</w:t>
      </w:r>
    </w:p>
    <w:p>
      <w:pPr>
        <w:ind w:firstLine="420"/>
      </w:pPr>
      <w:r>
        <w:rPr>
          <w:rFonts w:ascii="微软雅黑" w:hAnsi="微软雅黑" w:eastAsia="微软雅黑" w:cs="微软雅黑"/>
        </w:rPr>
        <w:t>来源：</w:t>
      </w:r>
      <w:hyperlink w:anchor="source-4922">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7. 印度煤炭公司构建覆盖多元业务的统一数字架构</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印度煤炭公司（CIL）正围绕煤炭气化与煤化工、火电、可再生能源与储能、关键矿产与先进材料、多元化矿产（含铁矿石）五大平台拓展业务，并通过合资与战略合作伙伴关系获取专业化技术与市场。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CIL正在建设覆盖采矿、流程工业、电力、可再生能源、电网服务及先进材料的统一数字架构，采用阶段性治理模型。具体上线时间表与项目投资规模未在材料中披露。</w:t>
      </w:r>
    </w:p>
    <w:p>
      <w:pPr>
        <w:ind w:firstLine="420"/>
      </w:pPr>
      <w:r>
        <w:rPr>
          <w:rFonts w:ascii="微软雅黑" w:hAnsi="微软雅黑" w:eastAsia="微软雅黑" w:cs="微软雅黑"/>
        </w:rPr>
        <w:t>来源：</w:t>
      </w:r>
      <w:hyperlink w:anchor="source-4966">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ITER最后一扇真空容器扇区启运</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欧洲国内机构Fusion for Energy及AMW联合体牵头制造的五扇区已全部交付，自首个扇区交付起历时六年，ITER九块真空容器扇区将全部到齐。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由Fusion for Energy与AMW联合体（安萨尔多核能、西屋和Walter Tosto）牵头，动用15家欧洲企业，历时约15年完成五扇区制造。九块扇区中欧洲负责五块、韩国负责四块。ITER真空容器被列为项目中最具技术挑战性的采购之一，是迄今设计的最大聚变容器。</w:t>
      </w:r>
    </w:p>
    <w:p>
      <w:pPr>
        <w:ind w:firstLine="420"/>
      </w:pPr>
      <w:r>
        <w:rPr>
          <w:rFonts w:ascii="微软雅黑" w:hAnsi="微软雅黑" w:eastAsia="微软雅黑" w:cs="微软雅黑"/>
        </w:rPr>
        <w:t>来源：</w:t>
      </w:r>
      <w:hyperlink w:anchor="source-4972">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9. 欧盟启动数据中心最低性能标准公开征求意见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欧盟委员会依据《能源效率指令》就数据中心最低性能标准启动为期12周的公开征求意见和证据征集，并将与同日发布的欧盟数据中心能效一揽子计划并行推进。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征集依据《能源效率指令》赋予委员会的进一步措施提议权，覆盖数据中心能耗和环境足迹议题，囊括在同日发布的数据中心能效一揽子计划之中。该一揽子计划还包括统一的欧盟数据中心评级机制和标签，旨在提升透明度。数据中心扩张对能源消费、电力网、碳排放以及水资源等环境资源构成挑战。意见征集阶段尚未启动提议，标准具体内容待征求意见后确定。</w:t>
      </w:r>
    </w:p>
    <w:p>
      <w:pPr>
        <w:ind w:firstLine="420"/>
      </w:pPr>
      <w:r>
        <w:rPr>
          <w:rFonts w:ascii="微软雅黑" w:hAnsi="微软雅黑" w:eastAsia="微软雅黑" w:cs="微软雅黑"/>
        </w:rPr>
        <w:t>来源：</w:t>
      </w:r>
      <w:hyperlink w:anchor="source-4898">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500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10. 美国对印度、印尼、老挝光伏电池及组件作出双反终裁</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美国商务部对来自印度、印尼和老挝的晶体硅光伏电池及组件作出AD/CVD终裁肯定性裁决，认定存在倾销与补贴并裁定高额税率。终裁税率仍取决于ITC于2026年10月14日作出的产业损害终裁。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美国商务部裁定印度反倾销税率123.04%、反补贴126.09%；印尼反倾销94.36%、反补贴介于73.2%至173.7%；老挝反倾销65.43%、反补贴介于82.03%至153.67%。涉案企业包括印度Mundra Solar PV/Energy、Kowa、Premier Energies，以及老挝Solarspace、JA Solar越南、天合光能泰国等。调查源于AASMT于2025年7月提交的“Solar IV”申诉，商务部于同年8月立案，并曾于2026年4月公布最高123.04%的反倾销初裁税率。若ITC作出肯定性产业损害终裁，商务部将于2026年11月2日签发AD/CVD税令。</w:t>
      </w:r>
    </w:p>
    <w:p>
      <w:pPr>
        <w:ind w:firstLine="420"/>
      </w:pPr>
      <w:r>
        <w:rPr>
          <w:rFonts w:ascii="微软雅黑" w:hAnsi="微软雅黑" w:eastAsia="微软雅黑" w:cs="微软雅黑"/>
        </w:rPr>
        <w:t>来源：</w:t>
      </w:r>
      <w:hyperlink w:anchor="source-4620">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11. 8月全社会用电量10332亿千瓦时同比增1.7%</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2026年8月全社会用电量10332亿千瓦时，同比增长1.7%；最大用电负荷创历史新高15.6亿千瓦，较上年最大负荷高4969万千瓦，全月有7天超过上年最大负荷。1—8月全社会累计用电量71730亿千瓦时，同比增长4.3%。</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8月全社会用电量10332亿千瓦时，同比增长1.7%。最大用电负荷创历史新高15.6亿千瓦，较上年最大负荷高4969万千瓦，全月有7天超过上年最大负荷。计算机通信设备、汽车制造（其中新能源车整车22.2%）、通用设备制造、专用设备制造、电气机械制造业用电量同比分别增长7.5%、7.6%、7.6%、8.2%和12.3%。8月城乡居民生活用电量1883亿千瓦时，同比下降4.0%，主因台风、强降雨较2025年8月增多导致空调用电减少。1—8月全社会累计用电量71730亿千瓦时，同比增长4.3%。</w:t>
      </w:r>
    </w:p>
    <w:p>
      <w:pPr>
        <w:ind w:firstLine="420"/>
      </w:pPr>
      <w:r>
        <w:rPr>
          <w:rFonts w:ascii="微软雅黑" w:hAnsi="微软雅黑" w:eastAsia="微软雅黑" w:cs="微软雅黑"/>
        </w:rPr>
        <w:t>来源：</w:t>
      </w:r>
      <w:hyperlink w:anchor="source-467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465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12. 报告称2025年全球新增可再生能源装机693吉瓦</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报告显示2025年全球新增可再生能源装机达693吉瓦，超过美国装机总量的一半；可再生能源在2025年仍是大多数市场最具成本竞争力的新增电源。但《Energy Institute Statistical Review of World Energy》同期数据显示，2025年化石能源仍占全球能源供应的86%，绝对消费量仍在增长。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报告指出2025年全球新增可再生能源装机达693吉瓦，超过美国装机总量的一半，且可再生能源在2025年仍是大多数市场最具成本竞争力的新增电源。同时《Energy Institute Statistical Review of World Energy》显示，2025年化石能源仍占全球能源供应的86%，且绝对消费量仍在增长。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可再生能源新增装机创新高，但化石能源在一次能源结构中仍占主导，绝对消费量仍在上升。</w:t>
      </w:r>
    </w:p>
    <w:p>
      <w:pPr>
        <w:ind w:firstLine="420"/>
      </w:pPr>
      <w:r>
        <w:rPr>
          <w:rFonts w:ascii="微软雅黑" w:hAnsi="微软雅黑" w:eastAsia="微软雅黑" w:cs="微软雅黑"/>
        </w:rPr>
        <w:t>来源：</w:t>
      </w:r>
      <w:hyperlink w:anchor="source-4999">
        <w:r>
          <w:rPr>
            <w:rFonts w:ascii="微软雅黑" w:hAnsi="微软雅黑" w:eastAsia="微软雅黑" w:cs="微软雅黑"/>
            <w:color w:val="087E89"/>
          </w:rPr>
          <w:t>26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国家发改委、能源局印发石油天然气发展“十五五”规划</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国家发展改革委、国家能源局联合印发《石油天然气发展“十五五”规划》，明确“十五五”期间国内油气供应、安全、市场体系与绿色低碳转型等目标任务，并部署重点任务。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到2030年国内油气供应量达到4.4亿吨油当量。部署推进“人工智能+”油气，推动人工智能、物联网等新一代信息技术向勘探、开发、管网、装备等核心环节深入应用。提出依托油气矿区发展风电、光伏、地热，推动老油气田向“电田、热田、储田、碳田”拓展。提出统筹油气与氢氨醇储运体系建设，目标到2030年CCS/CCUS年均注入二氧化碳达到1000万吨。进一步完善“X+1+X”油气市场体系，推动基础设施公平开放，支持民间资本参与非战略性管道和油气储备库建设。</w:t>
      </w:r>
    </w:p>
    <w:p>
      <w:pPr>
        <w:ind w:firstLine="420"/>
      </w:pPr>
      <w:r>
        <w:rPr>
          <w:rFonts w:ascii="微软雅黑" w:hAnsi="微软雅黑" w:eastAsia="微软雅黑" w:cs="微软雅黑"/>
        </w:rPr>
        <w:t>来源：</w:t>
      </w:r>
      <w:hyperlink w:anchor="source-4642">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14. 相国寺储气库完成中国油气藏型储气库首次多轮注采试点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15日至18日，相国寺储气库完成多轮注采试点，累计采气0.3亿立方米，注转采、采转注转换时间均在8小时内。该库为中国石油从26座储气库中优选开展首创性试点的对象，本次夏季采气为建库以来首次夏季采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试点在夏季实施，区别于传统以冬季调峰为主的运行模式，累计采气量0.3亿立方米。注转采、采转注两个方向的转换均控制在8小时以内。该试点被定位为中国油气藏型储气库领域的首次多轮注采实践，目标包括提升管网调峰响应能力，最大化盘活储气资源、释放库容利用效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来源未提供对市场或价格的直接影响评估。</w:t>
      </w:r>
    </w:p>
    <w:p>
      <w:pPr>
        <w:ind w:firstLine="420"/>
      </w:pPr>
      <w:r>
        <w:rPr>
          <w:rFonts w:ascii="微软雅黑" w:hAnsi="微软雅黑" w:eastAsia="微软雅黑" w:cs="微软雅黑"/>
        </w:rPr>
        <w:t>来源：</w:t>
      </w:r>
      <w:hyperlink w:anchor="source-4651">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15. 我国牵头7项天然气国际标准获ISO立项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国际标准化组织批准由我国牵头的7项天然气国际标准全部立项，覆盖页岩气勘探开发、天然气碳足迹核算、储层岩心取样、天然气水合物测试等上游关键领域。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本批7项标准中3项为页岩气检测标准，旨在为全球非常规油气开发提供统一技术依据，补齐页岩气储量评估与工程安全规范短板。页岩含气量测定标准统一全流程检测要求，将测试效率提升4倍、精度提升10倍，并建立高压校正模型。《天然气上游领域 产品碳足迹量化指南》统一勘探、采气、集输、处理等环节的碳核算口径。《天然气上游领域 岩心取样 起钻式保压取心方法》填补起钻式保压取心国际标准空白。两项天然气水合物测试标准采用差示扫描量热法和激光拉曼光谱法。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据来源，该批次立项每年可挖掘千万吨级二氧化碳当量减排潜力，并助力全球99万亿立方米天然气水合物资源量的勘探开发。</w:t>
      </w:r>
    </w:p>
    <w:p>
      <w:pPr>
        <w:ind w:firstLine="420"/>
      </w:pPr>
      <w:r>
        <w:rPr>
          <w:rFonts w:ascii="微软雅黑" w:hAnsi="微软雅黑" w:eastAsia="微软雅黑" w:cs="微软雅黑"/>
        </w:rPr>
        <w:t>来源：</w:t>
      </w:r>
      <w:hyperlink w:anchor="source-4648">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16. 三部门联合发文推进煤炭稳产保供</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国家发展改革委、国家能源局、国家矿山安监局联合印发通知，要求多措并举加快推进煤炭稳产保供，并表示将适时释放煤炭产能储备。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要求多措并举加快推进煤炭稳产保供，三部门表示将适时释放煤炭产能储备，稳定煤炭生产供应，促进市场平稳运行。同一来源还提及部分企业生产进展：截至8月22日，国能准能集团年累计生产商品煤4009万吨，超年进度计划34.2万吨；中煤华晋集团8月原煤产量105万吨，较上半年月均产量提升47.89%；陕煤集团小保当矿业1至8月块煤产销量同比增加22.57%，增收9.81亿元；国能雁宝能源与辽港集团在盘锦港达成年度合作，锁定100万吨下水煤业务，运费下浮28%。</w:t>
      </w:r>
    </w:p>
    <w:p>
      <w:pPr>
        <w:ind w:firstLine="420"/>
      </w:pPr>
      <w:r>
        <w:rPr>
          <w:rFonts w:ascii="微软雅黑" w:hAnsi="微软雅黑" w:eastAsia="微软雅黑" w:cs="微软雅黑"/>
        </w:rPr>
        <w:t>来源：</w:t>
      </w:r>
      <w:hyperlink w:anchor="source-4707">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17. ITER与中国聚变能源公司签署合作备忘录</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ITER组织与中国聚变能源有限公司（CFEC）签署谅解备忘录，深化聚变工程与科研合作。备忘录由CFEC总经理张立波与ITER组织总干事Pietro Barabaschi签署。</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合作在“聚变未来：迈向聚变能源的关键工程路径”主题边会期间签署，边会由中核集团主办。合作方向涵盖聚变工程技术、协同研究及国际学术交流，旨在加速聚变从研究向能源应用的转化。</w:t>
      </w:r>
    </w:p>
    <w:p>
      <w:pPr>
        <w:ind w:firstLine="420"/>
      </w:pPr>
      <w:r>
        <w:rPr>
          <w:rFonts w:ascii="微软雅黑" w:hAnsi="微软雅黑" w:eastAsia="微软雅黑" w:cs="微软雅黑"/>
        </w:rPr>
        <w:t>来源：</w:t>
      </w:r>
      <w:hyperlink w:anchor="source-497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18. 工信部启动2026年度国家绿色算力设施推荐工作</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工信部印发通知，启动2026年度国家绿色算力设施推荐工作，要求各地于2026年11月16日前完成申报材料报送并同步通过工业节能与绿色发展管理平台上报电子版。</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申报要求包括：算力设施规模不小于3000个标准机架、上架率不低于60%（公共机构、金融领域及智算设施除外）；绿色发展水平须达《绿色数据中心评价》（GB/T 44989）二级及以上；电能利用效率须达《数据中心能效限定值及能效等级》（GB 40879）2级及以上；可再生能源电量占比不低于所在省（区、市）可再生能源电力消纳责任权重。2022年以后新建的大型、超大型算力设施原则上应位于全国一体化算力网络枢纽及国家明确的算电协同试点区域。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申报门槛涵盖规模、能效、可再生能源消纳及枢纽布局，将引导算力设施向枢纽节点集中并提高绿电使用比例。</w:t>
      </w:r>
    </w:p>
    <w:p>
      <w:pPr>
        <w:ind w:firstLine="420"/>
      </w:pPr>
      <w:r>
        <w:rPr>
          <w:rFonts w:ascii="微软雅黑" w:hAnsi="微软雅黑" w:eastAsia="微软雅黑" w:cs="微软雅黑"/>
        </w:rPr>
        <w:t>来源：</w:t>
      </w:r>
      <w:hyperlink w:anchor="source-4780">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19. 三项光伏组件强制性国标举办终端用户专场宣贯会</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2026年9月16日，《光伏组件安全要求》《光伏组件铭牌标识要求》《晶体硅光伏组件和逆变器能效限定值及能效等级》三项强制性国家标准在呼和浩特举行终端用户专场宣贯会。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由中国电子技术标准化研究院主办，工信部电子信息司领导出席并讲话，电子标准院于秀明副院长主持。工信部就三项强标落地提出三点要求，并将会同有关部门建立健全“标准+认证+监管”闭环管理机制。光标委（SAC/TC90）将成立“标准应用实施推广工作组”，联合终端央国企、龙头制造企业和权威认证机构，制定统一认证实施规则并引入见证监督机制。中国质量认证中心（CQC）、北京鉴衡认证中心（CGC）等机构已编制统一的产品认证实施规则，明确认证流程、单元划分、试验规程和重测导则。国家电投集团能源科学技术研究院、华润电力控股有限公司等单位介绍了强标应用实施工作计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会议标志着三项强标实施从“生产端”全面延伸到“应用端”，有助于压实终端用户质量责任。</w:t>
      </w:r>
    </w:p>
    <w:p>
      <w:pPr>
        <w:ind w:firstLine="420"/>
      </w:pPr>
      <w:r>
        <w:rPr>
          <w:rFonts w:ascii="微软雅黑" w:hAnsi="微软雅黑" w:eastAsia="微软雅黑" w:cs="微软雅黑"/>
        </w:rPr>
        <w:t>来源：</w:t>
      </w:r>
      <w:hyperlink w:anchor="source-4679">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20. 极电光能“创势”钙钛矿组件完成“双极境”实证测试</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极电光能“创势”钙钛矿组件在CTC国检集团海南海口与吐鲁番户外实证基地完成“双极境”实证测试并公布数据，两地平均PR值（系统效率）均超90%。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测试覆盖高温高湿与干热沙尘两种极端环境。海南实证电站表现尤为亮眼。依托独特产品结构设计，“创势”组件具备防积灰、防裂片、防热斑能力，并展现出弱光发电性能与湿热稳定性。</w:t>
      </w:r>
    </w:p>
    <w:p>
      <w:pPr>
        <w:ind w:firstLine="420"/>
      </w:pPr>
      <w:r>
        <w:rPr>
          <w:rFonts w:ascii="微软雅黑" w:hAnsi="微软雅黑" w:eastAsia="微软雅黑" w:cs="微软雅黑"/>
        </w:rPr>
        <w:t>来源：</w:t>
      </w:r>
      <w:hyperlink w:anchor="source-4680">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伊朗所提重开海峡条件是否被美方接受、代表团其余成员签证与奢侈品限制后续走向。 </w:t>
      </w:r>
      <w:hyperlink w:anchor="source-487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美方对伊朗七项条件的正式回应及联大期间双方会晤是否落地仍待观察。 </w:t>
      </w:r>
      <w:hyperlink w:anchor="source-4812">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4808">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4687">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规划后续配套政策、CCS/CCUS示范项目落地节奏以及民间资本参与非战略性管道和储备库的具体实施细则有待进一步落实。 </w:t>
      </w:r>
      <w:hyperlink w:anchor="source-464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霍尔木兹海峡通航状况及Golden Pass LNG第二、三列的投运时间表。 </w:t>
      </w:r>
      <w:hyperlink w:anchor="source-477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457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最低性能标准的具体范围、适用门槛与生效时间，以及与数据中心能效评级标签的衔接方式；评级机制下装机容量500千瓦以上数据中心未来是否纳入最低性能标准约束。 </w:t>
      </w:r>
      <w:hyperlink w:anchor="source-4898">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5000">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ITC产业损害终裁结果；商务部2026年11月2日是否签发AD/CVD税令。 </w:t>
      </w:r>
      <w:hyperlink w:anchor="source-4620">
        <w:r>
          <w:rPr>
            <w:rFonts w:ascii="微软雅黑" w:hAnsi="微软雅黑" w:eastAsia="微软雅黑" w:cs="微软雅黑"/>
            <w:color w:val="087E89"/>
          </w:rPr>
          <w:t>12</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397 篇文章，形成 264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4873"/>
      <w:bookmarkEnd w:id="1" w:name="source-4873"/>
    </w:p>
    <w:p>
      <w:pPr>
        <w:pStyle w:val="ListBullet"/>
      </w:pPr>
      <w:r>
        <w:rPr>
          <w:rFonts w:ascii="微软雅黑" w:hAnsi="微软雅黑" w:eastAsia="微软雅黑" w:cs="微软雅黑"/>
        </w:rPr>
        <w:t>[1] Vanguard News｜</w:t>
      </w:r>
      <w:hyperlink r:id="rId11">
        <w:r>
          <w:rPr>
            <w:rFonts w:ascii="微软雅黑" w:hAnsi="微软雅黑" w:eastAsia="微软雅黑" w:cs="微软雅黑"/>
            <w:color w:val="087E89"/>
          </w:rPr>
          <w:t>美国拒绝伊朗联合国代表团成员签证</w:t>
        </w:r>
      </w:hyperlink>
      <w:r>
        <w:rPr>
          <w:rFonts w:ascii="微软雅黑" w:hAnsi="微软雅黑" w:eastAsia="微软雅黑" w:cs="微软雅黑"/>
        </w:rPr>
      </w:r>
    </w:p>
    <w:p>
      <w:pPr>
        <w:spacing w:after="0" w:line="20" w:lineRule="exact"/>
      </w:pPr>
      <w:bookmarkStart w:id="2" w:name="source-4812"/>
      <w:bookmarkEnd w:id="2" w:name="source-4812"/>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石油下跌超过2%，因美伊外交取得进展</w:t>
        </w:r>
      </w:hyperlink>
      <w:r>
        <w:rPr>
          <w:rFonts w:ascii="微软雅黑" w:hAnsi="微软雅黑" w:eastAsia="微软雅黑" w:cs="微软雅黑"/>
        </w:rPr>
      </w:r>
    </w:p>
    <w:p>
      <w:pPr>
        <w:spacing w:after="0" w:line="20" w:lineRule="exact"/>
      </w:pPr>
      <w:bookmarkStart w:id="3" w:name="source-4808"/>
      <w:bookmarkEnd w:id="3" w:name="source-4808"/>
    </w:p>
    <w:p>
      <w:pPr>
        <w:pStyle w:val="ListBullet"/>
      </w:pPr>
      <w:r>
        <w:rPr>
          <w:rFonts w:ascii="微软雅黑" w:hAnsi="微软雅黑" w:eastAsia="微软雅黑" w:cs="微软雅黑"/>
        </w:rPr>
        <w:t>[3] 汇通财经｜</w:t>
      </w:r>
      <w:hyperlink r:id="rId13">
        <w:r>
          <w:rPr>
            <w:rFonts w:ascii="微软雅黑" w:hAnsi="微软雅黑" w:eastAsia="微软雅黑" w:cs="微软雅黑"/>
            <w:color w:val="087E89"/>
          </w:rPr>
          <w:t>美伊狠话互怼，油价回落暗藏反弹风险</w:t>
        </w:r>
      </w:hyperlink>
      <w:r>
        <w:rPr>
          <w:rFonts w:ascii="微软雅黑" w:hAnsi="微软雅黑" w:eastAsia="微软雅黑" w:cs="微软雅黑"/>
        </w:rPr>
      </w:r>
    </w:p>
    <w:p>
      <w:pPr>
        <w:spacing w:after="0" w:line="20" w:lineRule="exact"/>
      </w:pPr>
      <w:bookmarkStart w:id="4" w:name="source-4687"/>
      <w:bookmarkEnd w:id="4" w:name="source-4687"/>
    </w:p>
    <w:p>
      <w:pPr>
        <w:pStyle w:val="ListBullet"/>
      </w:pPr>
      <w:r>
        <w:rPr>
          <w:rFonts w:ascii="微软雅黑" w:hAnsi="微软雅黑" w:eastAsia="微软雅黑" w:cs="微软雅黑"/>
        </w:rPr>
        <w:t>[4] 汇通财经｜</w:t>
      </w:r>
      <w:hyperlink r:id="rId14">
        <w:r>
          <w:rPr>
            <w:rFonts w:ascii="微软雅黑" w:hAnsi="微软雅黑" w:eastAsia="微软雅黑" w:cs="微软雅黑"/>
            <w:color w:val="087E89"/>
          </w:rPr>
          <w:t>美国敦促公民离开伊朗，布伦特原油却跌超1%，市场不信事态升级？</w:t>
        </w:r>
      </w:hyperlink>
      <w:r>
        <w:rPr>
          <w:rFonts w:ascii="微软雅黑" w:hAnsi="微软雅黑" w:eastAsia="微软雅黑" w:cs="微软雅黑"/>
        </w:rPr>
      </w:r>
    </w:p>
    <w:p>
      <w:pPr>
        <w:spacing w:after="0" w:line="20" w:lineRule="exact"/>
      </w:pPr>
      <w:bookmarkStart w:id="5" w:name="source-4642"/>
      <w:bookmarkEnd w:id="5" w:name="source-4642"/>
    </w:p>
    <w:p>
      <w:pPr>
        <w:pStyle w:val="ListBullet"/>
      </w:pPr>
      <w:r>
        <w:rPr>
          <w:rFonts w:ascii="微软雅黑" w:hAnsi="微软雅黑" w:eastAsia="微软雅黑" w:cs="微软雅黑"/>
        </w:rPr>
        <w:t>[5] 上海石油天然气交易中心｜</w:t>
      </w:r>
      <w:hyperlink r:id="rId15">
        <w:r>
          <w:rPr>
            <w:rFonts w:ascii="微软雅黑" w:hAnsi="微软雅黑" w:eastAsia="微软雅黑" w:cs="微软雅黑"/>
            <w:color w:val="087E89"/>
          </w:rPr>
          <w:t>能源转型不是油气简单退出</w:t>
        </w:r>
      </w:hyperlink>
      <w:r>
        <w:rPr>
          <w:rFonts w:ascii="微软雅黑" w:hAnsi="微软雅黑" w:eastAsia="微软雅黑" w:cs="微软雅黑"/>
        </w:rPr>
      </w:r>
    </w:p>
    <w:p>
      <w:pPr>
        <w:spacing w:after="0" w:line="20" w:lineRule="exact"/>
      </w:pPr>
      <w:bookmarkStart w:id="6" w:name="source-4771"/>
      <w:bookmarkEnd w:id="6" w:name="source-4771"/>
    </w:p>
    <w:p>
      <w:pPr>
        <w:pStyle w:val="ListBullet"/>
      </w:pPr>
      <w:r>
        <w:rPr>
          <w:rFonts w:ascii="微软雅黑" w:hAnsi="微软雅黑" w:eastAsia="微软雅黑" w:cs="微软雅黑"/>
        </w:rPr>
        <w:t>[6] 卡塔尔能源｜</w:t>
      </w:r>
      <w:hyperlink r:id="rId16">
        <w:r>
          <w:rPr>
            <w:rFonts w:ascii="微软雅黑" w:hAnsi="微软雅黑" w:eastAsia="微软雅黑" w:cs="微软雅黑"/>
            <w:color w:val="087E89"/>
          </w:rPr>
          <w:t>H.E.部长萨阿德·谢里达·阿尔-卡比就替代路线表示：液化天然气不能通过管道运输</w:t>
        </w:r>
      </w:hyperlink>
      <w:r>
        <w:rPr>
          <w:rFonts w:ascii="微软雅黑" w:hAnsi="微软雅黑" w:eastAsia="微软雅黑" w:cs="微软雅黑"/>
        </w:rPr>
      </w:r>
    </w:p>
    <w:p>
      <w:pPr>
        <w:spacing w:after="0" w:line="20" w:lineRule="exact"/>
      </w:pPr>
      <w:bookmarkStart w:id="7" w:name="source-4572"/>
      <w:bookmarkEnd w:id="7" w:name="source-4572"/>
    </w:p>
    <w:p>
      <w:pPr>
        <w:pStyle w:val="ListBullet"/>
      </w:pPr>
      <w:r>
        <w:rPr>
          <w:rFonts w:ascii="微软雅黑" w:hAnsi="微软雅黑" w:eastAsia="微软雅黑" w:cs="微软雅黑"/>
        </w:rPr>
        <w:t>[7] The Edge Malaysia等｜</w:t>
      </w:r>
      <w:hyperlink r:id="rId17">
        <w:r>
          <w:rPr>
            <w:rFonts w:ascii="微软雅黑" w:hAnsi="微软雅黑" w:eastAsia="微软雅黑" w:cs="微软雅黑"/>
            <w:color w:val="087E89"/>
          </w:rPr>
          <w:t>卡塔尔能源主管预计液化天然气扩产将于2027年投产</w:t>
        </w:r>
      </w:hyperlink>
      <w:r>
        <w:rPr>
          <w:rFonts w:ascii="微软雅黑" w:hAnsi="微软雅黑" w:eastAsia="微软雅黑" w:cs="微软雅黑"/>
        </w:rPr>
      </w:r>
    </w:p>
    <w:p>
      <w:pPr>
        <w:spacing w:after="0" w:line="20" w:lineRule="exact"/>
      </w:pPr>
      <w:bookmarkStart w:id="8" w:name="source-4898"/>
      <w:bookmarkEnd w:id="8" w:name="source-4898"/>
    </w:p>
    <w:p>
      <w:pPr>
        <w:pStyle w:val="ListBullet"/>
      </w:pPr>
      <w:r>
        <w:rPr>
          <w:rFonts w:ascii="微软雅黑" w:hAnsi="微软雅黑" w:eastAsia="微软雅黑" w:cs="微软雅黑"/>
        </w:rPr>
        <w:t>[8] 欧盟委员会｜</w:t>
      </w:r>
      <w:hyperlink r:id="rId18">
        <w:r>
          <w:rPr>
            <w:rFonts w:ascii="微软雅黑" w:hAnsi="微软雅黑" w:eastAsia="微软雅黑" w:cs="微软雅黑"/>
            <w:color w:val="087E89"/>
          </w:rPr>
          <w:t>欧洲数据中心最低性能标准——公开磋商启动</w:t>
        </w:r>
      </w:hyperlink>
      <w:r>
        <w:rPr>
          <w:rFonts w:ascii="微软雅黑" w:hAnsi="微软雅黑" w:eastAsia="微软雅黑" w:cs="微软雅黑"/>
        </w:rPr>
      </w:r>
    </w:p>
    <w:p>
      <w:pPr>
        <w:spacing w:after="0" w:line="20" w:lineRule="exact"/>
      </w:pPr>
      <w:bookmarkStart w:id="9" w:name="source-5000"/>
      <w:bookmarkEnd w:id="9" w:name="source-5000"/>
    </w:p>
    <w:p>
      <w:pPr>
        <w:pStyle w:val="ListBullet"/>
      </w:pPr>
      <w:r>
        <w:rPr>
          <w:rFonts w:ascii="微软雅黑" w:hAnsi="微软雅黑" w:eastAsia="微软雅黑" w:cs="微软雅黑"/>
        </w:rPr>
        <w:t>[9] Courthouse News｜</w:t>
      </w:r>
      <w:hyperlink r:id="rId19">
        <w:r>
          <w:rPr>
            <w:rFonts w:ascii="微软雅黑" w:hAnsi="微软雅黑" w:eastAsia="微软雅黑" w:cs="微软雅黑"/>
            <w:color w:val="087E89"/>
          </w:rPr>
          <w:t>欧盟拟为数据中心设立能效评级</w:t>
        </w:r>
      </w:hyperlink>
      <w:r>
        <w:rPr>
          <w:rFonts w:ascii="微软雅黑" w:hAnsi="微软雅黑" w:eastAsia="微软雅黑" w:cs="微软雅黑"/>
        </w:rPr>
      </w:r>
    </w:p>
    <w:p>
      <w:pPr>
        <w:spacing w:after="0" w:line="20" w:lineRule="exact"/>
      </w:pPr>
      <w:bookmarkStart w:id="10" w:name="source-4670"/>
      <w:bookmarkEnd w:id="10" w:name="source-4670"/>
    </w:p>
    <w:p>
      <w:pPr>
        <w:pStyle w:val="ListBullet"/>
      </w:pPr>
      <w:r>
        <w:rPr>
          <w:rFonts w:ascii="微软雅黑" w:hAnsi="微软雅黑" w:eastAsia="微软雅黑" w:cs="微软雅黑"/>
        </w:rPr>
        <w:t>[10] 国家管网集团｜</w:t>
      </w:r>
      <w:hyperlink r:id="rId20">
        <w:r>
          <w:rPr>
            <w:rFonts w:ascii="微软雅黑" w:hAnsi="微软雅黑" w:eastAsia="微软雅黑" w:cs="微软雅黑"/>
            <w:color w:val="087E89"/>
          </w:rPr>
          <w:t>8月份全社会用电量再破万亿，负荷创历史新高</w:t>
        </w:r>
      </w:hyperlink>
      <w:r>
        <w:rPr>
          <w:rFonts w:ascii="微软雅黑" w:hAnsi="微软雅黑" w:eastAsia="微软雅黑" w:cs="微软雅黑"/>
        </w:rPr>
      </w:r>
    </w:p>
    <w:p>
      <w:pPr>
        <w:spacing w:after="0" w:line="20" w:lineRule="exact"/>
      </w:pPr>
      <w:bookmarkStart w:id="11" w:name="source-4655"/>
      <w:bookmarkEnd w:id="11" w:name="source-4655"/>
    </w:p>
    <w:p>
      <w:pPr>
        <w:pStyle w:val="ListBullet"/>
      </w:pPr>
      <w:r>
        <w:rPr>
          <w:rFonts w:ascii="微软雅黑" w:hAnsi="微软雅黑" w:eastAsia="微软雅黑" w:cs="微软雅黑"/>
        </w:rPr>
        <w:t>[11] Solarbe(光伏网)｜</w:t>
      </w:r>
      <w:hyperlink r:id="rId21">
        <w:r>
          <w:rPr>
            <w:rFonts w:ascii="微软雅黑" w:hAnsi="微软雅黑" w:eastAsia="微软雅黑" w:cs="微软雅黑"/>
            <w:color w:val="087E89"/>
          </w:rPr>
          <w:t>8月份全社会用电量再破万亿，负荷创历史新高</w:t>
        </w:r>
      </w:hyperlink>
      <w:r>
        <w:rPr>
          <w:rFonts w:ascii="微软雅黑" w:hAnsi="微软雅黑" w:eastAsia="微软雅黑" w:cs="微软雅黑"/>
        </w:rPr>
      </w:r>
    </w:p>
    <w:p>
      <w:pPr>
        <w:spacing w:after="0" w:line="20" w:lineRule="exact"/>
      </w:pPr>
      <w:bookmarkStart w:id="12" w:name="source-4620"/>
      <w:bookmarkEnd w:id="12" w:name="source-4620"/>
    </w:p>
    <w:p>
      <w:pPr>
        <w:pStyle w:val="ListBullet"/>
      </w:pPr>
      <w:r>
        <w:rPr>
          <w:rFonts w:ascii="微软雅黑" w:hAnsi="微软雅黑" w:eastAsia="微软雅黑" w:cs="微软雅黑"/>
        </w:rPr>
        <w:t>[12] Solarbe(光伏网)｜</w:t>
      </w:r>
      <w:hyperlink r:id="rId22">
        <w:r>
          <w:rPr>
            <w:rFonts w:ascii="微软雅黑" w:hAnsi="微软雅黑" w:eastAsia="微软雅黑" w:cs="微软雅黑"/>
            <w:color w:val="087E89"/>
          </w:rPr>
          <w:t>最高超173%！美国敲定印度、印尼和老挝光伏双反终裁税率</w:t>
        </w:r>
      </w:hyperlink>
      <w:r>
        <w:rPr>
          <w:rFonts w:ascii="微软雅黑" w:hAnsi="微软雅黑" w:eastAsia="微软雅黑" w:cs="微软雅黑"/>
        </w:rPr>
      </w:r>
    </w:p>
    <w:p>
      <w:pPr>
        <w:spacing w:after="0" w:line="20" w:lineRule="exact"/>
      </w:pPr>
      <w:bookmarkStart w:id="13" w:name="source-4972"/>
      <w:bookmarkEnd w:id="13" w:name="source-4972"/>
    </w:p>
    <w:p>
      <w:pPr>
        <w:pStyle w:val="ListBullet"/>
      </w:pPr>
      <w:r>
        <w:rPr>
          <w:rFonts w:ascii="微软雅黑" w:hAnsi="微软雅黑" w:eastAsia="微软雅黑" w:cs="微软雅黑"/>
        </w:rPr>
        <w:t>[13] ITER官网（国际热核聚变实验堆计划）｜</w:t>
      </w:r>
      <w:hyperlink r:id="rId23">
        <w:r>
          <w:rPr>
            <w:rFonts w:ascii="微软雅黑" w:hAnsi="微软雅黑" w:eastAsia="微软雅黑" w:cs="微软雅黑"/>
            <w:color w:val="087E89"/>
          </w:rPr>
          <w:t>最后一扇 ITER 真空容器扇区启运</w:t>
        </w:r>
      </w:hyperlink>
      <w:r>
        <w:rPr>
          <w:rFonts w:ascii="微软雅黑" w:hAnsi="微软雅黑" w:eastAsia="微软雅黑" w:cs="微软雅黑"/>
        </w:rPr>
      </w:r>
    </w:p>
    <w:p>
      <w:pPr>
        <w:spacing w:after="0" w:line="20" w:lineRule="exact"/>
      </w:pPr>
      <w:bookmarkStart w:id="14" w:name="source-4966"/>
      <w:bookmarkEnd w:id="14" w:name="source-4966"/>
    </w:p>
    <w:p>
      <w:pPr>
        <w:pStyle w:val="ListBullet"/>
      </w:pPr>
      <w:r>
        <w:rPr>
          <w:rFonts w:ascii="微软雅黑" w:hAnsi="微软雅黑" w:eastAsia="微软雅黑" w:cs="微软雅黑"/>
        </w:rPr>
        <w:t>[14] The Battery Magazine｜</w:t>
      </w:r>
      <w:hyperlink r:id="rId24">
        <w:r>
          <w:rPr>
            <w:rFonts w:ascii="微软雅黑" w:hAnsi="微软雅黑" w:eastAsia="微软雅黑" w:cs="微软雅黑"/>
            <w:color w:val="087E89"/>
          </w:rPr>
          <w:t>印度煤炭公司以技术驱动多元化拓展超越煤炭业务</w:t>
        </w:r>
      </w:hyperlink>
      <w:r>
        <w:rPr>
          <w:rFonts w:ascii="微软雅黑" w:hAnsi="微软雅黑" w:eastAsia="微软雅黑" w:cs="微软雅黑"/>
        </w:rPr>
      </w:r>
    </w:p>
    <w:p>
      <w:pPr>
        <w:spacing w:after="0" w:line="20" w:lineRule="exact"/>
      </w:pPr>
      <w:bookmarkStart w:id="15" w:name="source-4780"/>
      <w:bookmarkEnd w:id="15" w:name="source-4780"/>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2026年度国家绿色算力设施推荐工作启动</w:t>
        </w:r>
      </w:hyperlink>
      <w:r>
        <w:rPr>
          <w:rFonts w:ascii="微软雅黑" w:hAnsi="微软雅黑" w:eastAsia="微软雅黑" w:cs="微软雅黑"/>
        </w:rPr>
      </w:r>
    </w:p>
    <w:p>
      <w:pPr>
        <w:spacing w:after="0" w:line="20" w:lineRule="exact"/>
      </w:pPr>
      <w:bookmarkStart w:id="16" w:name="source-4679"/>
      <w:bookmarkEnd w:id="16" w:name="source-4679"/>
    </w:p>
    <w:p>
      <w:pPr>
        <w:pStyle w:val="ListBullet"/>
      </w:pPr>
      <w:r>
        <w:rPr>
          <w:rFonts w:ascii="微软雅黑" w:hAnsi="微软雅黑" w:eastAsia="微软雅黑" w:cs="微软雅黑"/>
        </w:rPr>
        <w:t>[16] Solarbe(光伏网)｜</w:t>
      </w:r>
      <w:hyperlink r:id="rId26">
        <w:r>
          <w:rPr>
            <w:rFonts w:ascii="微软雅黑" w:hAnsi="微软雅黑" w:eastAsia="微软雅黑" w:cs="微软雅黑"/>
            <w:color w:val="087E89"/>
          </w:rPr>
          <w:t>《光伏组件安全要求》等三项强制性国家标准终端用户专场宣贯会在呼和浩特成功举办</w:t>
        </w:r>
      </w:hyperlink>
      <w:r>
        <w:rPr>
          <w:rFonts w:ascii="微软雅黑" w:hAnsi="微软雅黑" w:eastAsia="微软雅黑" w:cs="微软雅黑"/>
        </w:rPr>
      </w:r>
    </w:p>
    <w:p>
      <w:pPr>
        <w:spacing w:after="0" w:line="20" w:lineRule="exact"/>
      </w:pPr>
      <w:bookmarkStart w:id="17" w:name="source-4648"/>
      <w:bookmarkEnd w:id="17" w:name="source-4648"/>
    </w:p>
    <w:p>
      <w:pPr>
        <w:pStyle w:val="ListBullet"/>
      </w:pPr>
      <w:r>
        <w:rPr>
          <w:rFonts w:ascii="微软雅黑" w:hAnsi="微软雅黑" w:eastAsia="微软雅黑" w:cs="微软雅黑"/>
        </w:rPr>
        <w:t>[17] 国家管网集团｜</w:t>
      </w:r>
      <w:hyperlink r:id="rId27">
        <w:r>
          <w:rPr>
            <w:rFonts w:ascii="微软雅黑" w:hAnsi="微软雅黑" w:eastAsia="微软雅黑" w:cs="微软雅黑"/>
            <w:color w:val="087E89"/>
          </w:rPr>
          <w:t>我国推进7项天然气国际标准成功立项</w:t>
        </w:r>
      </w:hyperlink>
      <w:r>
        <w:rPr>
          <w:rFonts w:ascii="微软雅黑" w:hAnsi="微软雅黑" w:eastAsia="微软雅黑" w:cs="微软雅黑"/>
        </w:rPr>
      </w:r>
    </w:p>
    <w:p>
      <w:pPr>
        <w:spacing w:after="0" w:line="20" w:lineRule="exact"/>
      </w:pPr>
      <w:bookmarkStart w:id="18" w:name="source-4973"/>
      <w:bookmarkEnd w:id="18" w:name="source-4973"/>
    </w:p>
    <w:p>
      <w:pPr>
        <w:pStyle w:val="ListBullet"/>
      </w:pPr>
      <w:r>
        <w:rPr>
          <w:rFonts w:ascii="微软雅黑" w:hAnsi="微软雅黑" w:eastAsia="微软雅黑" w:cs="微软雅黑"/>
        </w:rPr>
        <w:t>[18] ITER官网（国际热核聚变实验堆计划）｜</w:t>
      </w:r>
      <w:hyperlink r:id="rId28">
        <w:r>
          <w:rPr>
            <w:rFonts w:ascii="微软雅黑" w:hAnsi="微软雅黑" w:eastAsia="微软雅黑" w:cs="微软雅黑"/>
            <w:color w:val="087E89"/>
          </w:rPr>
          <w:t>国际热核聚变实验堆（ITER）和中国加强聚变合作</w:t>
        </w:r>
      </w:hyperlink>
      <w:r>
        <w:rPr>
          <w:rFonts w:ascii="微软雅黑" w:hAnsi="微软雅黑" w:eastAsia="微软雅黑" w:cs="微软雅黑"/>
        </w:rPr>
      </w:r>
    </w:p>
    <w:p>
      <w:pPr>
        <w:spacing w:after="0" w:line="20" w:lineRule="exact"/>
      </w:pPr>
      <w:bookmarkStart w:id="19" w:name="source-4707"/>
      <w:bookmarkEnd w:id="19" w:name="source-4707"/>
    </w:p>
    <w:p>
      <w:pPr>
        <w:pStyle w:val="ListBullet"/>
      </w:pPr>
      <w:r>
        <w:rPr>
          <w:rFonts w:ascii="微软雅黑" w:hAnsi="微软雅黑" w:eastAsia="微软雅黑" w:cs="微软雅黑"/>
        </w:rPr>
        <w:t>[19] 中国能源网｜</w:t>
      </w:r>
      <w:hyperlink r:id="rId29">
        <w:r>
          <w:rPr>
            <w:rFonts w:ascii="微软雅黑" w:hAnsi="微软雅黑" w:eastAsia="微软雅黑" w:cs="微软雅黑"/>
            <w:color w:val="087E89"/>
          </w:rPr>
          <w:t>煤流不息，底气何来?</w:t>
        </w:r>
      </w:hyperlink>
      <w:r>
        <w:rPr>
          <w:rFonts w:ascii="微软雅黑" w:hAnsi="微软雅黑" w:eastAsia="微软雅黑" w:cs="微软雅黑"/>
        </w:rPr>
      </w:r>
    </w:p>
    <w:p>
      <w:pPr>
        <w:spacing w:after="0" w:line="20" w:lineRule="exact"/>
      </w:pPr>
      <w:bookmarkStart w:id="20" w:name="source-4680"/>
      <w:bookmarkEnd w:id="20" w:name="source-4680"/>
    </w:p>
    <w:p>
      <w:pPr>
        <w:pStyle w:val="ListBullet"/>
      </w:pPr>
      <w:r>
        <w:rPr>
          <w:rFonts w:ascii="微软雅黑" w:hAnsi="微软雅黑" w:eastAsia="微软雅黑" w:cs="微软雅黑"/>
        </w:rPr>
        <w:t>[20] Solarbe(光伏网)｜</w:t>
      </w:r>
      <w:hyperlink r:id="rId30">
        <w:r>
          <w:rPr>
            <w:rFonts w:ascii="微软雅黑" w:hAnsi="微软雅黑" w:eastAsia="微软雅黑" w:cs="微软雅黑"/>
            <w:color w:val="087E89"/>
          </w:rPr>
          <w:t>从高温高湿到干热沙尘，极电“创势”钙钛矿组件完成“双极境”实证大考</w:t>
        </w:r>
      </w:hyperlink>
      <w:r>
        <w:rPr>
          <w:rFonts w:ascii="微软雅黑" w:hAnsi="微软雅黑" w:eastAsia="微软雅黑" w:cs="微软雅黑"/>
        </w:rPr>
      </w:r>
    </w:p>
    <w:p>
      <w:pPr>
        <w:spacing w:after="0" w:line="20" w:lineRule="exact"/>
      </w:pPr>
      <w:bookmarkStart w:id="21" w:name="source-4651"/>
      <w:bookmarkEnd w:id="21" w:name="source-4651"/>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中国油气藏型储气库领域首次开展多轮注采试点</w:t>
        </w:r>
      </w:hyperlink>
      <w:r>
        <w:rPr>
          <w:rFonts w:ascii="微软雅黑" w:hAnsi="微软雅黑" w:eastAsia="微软雅黑" w:cs="微软雅黑"/>
        </w:rPr>
      </w:r>
    </w:p>
    <w:p>
      <w:pPr>
        <w:spacing w:after="0" w:line="20" w:lineRule="exact"/>
      </w:pPr>
      <w:bookmarkStart w:id="22" w:name="source-4803"/>
      <w:bookmarkEnd w:id="22" w:name="source-4803"/>
    </w:p>
    <w:p>
      <w:pPr>
        <w:pStyle w:val="ListBullet"/>
      </w:pPr>
      <w:r>
        <w:rPr>
          <w:rFonts w:ascii="微软雅黑" w:hAnsi="微软雅黑" w:eastAsia="微软雅黑" w:cs="微软雅黑"/>
        </w:rPr>
        <w:t>[22] Vanguard News｜</w:t>
      </w:r>
      <w:hyperlink r:id="rId32">
        <w:r>
          <w:rPr>
            <w:rFonts w:ascii="微软雅黑" w:hAnsi="微软雅黑" w:eastAsia="微软雅黑" w:cs="微软雅黑"/>
            <w:color w:val="087E89"/>
          </w:rPr>
          <w:t>伊朗卫队威胁称，若美国发动袭击，将打击新目标</w:t>
        </w:r>
      </w:hyperlink>
      <w:r>
        <w:rPr>
          <w:rFonts w:ascii="微软雅黑" w:hAnsi="微软雅黑" w:eastAsia="微软雅黑" w:cs="微软雅黑"/>
        </w:rPr>
      </w:r>
    </w:p>
    <w:p>
      <w:pPr>
        <w:spacing w:after="0" w:line="20" w:lineRule="exact"/>
      </w:pPr>
      <w:bookmarkStart w:id="23" w:name="source-4738"/>
      <w:bookmarkEnd w:id="23" w:name="source-4738"/>
    </w:p>
    <w:p>
      <w:pPr>
        <w:pStyle w:val="ListBullet"/>
      </w:pPr>
      <w:r>
        <w:rPr>
          <w:rFonts w:ascii="微软雅黑" w:hAnsi="微软雅黑" w:eastAsia="微软雅黑" w:cs="微软雅黑"/>
        </w:rPr>
        <w:t>[23] 中国能源新闻网｜</w:t>
      </w:r>
      <w:hyperlink r:id="rId33">
        <w:r>
          <w:rPr>
            <w:rFonts w:ascii="微软雅黑" w:hAnsi="微软雅黑" w:eastAsia="微软雅黑" w:cs="微软雅黑"/>
            <w:color w:val="087E89"/>
          </w:rPr>
          <w:t>沙特原油“断供”，欧洲电力“报警”</w:t>
        </w:r>
      </w:hyperlink>
      <w:r>
        <w:rPr>
          <w:rFonts w:ascii="微软雅黑" w:hAnsi="微软雅黑" w:eastAsia="微软雅黑" w:cs="微软雅黑"/>
        </w:rPr>
      </w:r>
    </w:p>
    <w:p>
      <w:pPr>
        <w:spacing w:after="0" w:line="20" w:lineRule="exact"/>
      </w:pPr>
      <w:bookmarkStart w:id="24" w:name="source-4547"/>
      <w:bookmarkEnd w:id="24" w:name="source-4547"/>
    </w:p>
    <w:p>
      <w:pPr>
        <w:pStyle w:val="ListBullet"/>
      </w:pPr>
      <w:r>
        <w:rPr>
          <w:rFonts w:ascii="微软雅黑" w:hAnsi="微软雅黑" w:eastAsia="微软雅黑" w:cs="微软雅黑"/>
        </w:rPr>
        <w:t>[24] The Edge Malaysia等｜</w:t>
      </w:r>
      <w:hyperlink r:id="rId34">
        <w:r>
          <w:rPr>
            <w:rFonts w:ascii="微软雅黑" w:hAnsi="微软雅黑" w:eastAsia="微软雅黑" w:cs="微软雅黑"/>
            <w:color w:val="087E89"/>
          </w:rPr>
          <w:t>石油价格持稳，交易商关注中东供应风险与外交进展</w:t>
        </w:r>
      </w:hyperlink>
      <w:r>
        <w:rPr>
          <w:rFonts w:ascii="微软雅黑" w:hAnsi="微软雅黑" w:eastAsia="微软雅黑" w:cs="微软雅黑"/>
        </w:rPr>
      </w:r>
    </w:p>
    <w:p>
      <w:pPr>
        <w:spacing w:after="0" w:line="20" w:lineRule="exact"/>
      </w:pPr>
      <w:bookmarkStart w:id="25" w:name="source-4922"/>
      <w:bookmarkEnd w:id="25" w:name="source-4922"/>
    </w:p>
    <w:p>
      <w:pPr>
        <w:pStyle w:val="ListBullet"/>
      </w:pPr>
      <w:r>
        <w:rPr>
          <w:rFonts w:ascii="微软雅黑" w:hAnsi="微软雅黑" w:eastAsia="微软雅黑" w:cs="微软雅黑"/>
        </w:rPr>
        <w:t>[25] Anadolu Agency｜</w:t>
      </w:r>
      <w:hyperlink r:id="rId35">
        <w:r>
          <w:rPr>
            <w:rFonts w:ascii="微软雅黑" w:hAnsi="微软雅黑" w:eastAsia="微软雅黑" w:cs="微软雅黑"/>
            <w:color w:val="087E89"/>
          </w:rPr>
          <w:t>周日即期市场天然气价格</w:t>
        </w:r>
      </w:hyperlink>
      <w:r>
        <w:rPr>
          <w:rFonts w:ascii="微软雅黑" w:hAnsi="微软雅黑" w:eastAsia="微软雅黑" w:cs="微软雅黑"/>
        </w:rPr>
      </w:r>
    </w:p>
    <w:p>
      <w:pPr>
        <w:spacing w:after="0" w:line="20" w:lineRule="exact"/>
      </w:pPr>
      <w:bookmarkStart w:id="26" w:name="source-4999"/>
      <w:bookmarkEnd w:id="26" w:name="source-4999"/>
    </w:p>
    <w:p>
      <w:pPr>
        <w:pStyle w:val="ListBullet"/>
      </w:pPr>
      <w:r>
        <w:rPr>
          <w:rFonts w:ascii="微软雅黑" w:hAnsi="微软雅黑" w:eastAsia="微软雅黑" w:cs="微软雅黑"/>
        </w:rPr>
        <w:t>[26] Courthouse News｜</w:t>
      </w:r>
      <w:hyperlink r:id="rId36">
        <w:r>
          <w:rPr>
            <w:rFonts w:ascii="微软雅黑" w:hAnsi="微软雅黑" w:eastAsia="微软雅黑" w:cs="微软雅黑"/>
            <w:color w:val="087E89"/>
          </w:rPr>
          <w:t>可再生能源在2025年创下纪录，但世界仍需加快步伐：报告</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vanguardngr.com/2026/09/us-refuses-visas-for-iran-un-delegation-members/" TargetMode="External"/><Relationship Id="rId12" Type="http://schemas.openxmlformats.org/officeDocument/2006/relationships/hyperlink" Target="https://www.aa.com.tr/en/energy/oil/oil-falls-more-than-2-as-us-iran-diplomacy-gains-momentum/59736" TargetMode="External"/><Relationship Id="rId13" Type="http://schemas.openxmlformats.org/officeDocument/2006/relationships/hyperlink" Target="https://www.fx678.com/C/20260921/202609211625479099.html" TargetMode="External"/><Relationship Id="rId14" Type="http://schemas.openxmlformats.org/officeDocument/2006/relationships/hyperlink" Target="https://www.fx678.com/C/20260921/202609211037469117.html" TargetMode="External"/><Relationship Id="rId15" Type="http://schemas.openxmlformats.org/officeDocument/2006/relationships/hyperlink" Target="https://www.shpgx.com/html/xyzx/20260921/9942.html" TargetMode="External"/><Relationship Id="rId16" Type="http://schemas.openxmlformats.org/officeDocument/2006/relationships/hyperlink" Target="https://www.qatarenergy.qa/en/MediaCenter/Pages/newsdetails.aspx?ItemId=3917" TargetMode="External"/><Relationship Id="rId17" Type="http://schemas.openxmlformats.org/officeDocument/2006/relationships/hyperlink" Target="https://theedgemalaysia.com/node/818634" TargetMode="External"/><Relationship Id="rId18" Type="http://schemas.openxmlformats.org/officeDocument/2006/relationships/hyperlink" Target="https://energy.ec.europa.eu/news/minimum-performance-standards-data-centres-europe-public-consultation-launched-2026-09-21_en" TargetMode="External"/><Relationship Id="rId19" Type="http://schemas.openxmlformats.org/officeDocument/2006/relationships/hyperlink" Target="https://www.courthousenews.com/articles/eu-proposes-energy-rating-for-data-centers" TargetMode="External"/><Relationship Id="rId20" Type="http://schemas.openxmlformats.org/officeDocument/2006/relationships/hyperlink" Target="https://www.pipechina.com.cn/front/news/3006057.html" TargetMode="External"/><Relationship Id="rId21" Type="http://schemas.openxmlformats.org/officeDocument/2006/relationships/hyperlink" Target="https://news.solarbe.com/202609/21/50029444.html" TargetMode="External"/><Relationship Id="rId22" Type="http://schemas.openxmlformats.org/officeDocument/2006/relationships/hyperlink" Target="https://news.solarbe.com/202609/21/50029445.html" TargetMode="External"/><Relationship Id="rId23" Type="http://schemas.openxmlformats.org/officeDocument/2006/relationships/hyperlink" Target="https://www.iter.org/node/20687/last-iter-vacuum-vessel-sector-travelling" TargetMode="External"/><Relationship Id="rId24" Type="http://schemas.openxmlformats.org/officeDocument/2006/relationships/hyperlink" Target="https://www.thebatterymagazine.com/coal-india-expands-beyond-coal-with-technology-led-diversification/" TargetMode="External"/><Relationship Id="rId25" Type="http://schemas.openxmlformats.org/officeDocument/2006/relationships/hyperlink" Target="https://www.cpnn.com.cn/news/hy/202609/t20260921_1916614.html" TargetMode="External"/><Relationship Id="rId26" Type="http://schemas.openxmlformats.org/officeDocument/2006/relationships/hyperlink" Target="https://news.solarbe.com/202609/21/50029480.html" TargetMode="External"/><Relationship Id="rId27" Type="http://schemas.openxmlformats.org/officeDocument/2006/relationships/hyperlink" Target="https://www.pipechina.com.cn/front/news/3006060.html" TargetMode="External"/><Relationship Id="rId28" Type="http://schemas.openxmlformats.org/officeDocument/2006/relationships/hyperlink" Target="https://www.iter.org/node/20687/iter-and-china-strengthen-cooperation-fusion" TargetMode="External"/><Relationship Id="rId29" Type="http://schemas.openxmlformats.org/officeDocument/2006/relationships/hyperlink" Target="https://www.china5e.com/news/news-1209574-1.html" TargetMode="External"/><Relationship Id="rId30" Type="http://schemas.openxmlformats.org/officeDocument/2006/relationships/hyperlink" Target="https://news.solarbe.com/202609/21/50029478.html" TargetMode="External"/><Relationship Id="rId31" Type="http://schemas.openxmlformats.org/officeDocument/2006/relationships/hyperlink" Target="https://www.cpnn.com.cn/news/yq/202609/t20260921_1916548.html" TargetMode="External"/><Relationship Id="rId32" Type="http://schemas.openxmlformats.org/officeDocument/2006/relationships/hyperlink" Target="https://www.vanguardngr.com/2026/09/irans-guards-threaten-to-hit-new-targets-if-us-attacks/" TargetMode="External"/><Relationship Id="rId33" Type="http://schemas.openxmlformats.org/officeDocument/2006/relationships/hyperlink" Target="https://www.cpnn.com.cn/news/gj/202609/t20260921_1916594.html" TargetMode="External"/><Relationship Id="rId34" Type="http://schemas.openxmlformats.org/officeDocument/2006/relationships/hyperlink" Target="https://theedgemalaysia.com/node/818636" TargetMode="External"/><Relationship Id="rId35" Type="http://schemas.openxmlformats.org/officeDocument/2006/relationships/hyperlink" Target="https://www.aa.com.tr/en/energy/natural-gas/spot-market-natural-gas-prices-for-sunday-sept-20/59745" TargetMode="External"/><Relationship Id="rId36" Type="http://schemas.openxmlformats.org/officeDocument/2006/relationships/hyperlink" Target="https://www.courthousenews.com/articles/renewables-hit-record-in-2025-but-world-must-move-faster-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2026年9月21日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