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信息覆盖时段：2026-10-17 00:00 至 2026-10-18 00:00（不含），Asia/Shanghai。</w:t>
      </w:r>
    </w:p>
    <w:p>
      <w:pPr/>
      <w:r>
        <w:rPr>
          <w:rFonts w:ascii="微软雅黑" w:hAnsi="微软雅黑" w:eastAsia="微软雅黑" w:cs="微软雅黑"/>
        </w:rPr>
        <w:t>统计区间：2026-10-17 至 2026-10-18（结束日不含，北京时间）</w:t>
      </w:r>
    </w:p>
    <w:p>
      <w:pPr>
        <w:ind w:firstLine="420"/>
      </w:pPr>
      <w:r>
        <w:rPr>
          <w:rFonts w:ascii="微软雅黑" w:hAnsi="微软雅黑" w:eastAsia="微软雅黑" w:cs="微软雅黑"/>
        </w:rPr>
        <w:t>资料更新截止：2026-10-18 04:09（北京时间）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伊朗革命卫队称两艘超级油轮在霍尔木兹海峡触雷起火 </w:t>
      </w:r>
      <w:hyperlink w:anchor="source-21839">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1899">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21879">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1848">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布伦特原油自5月以来首次触及110美元，年内涨幅超70% </w:t>
      </w:r>
      <w:hyperlink w:anchor="source-21447">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1791">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21517">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21758">
        <w:r>
          <w:rPr>
            <w:rFonts w:ascii="微软雅黑" w:hAnsi="微软雅黑" w:eastAsia="微软雅黑" w:cs="微软雅黑"/>
            <w:color w:val="087E89"/>
          </w:rPr>
          <w:t>8</w:t>
        </w:r>
      </w:hyperlink>
      <w:r>
        <w:rPr>
          <w:rFonts w:ascii="微软雅黑" w:hAnsi="微软雅黑" w:eastAsia="微软雅黑" w:cs="微软雅黑"/>
        </w:rPr>
      </w:r>
    </w:p>
    <w:p>
      <w:pPr>
        <w:pStyle w:val="ListBullet"/>
      </w:pPr>
      <w:r>
        <w:rPr>
          <w:rFonts w:ascii="微软雅黑" w:hAnsi="微软雅黑" w:eastAsia="微软雅黑" w:cs="微软雅黑"/>
        </w:rPr>
        <w:t xml:space="preserve">中国海油研究院：中国有望率先实现绿色燃料与化石燃料平价 </w:t>
      </w:r>
      <w:hyperlink w:anchor="source-21916">
        <w:r>
          <w:rPr>
            <w:rFonts w:ascii="微软雅黑" w:hAnsi="微软雅黑" w:eastAsia="微软雅黑" w:cs="微软雅黑"/>
            <w:color w:val="087E89"/>
          </w:rPr>
          <w:t>9</w:t>
        </w:r>
      </w:hyperlink>
      <w:r>
        <w:rPr>
          <w:rFonts w:ascii="微软雅黑" w:hAnsi="微软雅黑" w:eastAsia="微软雅黑" w:cs="微软雅黑"/>
        </w:rPr>
      </w:r>
    </w:p>
    <w:p>
      <w:pPr>
        <w:pStyle w:val="ListBullet"/>
      </w:pPr>
      <w:r>
        <w:rPr>
          <w:rFonts w:ascii="微软雅黑" w:hAnsi="微软雅黑" w:eastAsia="微软雅黑" w:cs="微软雅黑"/>
        </w:rPr>
        <w:t xml:space="preserve">光伏制造新规聚焦N型升级 加速产能出清利好通威隆基等头部 </w:t>
      </w:r>
      <w:hyperlink w:anchor="source-21844">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21843">
        <w:r>
          <w:rPr>
            <w:rFonts w:ascii="微软雅黑" w:hAnsi="微软雅黑" w:eastAsia="微软雅黑" w:cs="微软雅黑"/>
            <w:color w:val="087E89"/>
          </w:rPr>
          <w:t>11</w:t>
        </w:r>
      </w:hyperlink>
      <w:r>
        <w:rPr>
          <w:rFonts w:ascii="微软雅黑" w:hAnsi="微软雅黑" w:eastAsia="微软雅黑" w:cs="微软雅黑"/>
        </w:rPr>
      </w:r>
    </w:p>
    <w:p>
      <w:pPr>
        <w:pStyle w:val="ListBullet"/>
      </w:pPr>
      <w:r>
        <w:rPr>
          <w:rFonts w:ascii="微软雅黑" w:hAnsi="微软雅黑" w:eastAsia="微软雅黑" w:cs="微软雅黑"/>
        </w:rPr>
        <w:t xml:space="preserve">生态环境部新设核电建造与运行安全监管两司，核安全监管架构升级 </w:t>
      </w:r>
      <w:hyperlink w:anchor="source-21778">
        <w:r>
          <w:rPr>
            <w:rFonts w:ascii="微软雅黑" w:hAnsi="微软雅黑" w:eastAsia="微软雅黑" w:cs="微软雅黑"/>
            <w:color w:val="087E89"/>
          </w:rPr>
          <w:t>12</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化石甲醇价格</w:t>
            </w:r>
          </w:p>
        </w:tc>
        <w:tc>
          <w:tcPr>
            <w:tcW w:type="dxa" w:w="2268"/>
          </w:tcPr>
          <w:p>
            <w:pPr>
              <w:spacing w:after="40"/>
            </w:pPr>
            <w:r>
              <w:rPr>
                <w:rFonts w:ascii="微软雅黑" w:hAnsi="微软雅黑" w:eastAsia="微软雅黑" w:cs="微软雅黑"/>
              </w:rPr>
              <w:t>约2400元/吨</w:t>
            </w:r>
          </w:p>
        </w:tc>
        <w:tc>
          <w:tcPr>
            <w:tcW w:type="dxa" w:w="2268"/>
          </w:tcPr>
          <w:p>
            <w:pPr>
              <w:spacing w:after="40"/>
            </w:pPr>
            <w:r>
              <w:rPr>
                <w:rFonts w:ascii="微软雅黑" w:hAnsi="微软雅黑" w:eastAsia="微软雅黑" w:cs="微软雅黑"/>
              </w:rPr>
              <w:t>2026-10-14</w:t>
            </w:r>
          </w:p>
        </w:tc>
        <w:tc>
          <w:tcPr>
            <w:tcW w:type="dxa" w:w="2268"/>
          </w:tcPr>
          <w:p>
            <w:pPr>
              <w:spacing w:after="40"/>
            </w:pPr>
            <w:r>
              <w:rPr>
                <w:rFonts w:ascii="微软雅黑" w:hAnsi="微软雅黑" w:eastAsia="微软雅黑" w:cs="微软雅黑"/>
              </w:rPr>
            </w:r>
            <w:hyperlink w:anchor="source-21916">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绿色甲醇成本较化石燃料高出幅度</w:t>
            </w:r>
          </w:p>
        </w:tc>
        <w:tc>
          <w:tcPr>
            <w:tcW w:type="dxa" w:w="2268"/>
          </w:tcPr>
          <w:p>
            <w:pPr>
              <w:spacing w:after="40"/>
            </w:pPr>
            <w:r>
              <w:rPr>
                <w:rFonts w:ascii="微软雅黑" w:hAnsi="微软雅黑" w:eastAsia="微软雅黑" w:cs="微软雅黑"/>
              </w:rPr>
              <w:t>30%-150%</w:t>
            </w:r>
          </w:p>
        </w:tc>
        <w:tc>
          <w:tcPr>
            <w:tcW w:type="dxa" w:w="2268"/>
          </w:tcPr>
          <w:p>
            <w:pPr>
              <w:spacing w:after="40"/>
            </w:pPr>
            <w:r>
              <w:rPr>
                <w:rFonts w:ascii="微软雅黑" w:hAnsi="微软雅黑" w:eastAsia="微软雅黑" w:cs="微软雅黑"/>
              </w:rPr>
              <w:t>2026-10-14</w:t>
            </w:r>
          </w:p>
        </w:tc>
        <w:tc>
          <w:tcPr>
            <w:tcW w:type="dxa" w:w="2268"/>
          </w:tcPr>
          <w:p>
            <w:pPr>
              <w:spacing w:after="40"/>
            </w:pPr>
            <w:r>
              <w:rPr>
                <w:rFonts w:ascii="微软雅黑" w:hAnsi="微软雅黑" w:eastAsia="微软雅黑" w:cs="微软雅黑"/>
              </w:rPr>
            </w:r>
            <w:hyperlink w:anchor="source-21916">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中国光伏新建电池效率门槛</w:t>
            </w:r>
          </w:p>
        </w:tc>
        <w:tc>
          <w:tcPr>
            <w:tcW w:type="dxa" w:w="2268"/>
          </w:tcPr>
          <w:p>
            <w:pPr>
              <w:spacing w:after="40"/>
            </w:pPr>
            <w:r>
              <w:rPr>
                <w:rFonts w:ascii="微软雅黑" w:hAnsi="微软雅黑" w:eastAsia="微软雅黑" w:cs="微软雅黑"/>
              </w:rPr>
              <w:t>26.0%-26.6%</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1844">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21843">
              <w:r>
                <w:rPr>
                  <w:rFonts w:ascii="微软雅黑" w:hAnsi="微软雅黑" w:eastAsia="微软雅黑" w:cs="微软雅黑"/>
                  <w:color w:val="087E89"/>
                </w:rPr>
                <w:t>11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中国光伏新建组件效率门槛</w:t>
            </w:r>
          </w:p>
        </w:tc>
        <w:tc>
          <w:tcPr>
            <w:tcW w:type="dxa" w:w="2268"/>
          </w:tcPr>
          <w:p>
            <w:pPr>
              <w:spacing w:after="40"/>
            </w:pPr>
            <w:r>
              <w:rPr>
                <w:rFonts w:ascii="微软雅黑" w:hAnsi="微软雅黑" w:eastAsia="微软雅黑" w:cs="微软雅黑"/>
              </w:rPr>
              <w:t>24.0%-24.4%</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1844">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21843">
              <w:r>
                <w:rPr>
                  <w:rFonts w:ascii="微软雅黑" w:hAnsi="微软雅黑" w:eastAsia="微软雅黑" w:cs="微软雅黑"/>
                  <w:color w:val="087E89"/>
                </w:rPr>
                <w:t>11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中国新建多晶硅项目综合电耗上限</w:t>
            </w:r>
          </w:p>
        </w:tc>
        <w:tc>
          <w:tcPr>
            <w:tcW w:type="dxa" w:w="2268"/>
          </w:tcPr>
          <w:p>
            <w:pPr>
              <w:spacing w:after="40"/>
            </w:pPr>
            <w:r>
              <w:rPr>
                <w:rFonts w:ascii="微软雅黑" w:hAnsi="微软雅黑" w:eastAsia="微软雅黑" w:cs="微软雅黑"/>
              </w:rPr>
              <w:t>15千瓦时/千克</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1844">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21843">
              <w:r>
                <w:rPr>
                  <w:rFonts w:ascii="微软雅黑" w:hAnsi="微软雅黑" w:eastAsia="微软雅黑" w:cs="微软雅黑"/>
                  <w:color w:val="087E89"/>
                </w:rPr>
                <w:t>11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中国已取得运行许可证的核电机组数量</w:t>
            </w:r>
          </w:p>
        </w:tc>
        <w:tc>
          <w:tcPr>
            <w:tcW w:type="dxa" w:w="2268"/>
          </w:tcPr>
          <w:p>
            <w:pPr>
              <w:spacing w:after="40"/>
            </w:pPr>
            <w:r>
              <w:rPr>
                <w:rFonts w:ascii="微软雅黑" w:hAnsi="微软雅黑" w:eastAsia="微软雅黑" w:cs="微软雅黑"/>
              </w:rPr>
              <w:t>65台</w:t>
            </w:r>
          </w:p>
        </w:tc>
        <w:tc>
          <w:tcPr>
            <w:tcW w:type="dxa" w:w="2268"/>
          </w:tcPr>
          <w:p>
            <w:pPr>
              <w:spacing w:after="40"/>
            </w:pPr>
            <w:r>
              <w:rPr>
                <w:rFonts w:ascii="微软雅黑" w:hAnsi="微软雅黑" w:eastAsia="微软雅黑" w:cs="微软雅黑"/>
              </w:rPr>
              <w:t>2026年8月</w:t>
            </w:r>
          </w:p>
        </w:tc>
        <w:tc>
          <w:tcPr>
            <w:tcW w:type="dxa" w:w="2268"/>
          </w:tcPr>
          <w:p>
            <w:pPr>
              <w:spacing w:after="40"/>
            </w:pPr>
            <w:r>
              <w:rPr>
                <w:rFonts w:ascii="微软雅黑" w:hAnsi="微软雅黑" w:eastAsia="微软雅黑" w:cs="微软雅黑"/>
              </w:rPr>
            </w:r>
            <w:hyperlink w:anchor="source-21778">
              <w:r>
                <w:rPr>
                  <w:rFonts w:ascii="微软雅黑" w:hAnsi="微软雅黑" w:eastAsia="微软雅黑" w:cs="微软雅黑"/>
                  <w:color w:val="087E89"/>
                </w:rPr>
                <w:t>12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中国运行核电机组数量（来源预测）</w:t>
            </w:r>
          </w:p>
        </w:tc>
        <w:tc>
          <w:tcPr>
            <w:tcW w:type="dxa" w:w="2268"/>
          </w:tcPr>
          <w:p>
            <w:pPr>
              <w:spacing w:after="40"/>
            </w:pPr>
            <w:r>
              <w:rPr>
                <w:rFonts w:ascii="微软雅黑" w:hAnsi="微软雅黑" w:eastAsia="微软雅黑" w:cs="微软雅黑"/>
              </w:rPr>
              <w:t>接近100台</w:t>
            </w:r>
          </w:p>
        </w:tc>
        <w:tc>
          <w:tcPr>
            <w:tcW w:type="dxa" w:w="2268"/>
          </w:tcPr>
          <w:p>
            <w:pPr>
              <w:spacing w:after="40"/>
            </w:pPr>
            <w:r>
              <w:rPr>
                <w:rFonts w:ascii="微软雅黑" w:hAnsi="微软雅黑" w:eastAsia="微软雅黑" w:cs="微软雅黑"/>
              </w:rPr>
              <w:t>2030年（预测）</w:t>
            </w:r>
          </w:p>
        </w:tc>
        <w:tc>
          <w:tcPr>
            <w:tcW w:type="dxa" w:w="2268"/>
          </w:tcPr>
          <w:p>
            <w:pPr>
              <w:spacing w:after="40"/>
            </w:pPr>
            <w:r>
              <w:rPr>
                <w:rFonts w:ascii="微软雅黑" w:hAnsi="微软雅黑" w:eastAsia="微软雅黑" w:cs="微软雅黑"/>
              </w:rPr>
            </w:r>
            <w:hyperlink w:anchor="source-21778">
              <w:r>
                <w:rPr>
                  <w:rFonts w:ascii="微软雅黑" w:hAnsi="微软雅黑" w:eastAsia="微软雅黑" w:cs="微软雅黑"/>
                  <w:color w:val="087E89"/>
                </w:rPr>
                <w:t>12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生态环境部核电建造安全监管司和核电运行安全监管司国考招录人数</w:t>
            </w:r>
          </w:p>
        </w:tc>
        <w:tc>
          <w:tcPr>
            <w:tcW w:type="dxa" w:w="2268"/>
          </w:tcPr>
          <w:p>
            <w:pPr>
              <w:spacing w:after="40"/>
            </w:pPr>
            <w:r>
              <w:rPr>
                <w:rFonts w:ascii="微软雅黑" w:hAnsi="微软雅黑" w:eastAsia="微软雅黑" w:cs="微软雅黑"/>
              </w:rPr>
              <w:t>6人</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1778">
              <w:r>
                <w:rPr>
                  <w:rFonts w:ascii="微软雅黑" w:hAnsi="微软雅黑" w:eastAsia="微软雅黑" w:cs="微软雅黑"/>
                  <w:color w:val="087E89"/>
                </w:rPr>
                <w:t>12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法国豁免并网限制的光伏加储能项目最大装机上限</w:t>
            </w:r>
          </w:p>
        </w:tc>
        <w:tc>
          <w:tcPr>
            <w:tcW w:type="dxa" w:w="2268"/>
          </w:tcPr>
          <w:p>
            <w:pPr>
              <w:spacing w:after="40"/>
            </w:pPr>
            <w:r>
              <w:rPr>
                <w:rFonts w:ascii="微软雅黑" w:hAnsi="微软雅黑" w:eastAsia="微软雅黑" w:cs="微软雅黑"/>
              </w:rPr>
              <w:t>25兆瓦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1769">
              <w:r>
                <w:rPr>
                  <w:rFonts w:ascii="微软雅黑" w:hAnsi="微软雅黑" w:eastAsia="微软雅黑" w:cs="微软雅黑"/>
                  <w:color w:val="087E89"/>
                </w:rPr>
                <w:t>13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法国智能用电管理可降低的能源成本上限</w:t>
            </w:r>
          </w:p>
        </w:tc>
        <w:tc>
          <w:tcPr>
            <w:tcW w:type="dxa" w:w="2268"/>
          </w:tcPr>
          <w:p>
            <w:pPr>
              <w:spacing w:after="40"/>
            </w:pPr>
            <w:r>
              <w:rPr>
                <w:rFonts w:ascii="微软雅黑" w:hAnsi="微软雅黑" w:eastAsia="微软雅黑" w:cs="微软雅黑"/>
              </w:rPr>
              <w:t>最多35%</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1769">
              <w:r>
                <w:rPr>
                  <w:rFonts w:ascii="微软雅黑" w:hAnsi="微软雅黑" w:eastAsia="微软雅黑" w:cs="微软雅黑"/>
                  <w:color w:val="087E89"/>
                </w:rPr>
                <w:t>13</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伊朗革命卫队称两艘超级油轮在霍尔木兹海峡触雷起火</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伊朗革命卫队称，10月17日两艘超级油轮先后在霍尔木兹海峡触雷后爆炸起火，并称这些油轮关闭全部导航系统试图通过海峡，声明再次强调海峡已关闭。</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伊朗革命卫队海军17日声明称，一艘及第二艘超级油轮当天在霍尔木兹海峡触雷后发生剧烈爆炸并起火，称其中一艘载有超过200万桶原油，在关闭所有导航和雷达系统后试图在美军支持下通过海峡，并再次强调霍尔木兹海峡已关闭。革命卫队还发布夜间船只燃烧的视频。革命卫队海军指挥官本周早些时候警告，任何关闭导航系统的船只将被视为敌对。此前分析指出近期霍尔木兹海峡商船遇袭频次明显上升、范围扩大，欧亚集团把波斯湾冲突升级概率从35%提高到65%。</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商船频繁遇袭推高油价，美国燃油价格处于高位，可能影响美国即将到来的中期选举；油轮运费创新高、保险费用快速上涨，可能冲击全球供应链与国际贸易。</w:t>
      </w:r>
    </w:p>
    <w:p>
      <w:pPr>
        <w:ind w:firstLine="420"/>
      </w:pPr>
      <w:r>
        <w:rPr>
          <w:rFonts w:ascii="微软雅黑" w:hAnsi="微软雅黑" w:eastAsia="微软雅黑" w:cs="微软雅黑"/>
        </w:rPr>
        <w:t>来源：</w:t>
      </w:r>
      <w:hyperlink w:anchor="source-21839">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1899">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21879">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1848">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2. 特朗普签署行政令暂停对俄能源新制裁及关税</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特朗普签署行政命令，豁免上月签署成法的《格雷厄姆法案》对俄罗斯能源收入的全面制裁和关税，此举源于其与普京达成的以俄柴油出口换取解除制裁的协议。</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特朗普上周五签署行政令，豁免上个月刚签署成法的针对俄罗斯能源收入的全面制裁和关税，行政令表示特此豁免《格雷厄姆法案》规定的制裁、限制措施和关税的适用。该法案针对俄罗斯能源与国防部门、普京总统及其他高级官员，以及用于规避西方制裁的所谓影子油轮船队。特朗普的豁免源于其与普京达成的一项争议性协议：以放宽制裁换取莫斯科向全球市场投放大量柴油。泽连斯基称该决定是在奖励普京、是软弱的决定，协议达成后基辅与华盛顿关系恶化，乌军恢复了对俄炼油厂的攻击。</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泽连斯基警告莫斯科企图让乌克兰陷入大停电；欧洲理事会主席科斯塔表示现在不是解除对俄制裁的时候，而应加大支持和压力。</w:t>
      </w:r>
    </w:p>
    <w:p>
      <w:pPr>
        <w:ind w:firstLine="420"/>
      </w:pPr>
      <w:r>
        <w:rPr>
          <w:rFonts w:ascii="微软雅黑" w:hAnsi="微软雅黑" w:eastAsia="微软雅黑" w:cs="微软雅黑"/>
        </w:rPr>
        <w:t>来源：</w:t>
      </w:r>
      <w:hyperlink w:anchor="source-21929">
        <w:r>
          <w:rPr>
            <w:rFonts w:ascii="微软雅黑" w:hAnsi="微软雅黑" w:eastAsia="微软雅黑" w:cs="微软雅黑"/>
            <w:color w:val="087E89"/>
          </w:rPr>
          <w:t>18</w:t>
        </w:r>
      </w:hyperlink>
      <w:r>
        <w:rPr>
          <w:rFonts w:ascii="微软雅黑" w:hAnsi="微软雅黑" w:eastAsia="微软雅黑" w:cs="微软雅黑"/>
        </w:rPr>
        <w:t xml:space="preserve"> </w:t>
      </w:r>
      <w:hyperlink w:anchor="source-21936">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3. 俄军大规模袭击乌克兰能源设施 多地轮流停电</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泽连斯基称俄军17日对乌能源基础设施发动大规模袭击，超15处重要发电及输电设施受损，多地实施轮流停电；俄方称同时击落数百架乌无人机并打击乌能源设施。</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泽连斯基17日称，俄军12小时内动用超过320架见证者无人机及巡飞弹、巡航导弹和弹道导弹，造成全国超15处重要发电及输电设施受损。俄国防部称16日20时至17日8时共拦截摧毁610架乌无人机，并对克里沃罗格、日托米尔等地冶金、变压器生产及能源设施实施打击，还在黑海击中一艘向敖德萨港运输军用物资的干货船。乌能源部通报，袭击造成文尼察、沃伦、日托米尔和敖德萨等10个州多地供电中断，部分地区已实施轮流停电，抢修仍在进行。</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泽连斯基称俄方试图在冬季来临前破坏乌能源供应、造成大范围停电；联合国人权监测团警告系统性攻击电力和供暖基础设施将给平民造成重大苦难。</w:t>
      </w:r>
    </w:p>
    <w:p>
      <w:pPr>
        <w:ind w:firstLine="420"/>
      </w:pPr>
      <w:r>
        <w:rPr>
          <w:rFonts w:ascii="微软雅黑" w:hAnsi="微软雅黑" w:eastAsia="微软雅黑" w:cs="微软雅黑"/>
        </w:rPr>
        <w:t>来源：</w:t>
      </w:r>
      <w:hyperlink w:anchor="source-21841">
        <w:r>
          <w:rPr>
            <w:rFonts w:ascii="微软雅黑" w:hAnsi="微软雅黑" w:eastAsia="微软雅黑" w:cs="微软雅黑"/>
            <w:color w:val="087E89"/>
          </w:rPr>
          <w:t>28</w:t>
        </w:r>
      </w:hyperlink>
      <w:r>
        <w:rPr>
          <w:rFonts w:ascii="微软雅黑" w:hAnsi="微软雅黑" w:eastAsia="微软雅黑" w:cs="微软雅黑"/>
        </w:rPr>
        <w:t xml:space="preserve"> </w:t>
      </w:r>
      <w:hyperlink w:anchor="source-21755">
        <w:r>
          <w:rPr>
            <w:rFonts w:ascii="微软雅黑" w:hAnsi="微软雅黑" w:eastAsia="微软雅黑" w:cs="微软雅黑"/>
            <w:color w:val="087E89"/>
          </w:rPr>
          <w:t>29</w:t>
        </w:r>
      </w:hyperlink>
      <w:r>
        <w:rPr>
          <w:rFonts w:ascii="微软雅黑" w:hAnsi="微软雅黑" w:eastAsia="微软雅黑" w:cs="微软雅黑"/>
        </w:rPr>
        <w:t xml:space="preserve"> </w:t>
      </w:r>
      <w:hyperlink w:anchor="source-21936">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4. 布伦特原油自5月以来首次触及110美元，年内涨幅超70%</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受中东冲突及俄罗斯能源供应受阻影响，布伦特原油自5月以来首次触及每桶110美元，供应很快得到缓解的期望减弱，交易员在周末前加大对油价上涨的押注。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12月交割的布伦特上涨3.7%，结算价报每桶109.86美元，为近5个月最高；11月交割的WTI上涨3.5%，结算价报每桶101.41美元。布伦特原油今年以来累计上涨逾70%（一说超过75%），欧洲柴油期货年内涨幅超过一倍，涨幅超过原油。周五纽约柴油期货结算价达每加仑4.90美元，柴油和汽油期货处于历年同期最高水平。</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油价居高不下叠加成品油价格升至历年同期最高，加剧市场对原油及成品油供应中断的担忧。</w:t>
      </w:r>
    </w:p>
    <w:p>
      <w:pPr>
        <w:ind w:firstLine="420"/>
      </w:pPr>
      <w:r>
        <w:rPr>
          <w:rFonts w:ascii="微软雅黑" w:hAnsi="微软雅黑" w:eastAsia="微软雅黑" w:cs="微软雅黑"/>
        </w:rPr>
        <w:t>来源：</w:t>
      </w:r>
      <w:hyperlink w:anchor="source-21447">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1791">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21517">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21758">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5. 霍尔木兹海峡商船遇袭升级，美以密商打击伊朗预案</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霍尔木兹海峡附近船只遇袭频次增加、范围扩大，欧亚集团上调波斯湾冲突升级概率，美国与以色列密商打击伊朗预案。</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地缘政治分析机构欧亚集团的分析师将波斯湾地区冲突升级的概率从35%提高到65%。伊朗海军16日称，其监测团队又在霍尔木兹海峡东部水域发现一艘“违规”油轮起火，此前一天同一水域也发现起火油轮，近期海峡船只遇袭频次增加、范围扩大。特朗普15日称，美国可能会再次对伊朗核设施发动打击，包括镐山地下核设施，且不会动用地面部队。以色列安全官员称，对伊朗采取军事行动将是“非常现实的选项”，打击范围须涵盖伊朗基础设施、能源设施、导弹基地及核设施；但美以官员均表示尚未达到需立即军事行动的程度。</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伊朗试图以此扼断经霍尔木兹海峡的原油出口，市场供应担忧推高油价。</w:t>
      </w:r>
    </w:p>
    <w:p>
      <w:pPr>
        <w:ind w:firstLine="420"/>
      </w:pPr>
      <w:r>
        <w:rPr>
          <w:rFonts w:ascii="微软雅黑" w:hAnsi="微软雅黑" w:eastAsia="微软雅黑" w:cs="微软雅黑"/>
        </w:rPr>
        <w:t>来源：</w:t>
      </w:r>
      <w:hyperlink w:anchor="source-21758">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1791">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21668">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6. 俄乌“能源停火”破裂，双方互相打击能源基础设施</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特朗普斡旋的俄乌“能源停火”迅速破裂，俄乌继续互相打击对方能源基础设施，美国议员提出法案试图阻止特朗普与俄罗斯达成的柴油协议。</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俄罗斯国防部15日称，乌克兰当天凌晨对俄梁赞州一家炼油厂发动大规模袭击并引发火灾；特朗普称俄乌达成的“能源停火”未获证实，两党参议员要求撤销与俄罗斯的柴油贸易协议，美国议员周五提出一项法案，试图阻止特朗普与俄罗斯达成的柴油协议。此前俄军使用陆基高精度武器和远程无人机大规模打击基辅、基辅州和哈尔科夫州的通信和能源设施；泽连斯基称俄方一夜使用39枚弹道导弹、120多架攻击型无人机和巡飞弹，造成26处电力设施、4处油气设施受损，至少60万人断电。10月11日特朗普宣布“即刻起俄乌进入能源停火状态”，泽连斯基当天回应称“这对我来说也是个新闻”；这份停火没有监督机制、红线和违约代价，且已是特朗普一个月内第二次宣布能源停火。</w:t>
      </w:r>
    </w:p>
    <w:p>
      <w:pPr>
        <w:ind w:firstLine="420"/>
      </w:pPr>
      <w:r>
        <w:rPr>
          <w:rFonts w:ascii="微软雅黑" w:hAnsi="微软雅黑" w:eastAsia="微软雅黑" w:cs="微软雅黑"/>
        </w:rPr>
        <w:t>来源：</w:t>
      </w:r>
      <w:hyperlink w:anchor="source-21444">
        <w:r>
          <w:rPr>
            <w:rFonts w:ascii="微软雅黑" w:hAnsi="微软雅黑" w:eastAsia="微软雅黑" w:cs="微软雅黑"/>
            <w:color w:val="087E89"/>
          </w:rPr>
          <w:t>27</w:t>
        </w:r>
      </w:hyperlink>
      <w:r>
        <w:rPr>
          <w:rFonts w:ascii="微软雅黑" w:hAnsi="微软雅黑" w:eastAsia="微软雅黑" w:cs="微软雅黑"/>
        </w:rPr>
        <w:t xml:space="preserve"> </w:t>
      </w:r>
      <w:hyperlink w:anchor="source-21758">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1791">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7. 土耳其首座浮式天然气平台“Osman Gazi”启程前往黑海Sakarya气田</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土耳其首座浮式天然气生产平台“Osman Gazi”启程前往黑海Sakarya气田，将在该海域运营20年，并在二期新增10口井以推动产量翻倍。</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土耳其首座浮式天然气生产平台“Osman Gazi”启程前往黑海Sakarya气田，能源部长Bayraktar称这是实现本国天然气产能翻倍的关键一步。该平台将在约170公里外的海域运营20年。Sakarya气田迄今已产气72.3亿立方米，一期12口井完工，日产量950万立方米。Osman Gazi将在二期新增10口井，使产量翻倍。</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日产能预计2027年达2000万立方米，可使国产气供应家庭从目前的400万户增至800万户。</w:t>
      </w:r>
    </w:p>
    <w:p>
      <w:pPr>
        <w:ind w:firstLine="420"/>
      </w:pPr>
      <w:r>
        <w:rPr>
          <w:rFonts w:ascii="微软雅黑" w:hAnsi="微软雅黑" w:eastAsia="微软雅黑" w:cs="微软雅黑"/>
        </w:rPr>
        <w:t>来源：</w:t>
      </w:r>
      <w:hyperlink w:anchor="source-21868">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8. 中国石油国际即将在新加坡开展首次LNG船舶加注作业</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中国石油国际预计于2026年10月15日在新加坡首次为船舶开展LNG加注作业；新加坡海事及港务管理局（MPA）同期宣布扩大LNG船用燃料供应许可并推进液化生物甲烷研究。</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据越南驻新加坡商务处，PetroChina International（中国石油国际）预计于2026年10月15日首次在新加坡为船舶开展LNG加注作业，该企业已获准供应LNG作为船用燃料，同时持有向船舶供应甲醇的许可，并正在完成购买甲醇加注船。2026年7月30日，MPA宣布向LNG船用燃料供应商新发八张许可证，有效期自2026年9月1日至2031年8月31日，名单包括PetroChina International (Singapore)。此外，MPA、CMA CGM与新加坡LNG公司（SLNG）达成合作，研究将液化生物甲烷用作船用燃料的供应与使用，包括利用现有天然气基础设施和来源认证机制。</w:t>
      </w:r>
    </w:p>
    <w:p>
      <w:pPr>
        <w:ind w:firstLine="420"/>
      </w:pPr>
      <w:r>
        <w:rPr>
          <w:rFonts w:ascii="微软雅黑" w:hAnsi="微软雅黑" w:eastAsia="微软雅黑" w:cs="微软雅黑"/>
        </w:rPr>
        <w:t>来源：</w:t>
      </w:r>
      <w:hyperlink w:anchor="source-21772">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9. 法国拟2026年底前放宽最高25兆瓦光伏加储能项目并网规则</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法国政府计划在2026年底前放宽光伏加储能项目的电网接入规则，允许装机不超过25兆瓦的项目在满足注入功率约束下豁免现行并网限制。</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法国政府计划在2026年底前，允许装机不超过25兆瓦的光伏加储能项目，在最大注入功率不超过17兆瓦的前提下，豁免现行17兆瓦并网限制。政府同时估计，通过智能管理供暖、生活热水和电动汽车充电，相关能源成本最多可降低35%。法国能源监管委员会CRE提出鼓励在高光伏出力时段用电，相关新型供电产品正通过EDF OA测试以推向商业化。</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更高装机的光伏加储能项目有望在满足注入功率约束下接入电网，并配合智能用电管理降低能源成本。</w:t>
      </w:r>
    </w:p>
    <w:p>
      <w:pPr>
        <w:ind w:firstLine="420"/>
      </w:pPr>
      <w:r>
        <w:rPr>
          <w:rFonts w:ascii="微软雅黑" w:hAnsi="微软雅黑" w:eastAsia="微软雅黑" w:cs="微软雅黑"/>
        </w:rPr>
        <w:t>来源：</w:t>
      </w:r>
      <w:hyperlink w:anchor="source-21769">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10. 晶科能源发布基于TAC技术的飞虎5别墅住宅组件</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晶科能源发布基于全新TAC“坦克”技术的飞虎5组件（Tiger Neo 5.0），面向别墅住宅场景，最高功率达510瓦。</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晶科能源发布基于全新TAC“坦克”技术的飞虎5组件（Tiger Neo 5.0），面向别墅住宅场景。首批全黑48片组件最高功率510瓦，组件效率25.52%，温度系数低至-0.24%。TAC技术结合TOPCon载流子传输与HJT低温工艺及正极钝化，将电池最高效率推升至28%，并借零间距、隐藏汇流条技术实现组件效率25.52%。该产品比常规背栅产品高出约30W功率，温系更低，外观更深邃。TOPCon及基于其的优化产品全球安装量超过700GW，为安装量最大、实证数据最多的一代平台技术。晶科科研团队迈向AI驱动科研发现，为技术路线选择和工艺改进提供依据。</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TAC技术将电池最高效率推升至28%，较常规背栅产品高出约30W功率，为TOPCon平台（全球安装量超过700GW）的升级方向。</w:t>
      </w:r>
    </w:p>
    <w:p>
      <w:pPr>
        <w:ind w:firstLine="420"/>
      </w:pPr>
      <w:r>
        <w:rPr>
          <w:rFonts w:ascii="微软雅黑" w:hAnsi="微软雅黑" w:eastAsia="微软雅黑" w:cs="微软雅黑"/>
        </w:rPr>
        <w:t>来源：</w:t>
      </w:r>
      <w:hyperlink w:anchor="source-21745">
        <w:r>
          <w:rPr>
            <w:rFonts w:ascii="微软雅黑" w:hAnsi="微软雅黑" w:eastAsia="微软雅黑" w:cs="微软雅黑"/>
            <w:color w:val="087E89"/>
          </w:rPr>
          <w:t>25</w:t>
        </w:r>
      </w:hyperlink>
      <w:r>
        <w:rPr>
          <w:rFonts w:ascii="微软雅黑" w:hAnsi="微软雅黑" w:eastAsia="微软雅黑" w:cs="微软雅黑"/>
        </w:rPr>
      </w:r>
    </w:p>
    <w:p>
      <w:pPr>
        <w:pStyle w:val="Heading3"/>
      </w:pPr>
      <w:r>
        <w:rPr>
          <w:rFonts w:ascii="微软雅黑" w:hAnsi="微软雅黑" w:eastAsia="微软雅黑" w:cs="微软雅黑"/>
        </w:rPr>
        <w:t>11. 光伏制造新规聚焦N型升级 加速产能出清利好通威隆基等头部</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工信部发布《光伏制造行业规范条件(2026年本)》征求意见稿，以“技术+绿色+自律”三重标准重构行业准入逻辑，聚焦N型技术路线并收紧能耗水耗指标，加速落后产能出清。</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新规全面删除P型及多晶技术条目，聚焦N型TOPCon、HJT、xBC三条路线，并首次纳入叠层、钙钛矿等前沿技术指标。能耗水耗大幅收紧：新建多晶硅综合电耗低至15千瓦时/千克，水耗限额压至30立方米/吨。研报认为新规以N型实绩效率、全生命周期可靠性（如环境应力衰减率≤8.6%）和供应链信用为标尺，抬高扩产成本与合规门槛；自律机制首次成为进入规范公告名单的实质性参考和准入硬条件。</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政策将加速中小及老旧P型产能退出，尤其冲击无N型量产能力的二线厂商；通威、爱旭、隆基等已规模化落地N型xBC或TOPCon的企业，其技术储备与成本控制优势有望转化为市占率提升和盈利修复弹性。在装机需求阶段性承压背景下，政策驱动的结构性出清打开龙头集中度提升与估值修复空间。</w:t>
      </w:r>
    </w:p>
    <w:p>
      <w:pPr>
        <w:ind w:firstLine="420"/>
      </w:pPr>
      <w:r>
        <w:rPr>
          <w:rFonts w:ascii="微软雅黑" w:hAnsi="微软雅黑" w:eastAsia="微软雅黑" w:cs="微软雅黑"/>
        </w:rPr>
        <w:t>来源：</w:t>
      </w:r>
      <w:hyperlink w:anchor="source-21844">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21843">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12. 巴西限电新规难振集中式太阳能投资 开发商大量弃置项目</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巴西新出台的限电规则被行业人士认为不太可能重振集中式太阳能投资；据ABsolar研究，2026年开发商已大规模放弃授权太阳能项目。</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据ABsolar研究，2026年开发商在巴西放弃授权的太阳能项目达923个，涉及超过40.6 GW容量和1340亿雷亚尔（263亿美元）的投资损失。Watt Capital创始合伙人Eduardo Tobias表示，仅靠新规则不太可能引发大规模新绿地风电和光伏项目投资潮。巴西国家电力系统运营商（ONS）正在制定针对分布式发电的管控计划。</w:t>
      </w:r>
    </w:p>
    <w:p>
      <w:pPr>
        <w:ind w:firstLine="420"/>
      </w:pPr>
      <w:r>
        <w:rPr>
          <w:rFonts w:ascii="微软雅黑" w:hAnsi="微软雅黑" w:eastAsia="微软雅黑" w:cs="微软雅黑"/>
        </w:rPr>
        <w:t>来源：</w:t>
      </w:r>
      <w:hyperlink w:anchor="source-21767">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13. 中国海油研究院：中国有望率先实现绿色燃料与化石燃料平价</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10月14日，中国海油集团能源经济研究院院长王震在清华大学与壳牌中国联合举行的论坛上判断，中国有望成为全球成本最低、最早实现绿色燃料与化石燃料平价的国家。</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14日，中国海油集团能源经济研究院院长王震在清华大学与壳牌中国联合举行的论坛上作出上述判断。王震指出经济性是首要约束：当前化石甲醇价格约2400元/吨，电制、生物质路线的绿色甲醇成本较化石燃料高出30%-150%。9月29日交通运输部等三部门印发《内河新能源船舶推广应用行动方案（2026—2030年）》，提出到2028年内河新能源船舶保有量较2025年翻倍，其中甲醇动力船舶突破100艘，长江干线甲醇加注服务全线贯通。</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交通运输部等三部门方案提出到2028年内河新能源船舶保有量较2025年翻倍，甲醇动力船舶突破100艘，长江干线甲醇加注服务全线贯通。</w:t>
      </w:r>
    </w:p>
    <w:p>
      <w:pPr>
        <w:ind w:firstLine="420"/>
      </w:pPr>
      <w:r>
        <w:rPr>
          <w:rFonts w:ascii="微软雅黑" w:hAnsi="微软雅黑" w:eastAsia="微软雅黑" w:cs="微软雅黑"/>
        </w:rPr>
        <w:t>来源：</w:t>
      </w:r>
      <w:hyperlink w:anchor="source-21916">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14. 新加坡完成全球单次最大规模约5000公吨生物乙醇加注作业</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马士基、Golden Island与新加坡PSA在巴西班让码头完成新加坡首次乙醇加注作业，新加坡海事及港务管理局（MPA）提供支持，加注量创全球单次作业最大纪录。</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马士基、Golden Island与新加坡PSA在巴西班让码头完成加注，新加坡海事及港务管理局（MPA）提供支持。新加坡注册的双燃料集装箱船Maersk Halifax由Golden Island的新加坡注册IMO II型化学品船Golden Centaurus加注约5000公吨经ISCC认证的生物乙醇，为迄今全球单次作业加注乙醇量的最大纪录。作业与装卸货同步进行（SIMOPS），采用质量流量计（MFM）计量。事前各方开展HAZID/HAZOP研讨会，MPA借鉴甲醇加注经验，确保船员接受燃料操作及应急响应培训。</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该作业将为评估新加坡现有甲醇加注技术规范TR 129如何适配乙醇加注提供数据和学习要点。</w:t>
      </w:r>
    </w:p>
    <w:p>
      <w:pPr>
        <w:ind w:firstLine="420"/>
      </w:pPr>
      <w:r>
        <w:rPr>
          <w:rFonts w:ascii="微软雅黑" w:hAnsi="微软雅黑" w:eastAsia="微软雅黑" w:cs="微软雅黑"/>
        </w:rPr>
        <w:t>来源：</w:t>
      </w:r>
      <w:hyperlink w:anchor="source-21710">
        <w:r>
          <w:rPr>
            <w:rFonts w:ascii="微软雅黑" w:hAnsi="微软雅黑" w:eastAsia="微软雅黑" w:cs="微软雅黑"/>
            <w:color w:val="087E89"/>
          </w:rPr>
          <w:t>21</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15. 生态环境部新设核电建造与运行安全监管两司，核安全监管架构升级</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生态环境部新设核电建造安全监管司和核电运行安全监管司，两个新司列入国考招考职位信息，标志着核安全监管架构完成重要升级，以适应我国核电快速发展的监管需求。</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生态环境部发布的国考招考职位信息中，核电建造安全监管司和核电运行安全监管司两个新司在列，核安全监管架构完成重要升级。2026年8月，生态环境部副部长、国家核安全局局长董保同表示，我国已取得运行许可证的核电机组达65台，到2030年接近100台，届时运行机组数量将跃居世界第一。国际原子能机构2025年来华开展核与辐射安全监管综合评估时，评估团队负责人福伊表示，在中国核电快速发展背景下，未来数年需要大幅扩充监管人员规模。今年国考中生态环境部共招录13人，其中两个新司合计招录6人，接近机关招录总数的一半。建造阶段监管重在施工质量和设备制造的源头把控；运行阶段强调日常监督、经验反馈和安全文化培育，二者按核设施生命周期阶段专业化分工。</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核安全监管架构按核设施生命周期阶段实现专业化分工，回应了国际原子能机构评估团队关于未来数年需大幅扩充监管人员的建议。</w:t>
      </w:r>
    </w:p>
    <w:p>
      <w:pPr>
        <w:ind w:firstLine="420"/>
      </w:pPr>
      <w:r>
        <w:rPr>
          <w:rFonts w:ascii="微软雅黑" w:hAnsi="微软雅黑" w:eastAsia="微软雅黑" w:cs="微软雅黑"/>
        </w:rPr>
        <w:t>来源：</w:t>
      </w:r>
      <w:hyperlink w:anchor="source-21778">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16. 中国新能源车渗透率升至67%，石油需求峰值预计2027年提前到来</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2026年9月，燃油车在中国市场销售占比首次跌破三分之一，新能源车整体渗透率攀升至67%的新高，中国新能源汽车替代效应加速推动石油需求峰值提前。</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2026年9月，燃油车在中国市场销售占比首次跌破三分之一，新能源车整体渗透率攀升至67%的新高。美以伊战事导致霍尔木兹海峡通航受阻后，中国在今年3月至7月间日均减少原油进口数百万桶，大幅对冲全球供应缺口。国际能源署数据显示，2026年二季度，仅新能源汽车就给中国带来相当于日均150万桶原油的能源消费替代，约等于法国单日石油消费总量。国际能源署预计，中国石油需求将在2027年达到峰值，比此前预测提前约两年。根据“十五五”规划，到2030年非化石能源发电量占比将达50%，风电和太阳能发电装机比重超过50%。国际能源署预测，全球数据中心年耗电量将从2024年的约415太瓦时增至2030年的约945太瓦时。</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国际能源署预计中国石油需求将在2027年达到峰值，比此前预测提前约两年；中国减少原油进口大幅对冲了霍尔木兹海峡通航受阻造成的全球供应缺口。</w:t>
      </w:r>
    </w:p>
    <w:p>
      <w:pPr>
        <w:ind w:firstLine="420"/>
      </w:pPr>
      <w:r>
        <w:rPr>
          <w:rFonts w:ascii="微软雅黑" w:hAnsi="微软雅黑" w:eastAsia="微软雅黑" w:cs="微软雅黑"/>
        </w:rPr>
        <w:t>来源：</w:t>
      </w:r>
      <w:hyperlink w:anchor="source-21729">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17. 前三季度动力电池装车量576.3GWh，同比增长16.7%</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前三季度我国动力电池累计装车量达576.3GWh，同比增长16.7%；9月装车量87.2GWh，环比增长10.4%，同比增长14.7%。</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9月国内动力电池装车量为87.2GWh，环比增长10.4%，同比增长14.7%。前三季度累计装车量达576.3GWh，同比增长16.7%，纯电动货车和纯电动专用车带动作用明显。前三季度动力和储能电池累计出口302.9GWh，同比增长51.6%，动力电池出口增速高于储能电池。前三季度动力和储能电池的产量、销量均已超过2025年全年产销总量。</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业内人士指出，行业产能利用率呈两极分化、产业链利润分配不平衡。具备高压实密度、高快充性能的高端正极材料将维持紧缺溢价，低端过剩产能加速出清。</w:t>
      </w:r>
    </w:p>
    <w:p>
      <w:pPr>
        <w:ind w:firstLine="420"/>
      </w:pPr>
      <w:r>
        <w:rPr>
          <w:rFonts w:ascii="微软雅黑" w:hAnsi="微软雅黑" w:eastAsia="微软雅黑" w:cs="微软雅黑"/>
        </w:rPr>
        <w:t>来源：</w:t>
      </w:r>
      <w:hyperlink w:anchor="source-21480">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18. 晶科能源前三季度预亏最高35.76亿元，同比减亏</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晶科能源10月16日公告，预计2026年前三季度归母净利润为净亏损29.76亿元-35.76亿元，同比减亏，储能业务开始贡献经营利润；永太科技前三季度净利润大增。</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晶科能源预计2026年前三季度归母净利润为净亏损29.76亿元-35.76亿元，去年同期净亏损超过39亿元，整体同比减亏，储能业务开始贡献经营利润。江苏电力交易中心印发《2027年江苏电力零售市场交易工作指引》，取消固定价格电量比例、现货市场价格联动电量比例、比例分成方式等，推进电能量价格传导批发市场价格。永太科技前三季度营业收入60.74亿元，同比增长50.79%，净利润4.30亿元，同比增长1221.81%，主因锂电类销售大幅增长。</w:t>
      </w:r>
    </w:p>
    <w:p>
      <w:pPr>
        <w:ind w:firstLine="420"/>
      </w:pPr>
      <w:r>
        <w:rPr>
          <w:rFonts w:ascii="微软雅黑" w:hAnsi="微软雅黑" w:eastAsia="微软雅黑" w:cs="微软雅黑"/>
        </w:rPr>
        <w:t>来源：</w:t>
      </w:r>
      <w:hyperlink w:anchor="source-21917">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19. 中国清洁能源装备供给能力持续跃升，核电水电风电产量大幅增长</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在2026世界清洁能源装备大会上，中国机械工业联合会会长徐念沙表示，中国清洁能源装备供给能力持续跃升，今年上半年核发电机组、水轮发电机组、风力发电机组产量同比分别增长92.0%、51.9%、11.5%。</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截至2025年底，全国累计发电装机容量38.9亿千瓦；2025年全年能源消费总量约61.7亿吨标准煤，均居世界第一。今年上半年变压器、电气控制装置、光伏产品出口额同比分别增长26.8%、23.5%、18.5%，清洁能源装备出口覆盖200多个国家和地区。徐念沙指出，今年是“十五五”开局之年，产业正处在转型升级关键阶段，必须以科技创新引领产业创新。</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我国水电、风电、光伏发电、生物质发电装机规模连续多年稳居世界首位，清洁能源装备出口覆盖面持续扩大。</w:t>
      </w:r>
    </w:p>
    <w:p>
      <w:pPr>
        <w:ind w:firstLine="420"/>
      </w:pPr>
      <w:r>
        <w:rPr>
          <w:rFonts w:ascii="微软雅黑" w:hAnsi="微软雅黑" w:eastAsia="微软雅黑" w:cs="微软雅黑"/>
        </w:rPr>
        <w:t>来源：</w:t>
      </w:r>
      <w:hyperlink w:anchor="source-21304">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20. 光伏组件能效新规2027年实施前，头部厂商PERC组件已退出央企大单竞争</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强制性国家标准《晶体硅光伏组件和逆变器能效限定值及能效等级》（GB47834-2026）将于2027年1月1日起实施，实施前已有组件厂商调整投标策略，部分产品交期延长。</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标准由国家市场监督管理总局、国家标准化管理委员会于2026年6月27日发布，将于2027年1月1日起实施。9月2日，中国华电发布第二批光伏组件框架招标公告，预估采购规模为5吉瓦，组件转换效率须不低于23.2%。在标准实施前，一家头部组件厂商已将老款PERC组件撤出国内央企投标。部分供应商给出的现货交期比二季度长两至四周，一些工厂优先保障国内订单和长期协议订单。</w:t>
      </w:r>
    </w:p>
    <w:p>
      <w:pPr>
        <w:ind w:firstLine="420"/>
      </w:pPr>
      <w:r>
        <w:rPr>
          <w:rFonts w:ascii="微软雅黑" w:hAnsi="微软雅黑" w:eastAsia="微软雅黑" w:cs="微软雅黑"/>
        </w:rPr>
        <w:t>来源：</w:t>
      </w:r>
      <w:hyperlink w:anchor="source-21731">
        <w:r>
          <w:rPr>
            <w:rFonts w:ascii="微软雅黑" w:hAnsi="微软雅黑" w:eastAsia="微软雅黑" w:cs="微软雅黑"/>
            <w:color w:val="087E89"/>
          </w:rPr>
          <w:t>26</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波斯湾冲突走向及俄乌对能源基础设施打击的持续性。 </w:t>
      </w:r>
      <w:hyperlink w:anchor="source-21447">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1791">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21517">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21758">
        <w:r>
          <w:rPr>
            <w:rFonts w:ascii="微软雅黑" w:hAnsi="微软雅黑" w:eastAsia="微软雅黑" w:cs="微软雅黑"/>
            <w:color w:val="087E89"/>
          </w:rPr>
          <w:t>8</w:t>
        </w:r>
      </w:hyperlink>
      <w:r>
        <w:rPr>
          <w:rFonts w:ascii="微软雅黑" w:hAnsi="微软雅黑" w:eastAsia="微软雅黑" w:cs="微软雅黑"/>
        </w:rPr>
      </w:r>
    </w:p>
    <w:p>
      <w:pPr>
        <w:pStyle w:val="ListBullet"/>
      </w:pPr>
      <w:r>
        <w:rPr>
          <w:rFonts w:ascii="微软雅黑" w:hAnsi="微软雅黑" w:eastAsia="微软雅黑" w:cs="微软雅黑"/>
        </w:rPr>
        <w:t xml:space="preserve">绿色甲醇较化石燃料成本高出30%-150%，经济性仍是首要约束，平价时点尚不确定。 </w:t>
      </w:r>
      <w:hyperlink w:anchor="source-21916">
        <w:r>
          <w:rPr>
            <w:rFonts w:ascii="微软雅黑" w:hAnsi="微软雅黑" w:eastAsia="微软雅黑" w:cs="微软雅黑"/>
            <w:color w:val="087E89"/>
          </w:rPr>
          <w:t>9</w:t>
        </w:r>
      </w:hyperlink>
      <w:r>
        <w:rPr>
          <w:rFonts w:ascii="微软雅黑" w:hAnsi="微软雅黑" w:eastAsia="微软雅黑" w:cs="微软雅黑"/>
        </w:rPr>
      </w:r>
    </w:p>
    <w:p>
      <w:pPr>
        <w:pStyle w:val="ListBullet"/>
      </w:pPr>
      <w:r>
        <w:rPr>
          <w:rFonts w:ascii="微软雅黑" w:hAnsi="微软雅黑" w:eastAsia="微软雅黑" w:cs="微软雅黑"/>
        </w:rPr>
        <w:t xml:space="preserve">征求意见稿尚处意见征集阶段，最终条款及实施安排有待确定。 </w:t>
      </w:r>
      <w:hyperlink w:anchor="source-21844">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21843">
        <w:r>
          <w:rPr>
            <w:rFonts w:ascii="微软雅黑" w:hAnsi="微软雅黑" w:eastAsia="微软雅黑" w:cs="微软雅黑"/>
            <w:color w:val="087E89"/>
          </w:rPr>
          <w:t>11</w:t>
        </w:r>
      </w:hyperlink>
      <w:r>
        <w:rPr>
          <w:rFonts w:ascii="微软雅黑" w:hAnsi="微软雅黑" w:eastAsia="微软雅黑" w:cs="微软雅黑"/>
        </w:rPr>
      </w:r>
    </w:p>
    <w:p>
      <w:pPr>
        <w:pStyle w:val="ListBullet"/>
      </w:pPr>
      <w:r>
        <w:rPr>
          <w:rFonts w:ascii="微软雅黑" w:hAnsi="微软雅黑" w:eastAsia="微软雅黑" w:cs="微软雅黑"/>
        </w:rPr>
        <w:t xml:space="preserve">到2030年运行机组接近100台并跃居世界第一的目标有待实现；监管人员规模仍需按国际原子能机构评估建议进一步扩充。 </w:t>
      </w:r>
      <w:hyperlink w:anchor="source-21778">
        <w:r>
          <w:rPr>
            <w:rFonts w:ascii="微软雅黑" w:hAnsi="微软雅黑" w:eastAsia="微软雅黑" w:cs="微软雅黑"/>
            <w:color w:val="087E89"/>
          </w:rPr>
          <w:t>12</w:t>
        </w:r>
      </w:hyperlink>
      <w:r>
        <w:rPr>
          <w:rFonts w:ascii="微软雅黑" w:hAnsi="微软雅黑" w:eastAsia="微软雅黑" w:cs="微软雅黑"/>
        </w:rPr>
      </w:r>
    </w:p>
    <w:p>
      <w:pPr>
        <w:pStyle w:val="ListBullet"/>
      </w:pPr>
      <w:r>
        <w:rPr>
          <w:rFonts w:ascii="微软雅黑" w:hAnsi="微软雅黑" w:eastAsia="微软雅黑" w:cs="微软雅黑"/>
        </w:rPr>
        <w:t xml:space="preserve">该规则为政府计划，尚待在2026年底前落实；新型供电产品仍处于EDF OA测试阶段。 </w:t>
      </w:r>
      <w:hyperlink w:anchor="source-21769">
        <w:r>
          <w:rPr>
            <w:rFonts w:ascii="微软雅黑" w:hAnsi="微软雅黑" w:eastAsia="微软雅黑" w:cs="微软雅黑"/>
            <w:color w:val="087E89"/>
          </w:rPr>
          <w:t>13</w:t>
        </w:r>
      </w:hyperlink>
      <w:r>
        <w:rPr>
          <w:rFonts w:ascii="微软雅黑" w:hAnsi="微软雅黑" w:eastAsia="微软雅黑" w:cs="微软雅黑"/>
        </w:rPr>
      </w:r>
    </w:p>
    <w:p>
      <w:pPr>
        <w:pStyle w:val="ListBullet"/>
      </w:pPr>
      <w:r>
        <w:rPr>
          <w:rFonts w:ascii="微软雅黑" w:hAnsi="微软雅黑" w:eastAsia="微软雅黑" w:cs="微软雅黑"/>
        </w:rPr>
        <w:t xml:space="preserve">碳酸锂定价越来越受远期供应预期影响。 </w:t>
      </w:r>
      <w:hyperlink w:anchor="source-21480">
        <w:r>
          <w:rPr>
            <w:rFonts w:ascii="微软雅黑" w:hAnsi="微软雅黑" w:eastAsia="微软雅黑" w:cs="微软雅黑"/>
            <w:color w:val="087E89"/>
          </w:rPr>
          <w:t>14</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108 篇文章，形成 108 篇有效能源材料；正文引用 29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pStyle w:val="Heading2"/>
      </w:pPr>
      <w:r>
        <w:rPr>
          <w:rFonts w:ascii="微软雅黑" w:hAnsi="微软雅黑" w:eastAsia="微软雅黑" w:cs="微软雅黑"/>
        </w:rPr>
        <w:t>资料来源</w:t>
      </w:r>
    </w:p>
    <w:p>
      <w:pPr>
        <w:spacing w:after="0" w:line="20" w:lineRule="exact"/>
      </w:pPr>
      <w:bookmarkStart w:id="1" w:name="source-21839"/>
      <w:bookmarkEnd w:id="1" w:name="source-21839"/>
    </w:p>
    <w:p>
      <w:pPr>
        <w:pStyle w:val="ListBullet"/>
      </w:pPr>
      <w:r>
        <w:rPr>
          <w:rFonts w:ascii="微软雅黑" w:hAnsi="微软雅黑" w:eastAsia="微软雅黑" w:cs="微软雅黑"/>
        </w:rPr>
        <w:t>[1] 人民财讯等｜</w:t>
      </w:r>
      <w:hyperlink r:id="rId11">
        <w:r>
          <w:rPr>
            <w:rFonts w:ascii="微软雅黑" w:hAnsi="微软雅黑" w:eastAsia="微软雅黑" w:cs="微软雅黑"/>
            <w:color w:val="087E89"/>
          </w:rPr>
          <w:t>伊朗革命卫队：又一超级油轮在霍尔木兹海峡触雷起火</w:t>
        </w:r>
      </w:hyperlink>
      <w:r>
        <w:rPr>
          <w:rFonts w:ascii="微软雅黑" w:hAnsi="微软雅黑" w:eastAsia="微软雅黑" w:cs="微软雅黑"/>
        </w:rPr>
      </w:r>
    </w:p>
    <w:p>
      <w:pPr>
        <w:spacing w:after="0" w:line="20" w:lineRule="exact"/>
      </w:pPr>
      <w:bookmarkStart w:id="2" w:name="source-21899"/>
      <w:bookmarkEnd w:id="2" w:name="source-21899"/>
    </w:p>
    <w:p>
      <w:pPr>
        <w:pStyle w:val="ListBullet"/>
      </w:pPr>
      <w:r>
        <w:rPr>
          <w:rFonts w:ascii="微软雅黑" w:hAnsi="微软雅黑" w:eastAsia="微软雅黑" w:cs="微软雅黑"/>
        </w:rPr>
        <w:t>[2] 新华社国际要闻（战略与能源）｜</w:t>
      </w:r>
      <w:hyperlink r:id="rId12">
        <w:r>
          <w:rPr>
            <w:rFonts w:ascii="微软雅黑" w:hAnsi="微软雅黑" w:eastAsia="微软雅黑" w:cs="微软雅黑"/>
            <w:color w:val="087E89"/>
          </w:rPr>
          <w:t>伊朗革命卫队：又一超级油轮在霍尔木兹海峡触雷起火</w:t>
        </w:r>
      </w:hyperlink>
      <w:r>
        <w:rPr>
          <w:rFonts w:ascii="微软雅黑" w:hAnsi="微软雅黑" w:eastAsia="微软雅黑" w:cs="微软雅黑"/>
        </w:rPr>
      </w:r>
    </w:p>
    <w:p>
      <w:pPr>
        <w:spacing w:after="0" w:line="20" w:lineRule="exact"/>
      </w:pPr>
      <w:bookmarkStart w:id="3" w:name="source-21879"/>
      <w:bookmarkEnd w:id="3" w:name="source-21879"/>
    </w:p>
    <w:p>
      <w:pPr>
        <w:pStyle w:val="ListBullet"/>
      </w:pPr>
      <w:r>
        <w:rPr>
          <w:rFonts w:ascii="微软雅黑" w:hAnsi="微软雅黑" w:eastAsia="微软雅黑" w:cs="微软雅黑"/>
        </w:rPr>
        <w:t>[3] Vanguard News｜</w:t>
      </w:r>
      <w:hyperlink r:id="rId13">
        <w:r>
          <w:rPr>
            <w:rFonts w:ascii="微软雅黑" w:hAnsi="微软雅黑" w:eastAsia="微软雅黑" w:cs="微软雅黑"/>
            <w:color w:val="087E89"/>
          </w:rPr>
          <w:t>油轮在霍尔木兹海峡触雷后起火——伊朗革命卫队</w:t>
        </w:r>
      </w:hyperlink>
      <w:r>
        <w:rPr>
          <w:rFonts w:ascii="微软雅黑" w:hAnsi="微软雅黑" w:eastAsia="微软雅黑" w:cs="微软雅黑"/>
        </w:rPr>
      </w:r>
    </w:p>
    <w:p>
      <w:pPr>
        <w:spacing w:after="0" w:line="20" w:lineRule="exact"/>
      </w:pPr>
      <w:bookmarkStart w:id="4" w:name="source-21848"/>
      <w:bookmarkEnd w:id="4" w:name="source-21848"/>
    </w:p>
    <w:p>
      <w:pPr>
        <w:pStyle w:val="ListBullet"/>
      </w:pPr>
      <w:r>
        <w:rPr>
          <w:rFonts w:ascii="微软雅黑" w:hAnsi="微软雅黑" w:eastAsia="微软雅黑" w:cs="微软雅黑"/>
        </w:rPr>
        <w:t>[4] 新浪财经｜</w:t>
      </w:r>
      <w:hyperlink r:id="rId14">
        <w:r>
          <w:rPr>
            <w:rFonts w:ascii="微软雅黑" w:hAnsi="微软雅黑" w:eastAsia="微软雅黑" w:cs="微软雅黑"/>
            <w:color w:val="087E89"/>
          </w:rPr>
          <w:t>刚刚，集体跳水！霍尔木兹海峡，大消息！</w:t>
        </w:r>
      </w:hyperlink>
      <w:r>
        <w:rPr>
          <w:rFonts w:ascii="微软雅黑" w:hAnsi="微软雅黑" w:eastAsia="微软雅黑" w:cs="微软雅黑"/>
        </w:rPr>
      </w:r>
    </w:p>
    <w:p>
      <w:pPr>
        <w:spacing w:after="0" w:line="20" w:lineRule="exact"/>
      </w:pPr>
      <w:bookmarkStart w:id="5" w:name="source-21447"/>
      <w:bookmarkEnd w:id="5" w:name="source-21447"/>
    </w:p>
    <w:p>
      <w:pPr>
        <w:pStyle w:val="ListBullet"/>
      </w:pPr>
      <w:r>
        <w:rPr>
          <w:rFonts w:ascii="微软雅黑" w:hAnsi="微软雅黑" w:eastAsia="微软雅黑" w:cs="微软雅黑"/>
        </w:rPr>
        <w:t>[5] 新浪财经｜</w:t>
      </w:r>
      <w:hyperlink r:id="rId15">
        <w:r>
          <w:rPr>
            <w:rFonts w:ascii="微软雅黑" w:hAnsi="微软雅黑" w:eastAsia="微软雅黑" w:cs="微软雅黑"/>
            <w:color w:val="087E89"/>
          </w:rPr>
          <w:t>原油：布伦特自5月以来首次触及110美元 供应缓解前景黯淡</w:t>
        </w:r>
      </w:hyperlink>
      <w:r>
        <w:rPr>
          <w:rFonts w:ascii="微软雅黑" w:hAnsi="微软雅黑" w:eastAsia="微软雅黑" w:cs="微软雅黑"/>
        </w:rPr>
      </w:r>
    </w:p>
    <w:p>
      <w:pPr>
        <w:spacing w:after="0" w:line="20" w:lineRule="exact"/>
      </w:pPr>
      <w:bookmarkStart w:id="6" w:name="source-21791"/>
      <w:bookmarkEnd w:id="6" w:name="source-21791"/>
    </w:p>
    <w:p>
      <w:pPr>
        <w:pStyle w:val="ListBullet"/>
      </w:pPr>
      <w:r>
        <w:rPr>
          <w:rFonts w:ascii="微软雅黑" w:hAnsi="微软雅黑" w:eastAsia="微软雅黑" w:cs="微软雅黑"/>
        </w:rPr>
        <w:t>[6] OGN News｜</w:t>
      </w:r>
      <w:hyperlink r:id="rId16">
        <w:r>
          <w:rPr>
            <w:rFonts w:ascii="微软雅黑" w:hAnsi="微软雅黑" w:eastAsia="微软雅黑" w:cs="微软雅黑"/>
            <w:color w:val="087E89"/>
          </w:rPr>
          <w:t>布伦特原油触及$110，中东紧张局势引发供应担忧</w:t>
        </w:r>
      </w:hyperlink>
      <w:r>
        <w:rPr>
          <w:rFonts w:ascii="微软雅黑" w:hAnsi="微软雅黑" w:eastAsia="微软雅黑" w:cs="微软雅黑"/>
        </w:rPr>
      </w:r>
    </w:p>
    <w:p>
      <w:pPr>
        <w:spacing w:after="0" w:line="20" w:lineRule="exact"/>
      </w:pPr>
      <w:bookmarkStart w:id="7" w:name="source-21517"/>
      <w:bookmarkEnd w:id="7" w:name="source-21517"/>
    </w:p>
    <w:p>
      <w:pPr>
        <w:pStyle w:val="ListBullet"/>
      </w:pPr>
      <w:r>
        <w:rPr>
          <w:rFonts w:ascii="微软雅黑" w:hAnsi="微软雅黑" w:eastAsia="微软雅黑" w:cs="微软雅黑"/>
        </w:rPr>
        <w:t>[7] 智通财经｜</w:t>
      </w:r>
      <w:hyperlink r:id="rId17">
        <w:r>
          <w:rPr>
            <w:rFonts w:ascii="微软雅黑" w:hAnsi="微软雅黑" w:eastAsia="微软雅黑" w:cs="微软雅黑"/>
            <w:color w:val="087E89"/>
          </w:rPr>
          <w:t>中东局势升级叠加俄罗斯能源供应受阻！布伦特原油近五个月来首次触及110美元 年内涨幅超75%</w:t>
        </w:r>
      </w:hyperlink>
      <w:r>
        <w:rPr>
          <w:rFonts w:ascii="微软雅黑" w:hAnsi="微软雅黑" w:eastAsia="微软雅黑" w:cs="微软雅黑"/>
        </w:rPr>
      </w:r>
    </w:p>
    <w:p>
      <w:pPr>
        <w:spacing w:after="0" w:line="20" w:lineRule="exact"/>
      </w:pPr>
      <w:bookmarkStart w:id="8" w:name="source-21758"/>
      <w:bookmarkEnd w:id="8" w:name="source-21758"/>
    </w:p>
    <w:p>
      <w:pPr>
        <w:pStyle w:val="ListBullet"/>
      </w:pPr>
      <w:r>
        <w:rPr>
          <w:rFonts w:ascii="微软雅黑" w:hAnsi="微软雅黑" w:eastAsia="微软雅黑" w:cs="微软雅黑"/>
        </w:rPr>
        <w:t>[8] 新浪财经｜</w:t>
      </w:r>
      <w:hyperlink r:id="rId18">
        <w:r>
          <w:rPr>
            <w:rFonts w:ascii="微软雅黑" w:hAnsi="微软雅黑" w:eastAsia="微软雅黑" w:cs="微软雅黑"/>
            <w:color w:val="087E89"/>
          </w:rPr>
          <w:t>昨夜，油价飙升！布油创近5个月新高，直逼110美元</w:t>
        </w:r>
      </w:hyperlink>
      <w:r>
        <w:rPr>
          <w:rFonts w:ascii="微软雅黑" w:hAnsi="微软雅黑" w:eastAsia="微软雅黑" w:cs="微软雅黑"/>
        </w:rPr>
      </w:r>
    </w:p>
    <w:p>
      <w:pPr>
        <w:spacing w:after="0" w:line="20" w:lineRule="exact"/>
      </w:pPr>
      <w:bookmarkStart w:id="9" w:name="source-21916"/>
      <w:bookmarkEnd w:id="9" w:name="source-21916"/>
    </w:p>
    <w:p>
      <w:pPr>
        <w:pStyle w:val="ListBullet"/>
      </w:pPr>
      <w:r>
        <w:rPr>
          <w:rFonts w:ascii="微软雅黑" w:hAnsi="微软雅黑" w:eastAsia="微软雅黑" w:cs="微软雅黑"/>
        </w:rPr>
        <w:t>[9] 界面新闻｜</w:t>
      </w:r>
      <w:hyperlink r:id="rId19">
        <w:r>
          <w:rPr>
            <w:rFonts w:ascii="微软雅黑" w:hAnsi="微软雅黑" w:eastAsia="微软雅黑" w:cs="微软雅黑"/>
            <w:color w:val="087E89"/>
          </w:rPr>
          <w:t>中国有望率先实现绿色燃料平价</w:t>
        </w:r>
      </w:hyperlink>
      <w:r>
        <w:rPr>
          <w:rFonts w:ascii="微软雅黑" w:hAnsi="微软雅黑" w:eastAsia="微软雅黑" w:cs="微软雅黑"/>
        </w:rPr>
      </w:r>
    </w:p>
    <w:p>
      <w:pPr>
        <w:spacing w:after="0" w:line="20" w:lineRule="exact"/>
      </w:pPr>
      <w:bookmarkStart w:id="10" w:name="source-21844"/>
      <w:bookmarkEnd w:id="10" w:name="source-21844"/>
    </w:p>
    <w:p>
      <w:pPr>
        <w:pStyle w:val="ListBullet"/>
      </w:pPr>
      <w:r>
        <w:rPr>
          <w:rFonts w:ascii="微软雅黑" w:hAnsi="微软雅黑" w:eastAsia="微软雅黑" w:cs="微软雅黑"/>
        </w:rPr>
        <w:t>[10] 中财网｜</w:t>
      </w:r>
      <w:hyperlink r:id="rId20">
        <w:r>
          <w:rPr>
            <w:rFonts w:ascii="微软雅黑" w:hAnsi="微软雅黑" w:eastAsia="微软雅黑" w:cs="微软雅黑"/>
            <w:color w:val="087E89"/>
          </w:rPr>
          <w:t>光伏新规剑指N型升级与产能出清 通威爱旭隆基受益</w:t>
        </w:r>
      </w:hyperlink>
      <w:r>
        <w:rPr>
          <w:rFonts w:ascii="微软雅黑" w:hAnsi="微软雅黑" w:eastAsia="微软雅黑" w:cs="微软雅黑"/>
        </w:rPr>
      </w:r>
    </w:p>
    <w:p>
      <w:pPr>
        <w:spacing w:after="0" w:line="20" w:lineRule="exact"/>
      </w:pPr>
      <w:bookmarkStart w:id="11" w:name="source-21843"/>
      <w:bookmarkEnd w:id="11" w:name="source-21843"/>
    </w:p>
    <w:p>
      <w:pPr>
        <w:pStyle w:val="ListBullet"/>
      </w:pPr>
      <w:r>
        <w:rPr>
          <w:rFonts w:ascii="微软雅黑" w:hAnsi="微软雅黑" w:eastAsia="微软雅黑" w:cs="微软雅黑"/>
        </w:rPr>
        <w:t>[11] 中财网｜</w:t>
      </w:r>
      <w:hyperlink r:id="rId21">
        <w:r>
          <w:rPr>
            <w:rFonts w:ascii="微软雅黑" w:hAnsi="微软雅黑" w:eastAsia="微软雅黑" w:cs="微软雅黑"/>
            <w:color w:val="087E89"/>
          </w:rPr>
          <w:t>光伏新规剑指N型升级与绿色出清 通威隆基等头部受益</w:t>
        </w:r>
      </w:hyperlink>
      <w:r>
        <w:rPr>
          <w:rFonts w:ascii="微软雅黑" w:hAnsi="微软雅黑" w:eastAsia="微软雅黑" w:cs="微软雅黑"/>
        </w:rPr>
      </w:r>
    </w:p>
    <w:p>
      <w:pPr>
        <w:spacing w:after="0" w:line="20" w:lineRule="exact"/>
      </w:pPr>
      <w:bookmarkStart w:id="12" w:name="source-21778"/>
      <w:bookmarkEnd w:id="12" w:name="source-21778"/>
    </w:p>
    <w:p>
      <w:pPr>
        <w:pStyle w:val="ListBullet"/>
      </w:pPr>
      <w:r>
        <w:rPr>
          <w:rFonts w:ascii="微软雅黑" w:hAnsi="微软雅黑" w:eastAsia="微软雅黑" w:cs="微软雅黑"/>
        </w:rPr>
        <w:t>[12] 中国新闻网｜</w:t>
      </w:r>
      <w:hyperlink r:id="rId22">
        <w:r>
          <w:rPr>
            <w:rFonts w:ascii="微软雅黑" w:hAnsi="微软雅黑" w:eastAsia="微软雅黑" w:cs="微软雅黑"/>
            <w:color w:val="087E89"/>
          </w:rPr>
          <w:t>核安全监管升级护航核电高质量发展</w:t>
        </w:r>
      </w:hyperlink>
      <w:r>
        <w:rPr>
          <w:rFonts w:ascii="微软雅黑" w:hAnsi="微软雅黑" w:eastAsia="微软雅黑" w:cs="微软雅黑"/>
        </w:rPr>
      </w:r>
    </w:p>
    <w:p>
      <w:pPr>
        <w:spacing w:after="0" w:line="20" w:lineRule="exact"/>
      </w:pPr>
      <w:bookmarkStart w:id="13" w:name="source-21769"/>
      <w:bookmarkEnd w:id="13" w:name="source-21769"/>
    </w:p>
    <w:p>
      <w:pPr>
        <w:pStyle w:val="ListBullet"/>
      </w:pPr>
      <w:r>
        <w:rPr>
          <w:rFonts w:ascii="微软雅黑" w:hAnsi="微软雅黑" w:eastAsia="微软雅黑" w:cs="微软雅黑"/>
        </w:rPr>
        <w:t>[13] 光伏杂志国际版｜</w:t>
      </w:r>
      <w:hyperlink r:id="rId23">
        <w:r>
          <w:rPr>
            <w:rFonts w:ascii="微软雅黑" w:hAnsi="微软雅黑" w:eastAsia="微软雅黑" w:cs="微软雅黑"/>
            <w:color w:val="087E89"/>
          </w:rPr>
          <w:t>法国将放宽最高25兆瓦光伏加储能项目的电网接入规则</w:t>
        </w:r>
      </w:hyperlink>
      <w:r>
        <w:rPr>
          <w:rFonts w:ascii="微软雅黑" w:hAnsi="微软雅黑" w:eastAsia="微软雅黑" w:cs="微软雅黑"/>
        </w:rPr>
      </w:r>
    </w:p>
    <w:p>
      <w:pPr>
        <w:spacing w:after="0" w:line="20" w:lineRule="exact"/>
      </w:pPr>
      <w:bookmarkStart w:id="14" w:name="source-21480"/>
      <w:bookmarkEnd w:id="14" w:name="source-21480"/>
    </w:p>
    <w:p>
      <w:pPr>
        <w:pStyle w:val="ListBullet"/>
      </w:pPr>
      <w:r>
        <w:rPr>
          <w:rFonts w:ascii="微软雅黑" w:hAnsi="微软雅黑" w:eastAsia="微软雅黑" w:cs="微软雅黑"/>
        </w:rPr>
        <w:t>[14] 经济日报｜</w:t>
      </w:r>
      <w:hyperlink r:id="rId24">
        <w:r>
          <w:rPr>
            <w:rFonts w:ascii="微软雅黑" w:hAnsi="微软雅黑" w:eastAsia="微软雅黑" w:cs="微软雅黑"/>
            <w:color w:val="087E89"/>
          </w:rPr>
          <w:t>前三季度动力电池装车量同比增长16.7%</w:t>
        </w:r>
      </w:hyperlink>
      <w:r>
        <w:rPr>
          <w:rFonts w:ascii="微软雅黑" w:hAnsi="微软雅黑" w:eastAsia="微软雅黑" w:cs="微软雅黑"/>
        </w:rPr>
      </w:r>
    </w:p>
    <w:p>
      <w:pPr>
        <w:spacing w:after="0" w:line="20" w:lineRule="exact"/>
      </w:pPr>
      <w:bookmarkStart w:id="15" w:name="source-21304"/>
      <w:bookmarkEnd w:id="15" w:name="source-21304"/>
    </w:p>
    <w:p>
      <w:pPr>
        <w:pStyle w:val="ListBullet"/>
      </w:pPr>
      <w:r>
        <w:rPr>
          <w:rFonts w:ascii="微软雅黑" w:hAnsi="微软雅黑" w:eastAsia="微软雅黑" w:cs="微软雅黑"/>
        </w:rPr>
        <w:t>[15] 中国新闻网｜</w:t>
      </w:r>
      <w:hyperlink r:id="rId25">
        <w:r>
          <w:rPr>
            <w:rFonts w:ascii="微软雅黑" w:hAnsi="微软雅黑" w:eastAsia="微软雅黑" w:cs="微软雅黑"/>
            <w:color w:val="087E89"/>
          </w:rPr>
          <w:t>中国清洁能源装备供给能力持续跃升</w:t>
        </w:r>
      </w:hyperlink>
      <w:r>
        <w:rPr>
          <w:rFonts w:ascii="微软雅黑" w:hAnsi="微软雅黑" w:eastAsia="微软雅黑" w:cs="微软雅黑"/>
        </w:rPr>
      </w:r>
    </w:p>
    <w:p>
      <w:pPr>
        <w:spacing w:after="0" w:line="20" w:lineRule="exact"/>
      </w:pPr>
      <w:bookmarkStart w:id="16" w:name="source-21868"/>
      <w:bookmarkEnd w:id="16" w:name="source-21868"/>
    </w:p>
    <w:p>
      <w:pPr>
        <w:pStyle w:val="ListBullet"/>
      </w:pPr>
      <w:r>
        <w:rPr>
          <w:rFonts w:ascii="微软雅黑" w:hAnsi="微软雅黑" w:eastAsia="微软雅黑" w:cs="微软雅黑"/>
        </w:rPr>
        <w:t>[16] Anadolu Agency｜</w:t>
      </w:r>
      <w:hyperlink r:id="rId26">
        <w:r>
          <w:rPr>
            <w:rFonts w:ascii="微软雅黑" w:hAnsi="微软雅黑" w:eastAsia="微软雅黑" w:cs="微软雅黑"/>
            <w:color w:val="087E89"/>
          </w:rPr>
          <w:t>土耳其首座浮式天然气平台启程前往黑海气田</w:t>
        </w:r>
      </w:hyperlink>
      <w:r>
        <w:rPr>
          <w:rFonts w:ascii="微软雅黑" w:hAnsi="微软雅黑" w:eastAsia="微软雅黑" w:cs="微软雅黑"/>
        </w:rPr>
      </w:r>
    </w:p>
    <w:p>
      <w:pPr>
        <w:spacing w:after="0" w:line="20" w:lineRule="exact"/>
      </w:pPr>
      <w:bookmarkStart w:id="17" w:name="source-21668"/>
      <w:bookmarkEnd w:id="17" w:name="source-21668"/>
    </w:p>
    <w:p>
      <w:pPr>
        <w:pStyle w:val="ListBullet"/>
      </w:pPr>
      <w:r>
        <w:rPr>
          <w:rFonts w:ascii="微软雅黑" w:hAnsi="微软雅黑" w:eastAsia="微软雅黑" w:cs="微软雅黑"/>
        </w:rPr>
        <w:t>[17] 新浪财经｜</w:t>
      </w:r>
      <w:hyperlink r:id="rId27">
        <w:r>
          <w:rPr>
            <w:rFonts w:ascii="微软雅黑" w:hAnsi="微软雅黑" w:eastAsia="微软雅黑" w:cs="微软雅黑"/>
            <w:color w:val="087E89"/>
          </w:rPr>
          <w:t>美以，突传大消息！国际油价，大涨！恐慌指数，直线拉升！</w:t>
        </w:r>
      </w:hyperlink>
      <w:r>
        <w:rPr>
          <w:rFonts w:ascii="微软雅黑" w:hAnsi="微软雅黑" w:eastAsia="微软雅黑" w:cs="微软雅黑"/>
        </w:rPr>
      </w:r>
    </w:p>
    <w:p>
      <w:pPr>
        <w:spacing w:after="0" w:line="20" w:lineRule="exact"/>
      </w:pPr>
      <w:bookmarkStart w:id="18" w:name="source-21929"/>
      <w:bookmarkEnd w:id="18" w:name="source-21929"/>
    </w:p>
    <w:p>
      <w:pPr>
        <w:pStyle w:val="ListBullet"/>
      </w:pPr>
      <w:r>
        <w:rPr>
          <w:rFonts w:ascii="微软雅黑" w:hAnsi="微软雅黑" w:eastAsia="微软雅黑" w:cs="微软雅黑"/>
        </w:rPr>
        <w:t>[18] Vanguard News｜</w:t>
      </w:r>
      <w:hyperlink r:id="rId28">
        <w:r>
          <w:rPr>
            <w:rFonts w:ascii="微软雅黑" w:hAnsi="微软雅黑" w:eastAsia="微软雅黑" w:cs="微软雅黑"/>
            <w:color w:val="087E89"/>
          </w:rPr>
          <w:t>特朗普签署行政命令，暂停对俄新制裁及关税</w:t>
        </w:r>
      </w:hyperlink>
      <w:r>
        <w:rPr>
          <w:rFonts w:ascii="微软雅黑" w:hAnsi="微软雅黑" w:eastAsia="微软雅黑" w:cs="微软雅黑"/>
        </w:rPr>
      </w:r>
    </w:p>
    <w:p>
      <w:pPr>
        <w:spacing w:after="0" w:line="20" w:lineRule="exact"/>
      </w:pPr>
      <w:bookmarkStart w:id="19" w:name="source-21936"/>
      <w:bookmarkEnd w:id="19" w:name="source-21936"/>
    </w:p>
    <w:p>
      <w:pPr>
        <w:pStyle w:val="ListBullet"/>
      </w:pPr>
      <w:r>
        <w:rPr>
          <w:rFonts w:ascii="微软雅黑" w:hAnsi="微软雅黑" w:eastAsia="微软雅黑" w:cs="微软雅黑"/>
        </w:rPr>
        <w:t>[19] Vanguard News｜</w:t>
      </w:r>
      <w:hyperlink r:id="rId29">
        <w:r>
          <w:rPr>
            <w:rFonts w:ascii="微软雅黑" w:hAnsi="微软雅黑" w:eastAsia="微软雅黑" w:cs="微软雅黑"/>
            <w:color w:val="087E89"/>
          </w:rPr>
          <w:t>泽连斯基称特朗普解除制裁是在“奖励”普京，并警告莫斯科企图让乌克兰陷入“大停电”</w:t>
        </w:r>
      </w:hyperlink>
      <w:r>
        <w:rPr>
          <w:rFonts w:ascii="微软雅黑" w:hAnsi="微软雅黑" w:eastAsia="微软雅黑" w:cs="微软雅黑"/>
        </w:rPr>
      </w:r>
    </w:p>
    <w:p>
      <w:pPr>
        <w:spacing w:after="0" w:line="20" w:lineRule="exact"/>
      </w:pPr>
      <w:bookmarkStart w:id="20" w:name="source-21729"/>
      <w:bookmarkEnd w:id="20" w:name="source-21729"/>
    </w:p>
    <w:p>
      <w:pPr>
        <w:pStyle w:val="ListBullet"/>
      </w:pPr>
      <w:r>
        <w:rPr>
          <w:rFonts w:ascii="微软雅黑" w:hAnsi="微软雅黑" w:eastAsia="微软雅黑" w:cs="微软雅黑"/>
        </w:rPr>
        <w:t>[20] 新华社国际要闻（战略与能源）｜</w:t>
      </w:r>
      <w:hyperlink r:id="rId30">
        <w:r>
          <w:rPr>
            <w:rFonts w:ascii="微软雅黑" w:hAnsi="微软雅黑" w:eastAsia="微软雅黑" w:cs="微软雅黑"/>
            <w:color w:val="087E89"/>
          </w:rPr>
          <w:t>国际随笔丨从新能源车销量看中国能源转型的世界启示</w:t>
        </w:r>
      </w:hyperlink>
      <w:r>
        <w:rPr>
          <w:rFonts w:ascii="微软雅黑" w:hAnsi="微软雅黑" w:eastAsia="微软雅黑" w:cs="微软雅黑"/>
        </w:rPr>
      </w:r>
    </w:p>
    <w:p>
      <w:pPr>
        <w:spacing w:after="0" w:line="20" w:lineRule="exact"/>
      </w:pPr>
      <w:bookmarkStart w:id="21" w:name="source-21710"/>
      <w:bookmarkEnd w:id="21" w:name="source-21710"/>
    </w:p>
    <w:p>
      <w:pPr>
        <w:pStyle w:val="ListBullet"/>
      </w:pPr>
      <w:r>
        <w:rPr>
          <w:rFonts w:ascii="微软雅黑" w:hAnsi="微软雅黑" w:eastAsia="微软雅黑" w:cs="微软雅黑"/>
        </w:rPr>
        <w:t>[21] 新加坡海事及港务管理局｜</w:t>
      </w:r>
      <w:hyperlink r:id="rId31">
        <w:r>
          <w:rPr>
            <w:rFonts w:ascii="微软雅黑" w:hAnsi="微软雅黑" w:eastAsia="微软雅黑" w:cs="微软雅黑"/>
            <w:color w:val="087E89"/>
          </w:rPr>
          <w:t>新加坡开展全球最大规模乙醇加注作业</w:t>
        </w:r>
      </w:hyperlink>
      <w:r>
        <w:rPr>
          <w:rFonts w:ascii="微软雅黑" w:hAnsi="微软雅黑" w:eastAsia="微软雅黑" w:cs="微软雅黑"/>
        </w:rPr>
      </w:r>
    </w:p>
    <w:p>
      <w:pPr>
        <w:spacing w:after="0" w:line="20" w:lineRule="exact"/>
      </w:pPr>
      <w:bookmarkStart w:id="22" w:name="source-21917"/>
      <w:bookmarkEnd w:id="22" w:name="source-21917"/>
    </w:p>
    <w:p>
      <w:pPr>
        <w:pStyle w:val="ListBullet"/>
      </w:pPr>
      <w:r>
        <w:rPr>
          <w:rFonts w:ascii="微软雅黑" w:hAnsi="微软雅黑" w:eastAsia="微软雅黑" w:cs="微软雅黑"/>
        </w:rPr>
        <w:t>[22] 界面新闻 · 能源早报｜晶科能源前三季度预亏最高达35.76亿元；江苏全面取消工商业“固定电价”｜</w:t>
      </w:r>
      <w:hyperlink r:id="rId32">
        <w:r>
          <w:rPr>
            <w:rFonts w:ascii="微软雅黑" w:hAnsi="微软雅黑" w:eastAsia="微软雅黑" w:cs="微软雅黑"/>
            <w:color w:val="087E89"/>
          </w:rPr>
          <w:t>查看原文</w:t>
        </w:r>
      </w:hyperlink>
      <w:r>
        <w:rPr>
          <w:rFonts w:ascii="微软雅黑" w:hAnsi="微软雅黑" w:eastAsia="微软雅黑" w:cs="微软雅黑"/>
        </w:rPr>
      </w:r>
    </w:p>
    <w:p>
      <w:pPr>
        <w:spacing w:after="0" w:line="20" w:lineRule="exact"/>
      </w:pPr>
      <w:bookmarkStart w:id="23" w:name="source-21772"/>
      <w:bookmarkEnd w:id="23" w:name="source-21772"/>
    </w:p>
    <w:p>
      <w:pPr>
        <w:pStyle w:val="ListBullet"/>
      </w:pPr>
      <w:r>
        <w:rPr>
          <w:rFonts w:ascii="微软雅黑" w:hAnsi="微软雅黑" w:eastAsia="微软雅黑" w:cs="微软雅黑"/>
        </w:rPr>
        <w:t>[23] 越南工贸部官网｜</w:t>
      </w:r>
      <w:hyperlink r:id="rId33">
        <w:r>
          <w:rPr>
            <w:rFonts w:ascii="微软雅黑" w:hAnsi="微软雅黑" w:eastAsia="微软雅黑" w:cs="微软雅黑"/>
            <w:color w:val="087E89"/>
          </w:rPr>
          <w:t>新加坡扩展面向船舶的LNG燃料加注服务</w:t>
        </w:r>
      </w:hyperlink>
      <w:r>
        <w:rPr>
          <w:rFonts w:ascii="微软雅黑" w:hAnsi="微软雅黑" w:eastAsia="微软雅黑" w:cs="微软雅黑"/>
        </w:rPr>
      </w:r>
    </w:p>
    <w:p>
      <w:pPr>
        <w:spacing w:after="0" w:line="20" w:lineRule="exact"/>
      </w:pPr>
      <w:bookmarkStart w:id="24" w:name="source-21767"/>
      <w:bookmarkEnd w:id="24" w:name="source-21767"/>
    </w:p>
    <w:p>
      <w:pPr>
        <w:pStyle w:val="ListBullet"/>
      </w:pPr>
      <w:r>
        <w:rPr>
          <w:rFonts w:ascii="微软雅黑" w:hAnsi="微软雅黑" w:eastAsia="微软雅黑" w:cs="微软雅黑"/>
        </w:rPr>
        <w:t>[24] 光伏杂志国际版｜</w:t>
      </w:r>
      <w:hyperlink r:id="rId34">
        <w:r>
          <w:rPr>
            <w:rFonts w:ascii="微软雅黑" w:hAnsi="微软雅黑" w:eastAsia="微软雅黑" w:cs="微软雅黑"/>
            <w:color w:val="087E89"/>
          </w:rPr>
          <w:t>巴西新的限电规则不太可能重振集中式太阳能投资</w:t>
        </w:r>
      </w:hyperlink>
      <w:r>
        <w:rPr>
          <w:rFonts w:ascii="微软雅黑" w:hAnsi="微软雅黑" w:eastAsia="微软雅黑" w:cs="微软雅黑"/>
        </w:rPr>
      </w:r>
    </w:p>
    <w:p>
      <w:pPr>
        <w:spacing w:after="0" w:line="20" w:lineRule="exact"/>
      </w:pPr>
      <w:bookmarkStart w:id="25" w:name="source-21745"/>
      <w:bookmarkEnd w:id="25" w:name="source-21745"/>
    </w:p>
    <w:p>
      <w:pPr>
        <w:pStyle w:val="ListBullet"/>
      </w:pPr>
      <w:r>
        <w:rPr>
          <w:rFonts w:ascii="微软雅黑" w:hAnsi="微软雅黑" w:eastAsia="微软雅黑" w:cs="微软雅黑"/>
        </w:rPr>
        <w:t>[25] Solarbe(光伏网)｜</w:t>
      </w:r>
      <w:hyperlink r:id="rId35">
        <w:r>
          <w:rPr>
            <w:rFonts w:ascii="微软雅黑" w:hAnsi="微软雅黑" w:eastAsia="微软雅黑" w:cs="微软雅黑"/>
            <w:color w:val="087E89"/>
          </w:rPr>
          <w:t>晶科能源发布全球至强别墅组件</w:t>
        </w:r>
      </w:hyperlink>
      <w:r>
        <w:rPr>
          <w:rFonts w:ascii="微软雅黑" w:hAnsi="微软雅黑" w:eastAsia="微软雅黑" w:cs="微软雅黑"/>
        </w:rPr>
      </w:r>
    </w:p>
    <w:p>
      <w:pPr>
        <w:spacing w:after="0" w:line="20" w:lineRule="exact"/>
      </w:pPr>
      <w:bookmarkStart w:id="26" w:name="source-21731"/>
      <w:bookmarkEnd w:id="26" w:name="source-21731"/>
    </w:p>
    <w:p>
      <w:pPr>
        <w:pStyle w:val="ListBullet"/>
      </w:pPr>
      <w:r>
        <w:rPr>
          <w:rFonts w:ascii="微软雅黑" w:hAnsi="微软雅黑" w:eastAsia="微软雅黑" w:cs="微软雅黑"/>
        </w:rPr>
        <w:t>[26] 经济观察网｜</w:t>
      </w:r>
      <w:hyperlink r:id="rId36">
        <w:r>
          <w:rPr>
            <w:rFonts w:ascii="微软雅黑" w:hAnsi="微软雅黑" w:eastAsia="微软雅黑" w:cs="微软雅黑"/>
            <w:color w:val="087E89"/>
          </w:rPr>
          <w:t>光伏新规还未实施 部分组件已退出大单竞争</w:t>
        </w:r>
      </w:hyperlink>
      <w:r>
        <w:rPr>
          <w:rFonts w:ascii="微软雅黑" w:hAnsi="微软雅黑" w:eastAsia="微软雅黑" w:cs="微软雅黑"/>
        </w:rPr>
      </w:r>
    </w:p>
    <w:p>
      <w:pPr>
        <w:spacing w:after="0" w:line="20" w:lineRule="exact"/>
      </w:pPr>
      <w:bookmarkStart w:id="27" w:name="source-21444"/>
      <w:bookmarkEnd w:id="27" w:name="source-21444"/>
    </w:p>
    <w:p>
      <w:pPr>
        <w:pStyle w:val="ListBullet"/>
      </w:pPr>
      <w:r>
        <w:rPr>
          <w:rFonts w:ascii="微软雅黑" w:hAnsi="微软雅黑" w:eastAsia="微软雅黑" w:cs="微软雅黑"/>
        </w:rPr>
        <w:t>[27] 新浪财经｜</w:t>
      </w:r>
      <w:hyperlink r:id="rId37">
        <w:r>
          <w:rPr>
            <w:rFonts w:ascii="微软雅黑" w:hAnsi="微软雅黑" w:eastAsia="微软雅黑" w:cs="微软雅黑"/>
            <w:color w:val="087E89"/>
          </w:rPr>
          <w:t>493架无人机直扑莫斯科，俄乌双双用导弹，给特朗普投了反对票</w:t>
        </w:r>
      </w:hyperlink>
      <w:r>
        <w:rPr>
          <w:rFonts w:ascii="微软雅黑" w:hAnsi="微软雅黑" w:eastAsia="微软雅黑" w:cs="微软雅黑"/>
        </w:rPr>
      </w:r>
    </w:p>
    <w:p>
      <w:pPr>
        <w:spacing w:after="0" w:line="20" w:lineRule="exact"/>
      </w:pPr>
      <w:bookmarkStart w:id="28" w:name="source-21841"/>
      <w:bookmarkEnd w:id="28" w:name="source-21841"/>
    </w:p>
    <w:p>
      <w:pPr>
        <w:pStyle w:val="ListBullet"/>
      </w:pPr>
      <w:r>
        <w:rPr>
          <w:rFonts w:ascii="微软雅黑" w:hAnsi="微软雅黑" w:eastAsia="微软雅黑" w:cs="微软雅黑"/>
        </w:rPr>
        <w:t>[28] 人民财讯等｜</w:t>
      </w:r>
      <w:hyperlink r:id="rId38">
        <w:r>
          <w:rPr>
            <w:rFonts w:ascii="微软雅黑" w:hAnsi="微软雅黑" w:eastAsia="微软雅黑" w:cs="微软雅黑"/>
            <w:color w:val="087E89"/>
          </w:rPr>
          <w:t>泽连斯基称乌能源设施遭俄军大规模袭击</w:t>
        </w:r>
      </w:hyperlink>
      <w:r>
        <w:rPr>
          <w:rFonts w:ascii="微软雅黑" w:hAnsi="微软雅黑" w:eastAsia="微软雅黑" w:cs="微软雅黑"/>
        </w:rPr>
      </w:r>
    </w:p>
    <w:p>
      <w:pPr>
        <w:spacing w:after="0" w:line="20" w:lineRule="exact"/>
      </w:pPr>
      <w:bookmarkStart w:id="29" w:name="source-21755"/>
      <w:bookmarkEnd w:id="29" w:name="source-21755"/>
    </w:p>
    <w:p>
      <w:pPr>
        <w:pStyle w:val="ListBullet"/>
      </w:pPr>
      <w:r>
        <w:rPr>
          <w:rFonts w:ascii="微软雅黑" w:hAnsi="微软雅黑" w:eastAsia="微软雅黑" w:cs="微软雅黑"/>
        </w:rPr>
        <w:t>[29] 人民财讯等｜</w:t>
      </w:r>
      <w:hyperlink r:id="rId39">
        <w:r>
          <w:rPr>
            <w:rFonts w:ascii="微软雅黑" w:hAnsi="微软雅黑" w:eastAsia="微软雅黑" w:cs="微软雅黑"/>
            <w:color w:val="087E89"/>
          </w:rPr>
          <w:t>俄称击落多架乌无人机 乌称多地能源设施遭袭</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stcn.com/article/detail/4224000.html" TargetMode="External"/><Relationship Id="rId12" Type="http://schemas.openxmlformats.org/officeDocument/2006/relationships/hyperlink" Target="https://www.news.cn/world/20261017/551f90b56cfd48c99544f73adafba0fe/c.html" TargetMode="External"/><Relationship Id="rId13" Type="http://schemas.openxmlformats.org/officeDocument/2006/relationships/hyperlink" Target="https://www.vanguardngr.com/2026/10/oil-tanker-on-fire-after-hitting-mine-in-hormuz-irans-guards/" TargetMode="External"/><Relationship Id="rId14" Type="http://schemas.openxmlformats.org/officeDocument/2006/relationships/hyperlink" Target="https://finance.sina.com.cn/stock/zqgd/2026-10-17/doc-inivpfyf6521705.shtml" TargetMode="External"/><Relationship Id="rId15" Type="http://schemas.openxmlformats.org/officeDocument/2006/relationships/hyperlink" Target="https://finance.sina.com.cn/world/2026-10-17/doc-inivnkuy1453033.shtml" TargetMode="External"/><Relationship Id="rId16" Type="http://schemas.openxmlformats.org/officeDocument/2006/relationships/hyperlink" Target="https://ognnews.com/ArticleTA/488140/brent-crude-hits-110-as-middle-east-tensions-fuel-supply-fears" TargetMode="External"/><Relationship Id="rId17" Type="http://schemas.openxmlformats.org/officeDocument/2006/relationships/hyperlink" Target="https://www.zhitongcaijing.com/content/detail/1508628.html" TargetMode="External"/><Relationship Id="rId18" Type="http://schemas.openxmlformats.org/officeDocument/2006/relationships/hyperlink" Target="https://finance.sina.com.cn/wm/2026-10-17/doc-inivnrap6650567.shtml" TargetMode="External"/><Relationship Id="rId19" Type="http://schemas.openxmlformats.org/officeDocument/2006/relationships/hyperlink" Target="https://www.jiemian.com/article/15201099.html" TargetMode="External"/><Relationship Id="rId20" Type="http://schemas.openxmlformats.org/officeDocument/2006/relationships/hyperlink" Target="https://industry.cfi.cn/p20261017000228.html" TargetMode="External"/><Relationship Id="rId21" Type="http://schemas.openxmlformats.org/officeDocument/2006/relationships/hyperlink" Target="https://industry.cfi.cn/p20261017000229.html" TargetMode="External"/><Relationship Id="rId22" Type="http://schemas.openxmlformats.org/officeDocument/2006/relationships/hyperlink" Target="https://www.chinanews.com.cn/cj/2026/10-17/10716306.shtml" TargetMode="External"/><Relationship Id="rId23" Type="http://schemas.openxmlformats.org/officeDocument/2006/relationships/hyperlink" Target="https://www.pv-magazine.com/2026/10/17/france-to-ease-grid-connection-rules-for-solar-plus-storage-projects-up-to-25-mw/" TargetMode="External"/><Relationship Id="rId24" Type="http://schemas.openxmlformats.org/officeDocument/2006/relationships/hyperlink" Target="http://www.ce.cn/cysc/newmain/yc/jsxw/202610/t20261017_3261115.shtml" TargetMode="External"/><Relationship Id="rId25" Type="http://schemas.openxmlformats.org/officeDocument/2006/relationships/hyperlink" Target="https://www.chinanews.com.cn/cj/2026/10-17/10716029.shtml" TargetMode="External"/><Relationship Id="rId26" Type="http://schemas.openxmlformats.org/officeDocument/2006/relationships/hyperlink" Target="https://www.aa.com.tr/en/energy/energy-diplomacy/turkiyes-first-floating-gas-platform-heads-to-black-sea-field/60327" TargetMode="External"/><Relationship Id="rId27" Type="http://schemas.openxmlformats.org/officeDocument/2006/relationships/hyperlink" Target="https://finance.sina.com.cn/roll/2026-10-17/doc-inivnrax8280727.shtml" TargetMode="External"/><Relationship Id="rId28" Type="http://schemas.openxmlformats.org/officeDocument/2006/relationships/hyperlink" Target="https://www.vanguardngr.com/2026/10/trump-signs-executive-order-waiving-new-russia-sanctions-tariffs/" TargetMode="External"/><Relationship Id="rId29" Type="http://schemas.openxmlformats.org/officeDocument/2006/relationships/hyperlink" Target="https://www.vanguardngr.com/2026/10/zelensky-says-trump-waiving-sanctions-rewards-putin-warns-moscow-wants-blackout-in-ukraine/" TargetMode="External"/><Relationship Id="rId30" Type="http://schemas.openxmlformats.org/officeDocument/2006/relationships/hyperlink" Target="https://www.news.cn/world/20261017/1cf71333c589465bafe7b4bf8f84ac5b/c.html" TargetMode="External"/><Relationship Id="rId31" Type="http://schemas.openxmlformats.org/officeDocument/2006/relationships/hyperlink" Target="https://www.mpa.gov.sg/media-centre/details/singapore-conducts-worlds-largest-ethanol-bunkering-operation" TargetMode="External"/><Relationship Id="rId32" Type="http://schemas.openxmlformats.org/officeDocument/2006/relationships/hyperlink" Target="https://www.jiemian.com/article/15201625.html" TargetMode="External"/><Relationship Id="rId33" Type="http://schemas.openxmlformats.org/officeDocument/2006/relationships/hyperlink" Target="https://moit.gov.vn/tin-tuc/singapore-mo-ro-ng-di-ch-vu-tie-p-nhien-lie-u-lng-cho-ta-u-bie-n.html" TargetMode="External"/><Relationship Id="rId34" Type="http://schemas.openxmlformats.org/officeDocument/2006/relationships/hyperlink" Target="https://www.pv-magazine.com/2026/10/17/brazils-new-curtailment-rules-unlikely-to-revive-utility-scale-solar-investment/" TargetMode="External"/><Relationship Id="rId35" Type="http://schemas.openxmlformats.org/officeDocument/2006/relationships/hyperlink" Target="https://news.solarbe.com/202610/17/50030522.html" TargetMode="External"/><Relationship Id="rId36" Type="http://schemas.openxmlformats.org/officeDocument/2006/relationships/hyperlink" Target="http://www.eeo.com.cn/2026/1017/1067691.shtml" TargetMode="External"/><Relationship Id="rId37" Type="http://schemas.openxmlformats.org/officeDocument/2006/relationships/hyperlink" Target="https://finance.sina.com.cn/roll/2026-10-17/doc-inivmyff8351269.shtml" TargetMode="External"/><Relationship Id="rId38" Type="http://schemas.openxmlformats.org/officeDocument/2006/relationships/hyperlink" Target="https://www.stcn.com/article/detail/4223959.html" TargetMode="External"/><Relationship Id="rId39" Type="http://schemas.openxmlformats.org/officeDocument/2006/relationships/hyperlink" Target="https://www.stcn.com/article/detail/422392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2026年10月17日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