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信息覆盖时段：2026-09-27 00:00 至 2026-09-28 00:00（不含），Asia/Shanghai。</w:t>
      </w:r>
    </w:p>
    <w:p>
      <w:pPr/>
      <w:r>
        <w:rPr>
          <w:rFonts w:ascii="微软雅黑" w:hAnsi="微软雅黑" w:eastAsia="微软雅黑" w:cs="微软雅黑"/>
        </w:rPr>
        <w:t>统计区间：2026-09-27 至 2026-09-28（结束日不含，北京时间）</w:t>
      </w:r>
    </w:p>
    <w:p>
      <w:pPr>
        <w:ind w:firstLine="420"/>
      </w:pPr>
      <w:r>
        <w:rPr>
          <w:rFonts w:ascii="微软雅黑" w:hAnsi="微软雅黑" w:eastAsia="微软雅黑" w:cs="微软雅黑"/>
        </w:rPr>
        <w:t>资料更新截止：2026-09-28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特朗普拒绝伊朗提出的七天内重新开放霍尔木兹海峡的协议 </w:t>
      </w:r>
      <w:hyperlink w:anchor="source-7167">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7755">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DEWA完成Noor Energy 1太阳能项目27亿美元再融资 </w:t>
      </w:r>
      <w:hyperlink w:anchor="source-7758">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国际油价暗盘上涨，伊朗称不再信任同美国对话 </w:t>
      </w:r>
      <w:hyperlink w:anchor="source-7196">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土耳其周六天然气现货市场交易量环比下降 </w:t>
      </w:r>
      <w:hyperlink w:anchor="source-7553">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山西部署煤炭稳产稳供保障国家能源安全 </w:t>
      </w:r>
      <w:hyperlink w:anchor="source-7140">
        <w:r>
          <w:rPr>
            <w:rFonts w:ascii="微软雅黑" w:hAnsi="微软雅黑" w:eastAsia="微软雅黑" w:cs="微软雅黑"/>
            <w:color w:val="087E89"/>
          </w:rPr>
          <w:t>6</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再融资金额</w:t>
            </w:r>
          </w:p>
        </w:tc>
        <w:tc>
          <w:tcPr>
            <w:tcW w:type="dxa" w:w="2268"/>
          </w:tcPr>
          <w:p>
            <w:pPr>
              <w:spacing w:after="40"/>
            </w:pPr>
            <w:r>
              <w:rPr>
                <w:rFonts w:ascii="微软雅黑" w:hAnsi="微软雅黑" w:eastAsia="微软雅黑" w:cs="微软雅黑"/>
              </w:rPr>
              <w:t>27亿美元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7758">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Noor Energy 1总装机容量</w:t>
            </w:r>
          </w:p>
        </w:tc>
        <w:tc>
          <w:tcPr>
            <w:tcW w:type="dxa" w:w="2268"/>
          </w:tcPr>
          <w:p>
            <w:pPr>
              <w:spacing w:after="40"/>
            </w:pPr>
            <w:r>
              <w:rPr>
                <w:rFonts w:ascii="微软雅黑" w:hAnsi="微软雅黑" w:eastAsia="微软雅黑" w:cs="微软雅黑"/>
              </w:rPr>
              <w:t>950兆瓦（MW）</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7758">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热储能容量</w:t>
            </w:r>
          </w:p>
        </w:tc>
        <w:tc>
          <w:tcPr>
            <w:tcW w:type="dxa" w:w="2268"/>
          </w:tcPr>
          <w:p>
            <w:pPr>
              <w:spacing w:after="40"/>
            </w:pPr>
            <w:r>
              <w:rPr>
                <w:rFonts w:ascii="微软雅黑" w:hAnsi="微软雅黑" w:eastAsia="微软雅黑" w:cs="微软雅黑"/>
              </w:rPr>
              <w:t>最长可达15小时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7758">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暗盘金价</w:t>
            </w:r>
          </w:p>
        </w:tc>
        <w:tc>
          <w:tcPr>
            <w:tcW w:type="dxa" w:w="2268"/>
          </w:tcPr>
          <w:p>
            <w:pPr>
              <w:spacing w:after="40"/>
            </w:pPr>
            <w:r>
              <w:rPr>
                <w:rFonts w:ascii="微软雅黑" w:hAnsi="微软雅黑" w:eastAsia="微软雅黑" w:cs="微软雅黑"/>
              </w:rPr>
              <w:t>4280.22美元/盎司</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7196">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土耳其天然气现货市场周六交易额</w:t>
            </w:r>
          </w:p>
        </w:tc>
        <w:tc>
          <w:tcPr>
            <w:tcW w:type="dxa" w:w="2268"/>
          </w:tcPr>
          <w:p>
            <w:pPr>
              <w:spacing w:after="40"/>
            </w:pPr>
            <w:r>
              <w:rPr>
                <w:rFonts w:ascii="微软雅黑" w:hAnsi="微软雅黑" w:eastAsia="微软雅黑" w:cs="微软雅黑"/>
              </w:rPr>
              <w:t>约480万里拉（环比下降46.5%）</w:t>
            </w:r>
          </w:p>
        </w:tc>
        <w:tc>
          <w:tcPr>
            <w:tcW w:type="dxa" w:w="2268"/>
          </w:tcPr>
          <w:p>
            <w:pPr>
              <w:spacing w:after="40"/>
            </w:pPr>
            <w:r>
              <w:rPr>
                <w:rFonts w:ascii="微软雅黑" w:hAnsi="微软雅黑" w:eastAsia="微软雅黑" w:cs="微软雅黑"/>
              </w:rPr>
              <w:t>周六</w:t>
            </w:r>
          </w:p>
        </w:tc>
        <w:tc>
          <w:tcPr>
            <w:tcW w:type="dxa" w:w="2268"/>
          </w:tcPr>
          <w:p>
            <w:pPr>
              <w:spacing w:after="40"/>
            </w:pPr>
            <w:r>
              <w:rPr>
                <w:rFonts w:ascii="微软雅黑" w:hAnsi="微软雅黑" w:eastAsia="微软雅黑" w:cs="微软雅黑"/>
              </w:rPr>
            </w:r>
            <w:hyperlink w:anchor="source-7553">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每1000立方米天然气价格（周六现货）</w:t>
            </w:r>
          </w:p>
        </w:tc>
        <w:tc>
          <w:tcPr>
            <w:tcW w:type="dxa" w:w="2268"/>
          </w:tcPr>
          <w:p>
            <w:pPr>
              <w:spacing w:after="40"/>
            </w:pPr>
            <w:r>
              <w:rPr>
                <w:rFonts w:ascii="微软雅黑" w:hAnsi="微软雅黑" w:eastAsia="微软雅黑" w:cs="微软雅黑"/>
              </w:rPr>
              <w:t>17562里拉</w:t>
            </w:r>
          </w:p>
        </w:tc>
        <w:tc>
          <w:tcPr>
            <w:tcW w:type="dxa" w:w="2268"/>
          </w:tcPr>
          <w:p>
            <w:pPr>
              <w:spacing w:after="40"/>
            </w:pPr>
            <w:r>
              <w:rPr>
                <w:rFonts w:ascii="微软雅黑" w:hAnsi="微软雅黑" w:eastAsia="微软雅黑" w:cs="微软雅黑"/>
              </w:rPr>
              <w:t>周六</w:t>
            </w:r>
          </w:p>
        </w:tc>
        <w:tc>
          <w:tcPr>
            <w:tcW w:type="dxa" w:w="2268"/>
          </w:tcPr>
          <w:p>
            <w:pPr>
              <w:spacing w:after="40"/>
            </w:pPr>
            <w:r>
              <w:rPr>
                <w:rFonts w:ascii="微软雅黑" w:hAnsi="微软雅黑" w:eastAsia="微软雅黑" w:cs="微软雅黑"/>
              </w:rPr>
            </w:r>
            <w:hyperlink w:anchor="source-7553">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周六天然气累计交易量</w:t>
            </w:r>
          </w:p>
        </w:tc>
        <w:tc>
          <w:tcPr>
            <w:tcW w:type="dxa" w:w="2268"/>
          </w:tcPr>
          <w:p>
            <w:pPr>
              <w:spacing w:after="40"/>
            </w:pPr>
            <w:r>
              <w:rPr>
                <w:rFonts w:ascii="微软雅黑" w:hAnsi="微软雅黑" w:eastAsia="微软雅黑" w:cs="微软雅黑"/>
              </w:rPr>
              <w:t>约275000立方米</w:t>
            </w:r>
          </w:p>
        </w:tc>
        <w:tc>
          <w:tcPr>
            <w:tcW w:type="dxa" w:w="2268"/>
          </w:tcPr>
          <w:p>
            <w:pPr>
              <w:spacing w:after="40"/>
            </w:pPr>
            <w:r>
              <w:rPr>
                <w:rFonts w:ascii="微软雅黑" w:hAnsi="微软雅黑" w:eastAsia="微软雅黑" w:cs="微软雅黑"/>
              </w:rPr>
              <w:t>周六</w:t>
            </w:r>
          </w:p>
        </w:tc>
        <w:tc>
          <w:tcPr>
            <w:tcW w:type="dxa" w:w="2268"/>
          </w:tcPr>
          <w:p>
            <w:pPr>
              <w:spacing w:after="40"/>
            </w:pPr>
            <w:r>
              <w:rPr>
                <w:rFonts w:ascii="微软雅黑" w:hAnsi="微软雅黑" w:eastAsia="微软雅黑" w:cs="微软雅黑"/>
              </w:rPr>
            </w:r>
            <w:hyperlink w:anchor="source-7553">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ESC储能装机目标（输出）</w:t>
            </w:r>
          </w:p>
        </w:tc>
        <w:tc>
          <w:tcPr>
            <w:tcW w:type="dxa" w:w="2268"/>
          </w:tcPr>
          <w:p>
            <w:pPr>
              <w:spacing w:after="40"/>
            </w:pPr>
            <w:r>
              <w:rPr>
                <w:rFonts w:ascii="微软雅黑" w:hAnsi="微软雅黑" w:eastAsia="微软雅黑" w:cs="微软雅黑"/>
              </w:rPr>
              <w:t>225GW</w:t>
            </w:r>
          </w:p>
        </w:tc>
        <w:tc>
          <w:tcPr>
            <w:tcW w:type="dxa" w:w="2268"/>
          </w:tcPr>
          <w:p>
            <w:pPr>
              <w:spacing w:after="40"/>
            </w:pPr>
            <w:r>
              <w:rPr>
                <w:rFonts w:ascii="微软雅黑" w:hAnsi="微软雅黑" w:eastAsia="微软雅黑" w:cs="微软雅黑"/>
              </w:rPr>
              <w:t>2032年末</w:t>
            </w:r>
          </w:p>
        </w:tc>
        <w:tc>
          <w:tcPr>
            <w:tcW w:type="dxa" w:w="2268"/>
          </w:tcPr>
          <w:p>
            <w:pPr>
              <w:spacing w:after="40"/>
            </w:pPr>
            <w:r>
              <w:rPr>
                <w:rFonts w:ascii="微软雅黑" w:hAnsi="微软雅黑" w:eastAsia="微软雅黑" w:cs="微软雅黑"/>
              </w:rPr>
            </w:r>
            <w:hyperlink w:anchor="source-7073">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ESC储能装机目标（容量）</w:t>
            </w:r>
          </w:p>
        </w:tc>
        <w:tc>
          <w:tcPr>
            <w:tcW w:type="dxa" w:w="2268"/>
          </w:tcPr>
          <w:p>
            <w:pPr>
              <w:spacing w:after="40"/>
            </w:pPr>
            <w:r>
              <w:rPr>
                <w:rFonts w:ascii="微软雅黑" w:hAnsi="微软雅黑" w:eastAsia="微软雅黑" w:cs="微软雅黑"/>
              </w:rPr>
              <w:t>1TWh</w:t>
            </w:r>
          </w:p>
        </w:tc>
        <w:tc>
          <w:tcPr>
            <w:tcW w:type="dxa" w:w="2268"/>
          </w:tcPr>
          <w:p>
            <w:pPr>
              <w:spacing w:after="40"/>
            </w:pPr>
            <w:r>
              <w:rPr>
                <w:rFonts w:ascii="微软雅黑" w:hAnsi="微软雅黑" w:eastAsia="微软雅黑" w:cs="微软雅黑"/>
              </w:rPr>
              <w:t>2032年末</w:t>
            </w:r>
          </w:p>
        </w:tc>
        <w:tc>
          <w:tcPr>
            <w:tcW w:type="dxa" w:w="2268"/>
          </w:tcPr>
          <w:p>
            <w:pPr>
              <w:spacing w:after="40"/>
            </w:pPr>
            <w:r>
              <w:rPr>
                <w:rFonts w:ascii="微软雅黑" w:hAnsi="微软雅黑" w:eastAsia="微软雅黑" w:cs="微软雅黑"/>
              </w:rPr>
            </w:r>
            <w:hyperlink w:anchor="source-7073">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美国二季度新增ESS装机</w:t>
            </w:r>
          </w:p>
        </w:tc>
        <w:tc>
          <w:tcPr>
            <w:tcW w:type="dxa" w:w="2268"/>
          </w:tcPr>
          <w:p>
            <w:pPr>
              <w:spacing w:after="40"/>
            </w:pPr>
            <w:r>
              <w:rPr>
                <w:rFonts w:ascii="微软雅黑" w:hAnsi="微软雅黑" w:eastAsia="微软雅黑" w:cs="微软雅黑"/>
              </w:rPr>
              <w:t>20.2GWh</w:t>
            </w:r>
          </w:p>
        </w:tc>
        <w:tc>
          <w:tcPr>
            <w:tcW w:type="dxa" w:w="2268"/>
          </w:tcPr>
          <w:p>
            <w:pPr>
              <w:spacing w:after="40"/>
            </w:pPr>
            <w:r>
              <w:rPr>
                <w:rFonts w:ascii="微软雅黑" w:hAnsi="微软雅黑" w:eastAsia="微软雅黑" w:cs="微软雅黑"/>
              </w:rPr>
              <w:t>今年二季度</w:t>
            </w:r>
          </w:p>
        </w:tc>
        <w:tc>
          <w:tcPr>
            <w:tcW w:type="dxa" w:w="2268"/>
          </w:tcPr>
          <w:p>
            <w:pPr>
              <w:spacing w:after="40"/>
            </w:pPr>
            <w:r>
              <w:rPr>
                <w:rFonts w:ascii="微软雅黑" w:hAnsi="微软雅黑" w:eastAsia="微软雅黑" w:cs="微软雅黑"/>
              </w:rPr>
            </w:r>
            <w:hyperlink w:anchor="source-7073">
              <w:r>
                <w:rPr>
                  <w:rFonts w:ascii="微软雅黑" w:hAnsi="微软雅黑" w:eastAsia="微软雅黑" w:cs="微软雅黑"/>
                  <w:color w:val="087E89"/>
                </w:rPr>
                <w:t>8</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特朗普拒绝伊朗提出的七天内重新开放霍尔木兹海峡的协议</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特朗普于当地时间9月26日在白宫拒绝了伊朗提出的七天内重新开放霍尔木兹海峡供商业航运的提议，称伊朗“希望达成一项协议，立即开放海峡”，但明确表示“我拒绝他们的协议”。伊朗外长阿拉格奇在社交媒体上承认特朗普的言论，但表示德黑兰将等待调解人的正式回应。特朗普还称美国已“完全控制”海峡，且有“大量的石油”经过该水道。</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特朗普在白宫明确拒绝了伊朗提出的七天重新开放霍尔木兹海峡的提议，称美方已“完全控制”海峡，并强调有“大量的石油”经此水道。伊朗外长阿拉格奇在社交媒体确认了特朗普的言论，但同时表示德黑兰仍在等待调解人的正式回应。截至目前，尚无关于协议重启或替代安排的新信息。</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协议被拒可能使霍尔木兹海峡通航受阻状况延续，影响沙特原油外运与国际航运。</w:t>
      </w:r>
    </w:p>
    <w:p>
      <w:pPr>
        <w:ind w:firstLine="420"/>
      </w:pPr>
      <w:r>
        <w:rPr>
          <w:rFonts w:ascii="微软雅黑" w:hAnsi="微软雅黑" w:eastAsia="微软雅黑" w:cs="微软雅黑"/>
        </w:rPr>
        <w:t>来源：</w:t>
      </w:r>
      <w:hyperlink w:anchor="source-7167">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7755">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2. 沙特警告海湾安全与全球能源稳定不可分割 呼吁海峡航行自由</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沙特外交大臣费萨尔在联合国大会发言中警告，中东紧张局势升级威胁国际和平、能源安全与全球贸易。他称沙特及地区国家遭受“公然的伊朗袭击”，目标是安全资源及民用、经济设施，谴责胡塞武装对沙特及商船的导弹和无人机袭击。费萨尔主张能源安全与气候行动应相互促进而非相互排斥，并支持不排除任何能源来源的务实能源转型，同时提及沙特在可再生能源、绿氢、碳捕集技术和更具韧性的基础设施方面的投资。</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费萨尔在联大发言中强调，海湾安全与全球能源安全、国际贸易稳定以及全球供应链的韧性直接相关，沙特呼吁确保霍尔木兹海峡、曼德海峡、红海和亚丁湾等国际水道的航行自由，反将水道作为施压或威胁的工具，并支持以和平方式解决危机。他列举沙特在可再生能源、绿氢、碳捕集技术和韧性基础设施方面的投资，表态支持务实、不排除任何能源来源的能源转型。</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沙特在多边场合公开呼吁海峡航行自由并支持务实能源转型，可能影响国际能源治理与气候议程的协调方向。</w:t>
      </w:r>
    </w:p>
    <w:p>
      <w:pPr>
        <w:ind w:firstLine="420"/>
      </w:pPr>
      <w:r>
        <w:rPr>
          <w:rFonts w:ascii="微软雅黑" w:hAnsi="微软雅黑" w:eastAsia="微软雅黑" w:cs="微软雅黑"/>
        </w:rPr>
        <w:t>来源：</w:t>
      </w:r>
      <w:hyperlink w:anchor="source-7092">
        <w:r>
          <w:rPr>
            <w:rFonts w:ascii="微软雅黑" w:hAnsi="微软雅黑" w:eastAsia="微软雅黑" w:cs="微软雅黑"/>
            <w:color w:val="087E89"/>
          </w:rPr>
          <w:t>12</w:t>
        </w:r>
      </w:hyperlink>
      <w:r>
        <w:rPr>
          <w:rFonts w:ascii="微软雅黑" w:hAnsi="微软雅黑" w:eastAsia="微软雅黑" w:cs="微软雅黑"/>
        </w:rPr>
        <w:t xml:space="preserve"> </w:t>
      </w:r>
      <w:hyperlink w:anchor="source-7085">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3. 霍尔木兹海峡停摆 伊朗贸易重心北移里海份额升至30%</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自美国对伊朗发动军事打击以来，霍尔木兹海峡被关闭，美国对伊朗南部港口实施封锁，伊朗对外贸易重心向北转移。里海港口在伊朗基本货物运输中的份额已从战争开始前的18%上升到30%；截至8月22日的五个月里，运往里海港口的集装箱数量同比增长50%。伊朗正完成拉什特-阿斯塔拉铁路最后一段建设，建成后将与阿塞拜疆、俄罗斯连通，构建国际南北运输走廊西线铁路。今年7月，伊朗指责乌克兰袭击一艘在里海航行的伊朗商船，造成1人死亡。</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指出，美对伊军事打击以来霍尔木兹海峡被关闭，美方对伊朗南部港口实施封锁，伊朗基本货物运输转向里海港口。关键数据包括：里海港口在伊朗基本货物运输中的份额由战前的18%升至30%；截至8月22日的五个月内，运往里海港口的集装箱数量同比增长50%。此外，伊朗正完成拉什特-阿斯塔拉铁路最后一段建设，建成后将连通阿塞拜疆与俄罗斯，构成国际南北运输走廊西线铁路。今年7月，伊朗指责乌克兰在里海袭击一艘伊朗商船，造成1人死亡。</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里海通道承担更多伊朗对外贸易份额，国际南北运输走廊的铁路连通有望重塑区域货运路径，但也带来新的安全与地缘风险。</w:t>
      </w:r>
    </w:p>
    <w:p>
      <w:pPr>
        <w:ind w:firstLine="420"/>
      </w:pPr>
      <w:r>
        <w:rPr>
          <w:rFonts w:ascii="微软雅黑" w:hAnsi="微软雅黑" w:eastAsia="微软雅黑" w:cs="微软雅黑"/>
        </w:rPr>
        <w:t>来源：</w:t>
      </w:r>
      <w:hyperlink w:anchor="source-7702">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4. 乌克兰请求能源和空中停火 普京称之为“过家家”</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俄总统普京表示，乌克兰请求能源和空中停火，是因为俄方报复性打击成效显著，乌方难以应对俄“天竺葵”无人机。普京称，在俄方采取相关行动前，乌军曾在圣彼得堡经济论坛期间袭击港口基础设施、封锁俄罗斯黑海沿岸，导致百余艘俄罗斯和外国船只受损，并袭击电商仓库；乌军还于9月19日晚至20日凌晨对莫斯科发动大规模袭击，时值俄罗斯议会选举期间。普京将乌方的停火和谈判提议形容为“过家家”“儿戏”，强调任何挑衅行为只会令乌方处境更加艰难。他同时证实，乌方关于重启谈判的提议及所谓“和解”方向正在讨论之中，俄方将根据自身利益作出包括恢复谈判进程在内的一切决定。乌方要求俄方解除对黑海沿岸的封锁，以便出口农产品。</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普京在表态中称，乌方请求能源和空中停火是因俄方报复性打击成效显著，乌方难以应对“天竺葵”无人机。他列举乌军在圣彼得堡经济论坛期间袭击港口基础设施、封锁俄罗斯黑海沿岸，导致百余艘俄罗斯和外国船只受损，并袭击电商仓库；以及9月19日晚至20日凌晨对莫斯科的大规模袭击，时值俄罗斯议会选举期间。普京将乌方停火和谈判提议形容为“过家家”“儿戏”，并强调任何挑衅只会让乌方处境更艰难。他同时证实乌方重启谈判的提议正在讨论中，俄方将依自身利益作出包括恢复谈判进程在内的一切决定。乌方明确要求俄方解除黑海沿岸封锁以出口农产品。</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停火提议与黑海封锁解除问题直接关联俄罗斯及全球粮食、能源出口通道，相关表态增加了地区能源与粮食运输的不确定性。</w:t>
      </w:r>
    </w:p>
    <w:p>
      <w:pPr>
        <w:ind w:firstLine="420"/>
      </w:pPr>
      <w:r>
        <w:rPr>
          <w:rFonts w:ascii="微软雅黑" w:hAnsi="微软雅黑" w:eastAsia="微软雅黑" w:cs="微软雅黑"/>
        </w:rPr>
        <w:t>来源：</w:t>
      </w:r>
      <w:hyperlink w:anchor="source-7211">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5. 美国能源部长称霍尔木兹海峡石油流量滚动均值接近每日1300万桶</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部长克里斯·赖特在福克斯新闻节目中表示，霍尔木兹海峡石油流量滚动均值已接近每日1300万桶，上周单日外运石油超过2000万桶，高于冲突前水平。赖特称当前能源价格压力更多源于炼油产能受限，而非石油流通量，并强调特朗普决心阻止伊朗获得核武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赖特披露的关键数据包括：霍尔木兹海峡石油流量滚动均值接近每日1300万桶；上周单日外运石油超过2000万桶，且高于冲突前水平。赖特同时指出，当前的能源价格压力更多源自炼油产能受限，而非石油流通量问题。他还重申特朗普总统决心阻止伊朗获得核武器。这些表态均来自赖特在福克斯新闻节目中的发言。</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海峡外运量高于冲突前水平，但炼油产能受限被指为价格压力的主要来源，影响有待进一步观察。</w:t>
      </w:r>
    </w:p>
    <w:p>
      <w:pPr>
        <w:ind w:firstLine="420"/>
      </w:pPr>
      <w:r>
        <w:rPr>
          <w:rFonts w:ascii="微软雅黑" w:hAnsi="微软雅黑" w:eastAsia="微软雅黑" w:cs="微软雅黑"/>
        </w:rPr>
        <w:t>来源：</w:t>
      </w:r>
      <w:hyperlink w:anchor="source-7226">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6. 国际油价暗盘上涨，伊朗称不再信任同美国对话</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国际油价暗盘上涨；伊朗总统表示不再信任与美国重启对话的进程，并提出立即重开霍尔木兹海峡的意愿，但被美方拒绝。暗盘金价小幅回落至4280.22美元/盎司。</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披露，伊朗方面提议立即重开霍尔木兹海峡，并表达希望与美国达成协议的意愿，但该提议遭美方拒绝。伊朗总统公开表态称不再信任同美国的对话。同期，国际油价暗盘上涨，暗盘金价小幅回落，报4280.22美元/盎司。事件涉及霍尔木兹海峡通行与美伊谈判两条线索。</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原文事实仅给出油价暗盘上涨与金价回落至4280.22美元/盎司，未给出对供应或需求的进一步量化影响。</w:t>
      </w:r>
    </w:p>
    <w:p>
      <w:pPr>
        <w:ind w:firstLine="420"/>
      </w:pPr>
      <w:r>
        <w:rPr>
          <w:rFonts w:ascii="微软雅黑" w:hAnsi="微软雅黑" w:eastAsia="微软雅黑" w:cs="微软雅黑"/>
        </w:rPr>
        <w:t>来源：</w:t>
      </w:r>
      <w:hyperlink w:anchor="source-7196">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7. 尼日利亚汽油零售价降至每升1350奈拉</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尼日利亚石油经销商MRS将拉各斯及周边汽油（PMS）泵价每升下调20奈拉至1350奈拉；部分独立油品经销商亦将零售价从逾1380奈拉/升降至1360奈拉/升。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显示，MRS将拉各斯及周边汽油（PMS）泵价从1370奈拉/升下调20奈拉至1350奈拉/升。部分独立油品经销商同步跟进，将汽油零售价由超过1380奈拉/升下调至1360奈拉/升。液化石油气（LPG）方面，哈尔科夫港均价1125奈拉/千克，瓦里均价1020奈拉/千克。文中未说明降价生效的具体起始日期。</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原文事实仅给出尼日利亚拉各斯及周边汽油与LPG的报价变动，未给出对消费或进口量的影响。</w:t>
      </w:r>
    </w:p>
    <w:p>
      <w:pPr>
        <w:ind w:firstLine="420"/>
      </w:pPr>
      <w:r>
        <w:rPr>
          <w:rFonts w:ascii="微软雅黑" w:hAnsi="微软雅黑" w:eastAsia="微软雅黑" w:cs="微软雅黑"/>
        </w:rPr>
        <w:t>来源：</w:t>
      </w:r>
      <w:hyperlink w:anchor="source-7715">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8. 土耳其周六天然气现货市场交易量环比下降</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土耳其能源交易所伊斯坦布尔（EXIST）数据显示，周六土耳其天然气现货市场交易量约为480万里拉，环比下降46.5%。周五现货市场总交易额约为900万里拉。</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周六现货市场上，每1000立方米天然气价格为17562里拉，累计天然气交易量约为275000立方米。同日土耳其天然气进口接收量约为1.048亿立方米。</w:t>
      </w:r>
    </w:p>
    <w:p>
      <w:pPr>
        <w:ind w:firstLine="420"/>
      </w:pPr>
      <w:r>
        <w:rPr>
          <w:rFonts w:ascii="微软雅黑" w:hAnsi="微软雅黑" w:eastAsia="微软雅黑" w:cs="微软雅黑"/>
        </w:rPr>
        <w:t>来源：</w:t>
      </w:r>
      <w:hyperlink w:anchor="source-7553">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9. 美数据中心燃气发电与ESS协同部署趋势增强</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iM证券研报指出，由于AIDC GPU驱动电力需求大幅波动，瞬时停电即可引发大规模故障，业界在数据中心附近将天然气发电与储能共置部署的趋势正在增强。麦克锡报告认为电网与储能等支撑基础设施相对滞后于发电装机扩张。</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研报展望称，数据中心附近将天然气发电与ESS共置将成为必需选项。已有项目包括xAI位于田纳西州孟菲斯Colossus数据中心1.2 GW项目配套部署特斯拉Megapack ESS。韩国电池企业SK On在美国佐治亚、田纳西等地四座工厂约100 GWh产能部分将转为ESS用途；LG新能源在密歇根州荷兰工厂将既有产线改造为ESS用LFP软包电池量产线；三星SDI在印第安纳州与Stellantis合资的Starplus Energy内建设ESS用LFP电池产线。</w:t>
      </w:r>
    </w:p>
    <w:p>
      <w:pPr>
        <w:ind w:firstLine="420"/>
      </w:pPr>
      <w:r>
        <w:rPr>
          <w:rFonts w:ascii="微软雅黑" w:hAnsi="微软雅黑" w:eastAsia="微软雅黑" w:cs="微软雅黑"/>
        </w:rPr>
        <w:t>来源：</w:t>
      </w:r>
      <w:hyperlink w:anchor="source-7131">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10. 美国ESC提出2032年储能输出225GW、容量1TWh目标</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美国能源存储联盟（ESC）提出到2032年末美国储能装机规模达到225GW输出、1TWh储能容量的目标。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ESC设定的2032年目标为储能输出225GW、储能容量1TWh。来源称相比当前水平，输出将增加300%以上，储能容量将增加500%以上。今年二季度美国新增ESS装机20.2GWh，为单季历史新高，上半年累计30.8GWh。</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ESC设定的目标对韩国电池企业构成增长机遇。</w:t>
      </w:r>
    </w:p>
    <w:p>
      <w:pPr>
        <w:ind w:firstLine="420"/>
      </w:pPr>
      <w:r>
        <w:rPr>
          <w:rFonts w:ascii="微软雅黑" w:hAnsi="微软雅黑" w:eastAsia="微软雅黑" w:cs="微软雅黑"/>
        </w:rPr>
        <w:t>来源：</w:t>
      </w:r>
      <w:hyperlink w:anchor="source-7073">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11. 沙特第三轮CCGT独立电力项目13家公司入围</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沙特电力采购公司（SPPC）在能源部监督下完成第三轮基于CCGT技术的IPP项目资格预审，13家公司入围。</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入围名单包括TAQA、ACWA Power、Al Bawani Capital、Al Jomaih Energy and Water、EDF、Etihad Development、KEPCO、Mitsubishi Power、Nesma Renewable Energy、Marafiq、POWERCHINA、Saudi Energy和Sumitomo Corporation，部分公司同时取得财务成员与技术成员资格。项目范围涵盖天然气CCGT电站开发、融资、EPC、通过SPV持有项目、运营维护，以及与SPPC签订长期PPA售电，并预留未来加装碳捕集（CC）单元接口，作为沙特“循环经济碳”（CCE）路径的一部分。</w:t>
      </w:r>
    </w:p>
    <w:p>
      <w:pPr>
        <w:ind w:firstLine="420"/>
      </w:pPr>
      <w:r>
        <w:rPr>
          <w:rFonts w:ascii="微软雅黑" w:hAnsi="微软雅黑" w:eastAsia="微软雅黑" w:cs="微软雅黑"/>
        </w:rPr>
        <w:t>来源：</w:t>
      </w:r>
      <w:hyperlink w:anchor="source-7819">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12. 金银河拟定增募资不超15亿元投建钠电及固态电池装备项目</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金银河拟向特定对象发行股票募集资金不超过15亿元，投向钠离子电池、消费锂电池、固液电池及新型储能电池高端智能装备产业化项目以及干法电极、固态电池高端智能装备研发建设等项目。</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募集资金扣除发行费用后用于钠离子电池、消费锂电池、固液电池及新型储能电池高端智能装备产业化项目，以及干法电极及固态电池高端智能装备研发建设项目；募投项目还包括硅基材料及高分子材料建设项目（一期）和有机硅超临界物理发泡及金属铷铯真空热还原高端智能装备研发建设项目，募集资金部分用于补充流动资金。</w:t>
      </w:r>
    </w:p>
    <w:p>
      <w:pPr>
        <w:ind w:firstLine="420"/>
      </w:pPr>
      <w:r>
        <w:rPr>
          <w:rFonts w:ascii="微软雅黑" w:hAnsi="微软雅黑" w:eastAsia="微软雅黑" w:cs="微软雅黑"/>
        </w:rPr>
        <w:t>来源：</w:t>
      </w:r>
      <w:hyperlink w:anchor="source-7352">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13. 瓦锡兰提出同步调相机方案以提升高比例逆变器型资源电网稳定性</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瓦锡兰提出将发电机与原动机解耦、发电机作为同步调相机并网的方案，以在风能和光伏装机加速增长背景下提供短路电流强度、惯量和无功功率支撑。</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方案适用于大型互联电网、区域电网和工业微电网等不同规模电力系统。在澳大利亚南澳州和昆士兰州，因高比例逆变器型资源接入，电网运营商识别出对增强稳定性服务的关键需求。独立发电商可在电价高峰期售电，并在停机时通过无功、短路电流和惯量支撑等辅助服务获取收入。</w:t>
      </w:r>
    </w:p>
    <w:p>
      <w:pPr>
        <w:ind w:firstLine="420"/>
      </w:pPr>
      <w:r>
        <w:rPr>
          <w:rFonts w:ascii="微软雅黑" w:hAnsi="微软雅黑" w:eastAsia="微软雅黑" w:cs="微软雅黑"/>
        </w:rPr>
        <w:t>来源：</w:t>
      </w:r>
      <w:hyperlink w:anchor="source-7084">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14. DEWA完成Noor Energy 1太阳能项目27亿美元再融资</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迪拜电力和水务局（DEWA）宣布，已提前完成对Mohammed bin Rashid Al Maktoum太阳能园区第四期Noor Energy 1的27亿美元再融资。该项目由DEWA与ACWA Power牵头的联合体共同实施。</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此次再融资提前于预定日期完成，DEWA表示预计将优化项目融资成本并强化财务结构，在项目运营生命周期内产生可观节省。Noor Energy 1总装机容量为950兆瓦（MW），结合了聚光太阳能（CSP）、抛物槽和光伏（PV）技术，并配备最长可达15小时的热储能容量，可昼夜提供清洁、可调度电力。DEWA将该项目称为世界最大单体聚光太阳能项目。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DEWA董事总经理兼首席执行官Saeed Mohammed Al Tayer表示，该笔27亿美元再融资的成功显示出国际、地区及本地金融机构对阿联酋、迪拜和DEWA的信心；该项目被其描述为“迪拜清洁能源战略2050”的基石。</w:t>
      </w:r>
    </w:p>
    <w:p>
      <w:pPr>
        <w:ind w:firstLine="420"/>
      </w:pPr>
      <w:r>
        <w:rPr>
          <w:rFonts w:ascii="微软雅黑" w:hAnsi="微软雅黑" w:eastAsia="微软雅黑" w:cs="微软雅黑"/>
        </w:rPr>
        <w:t>来源：</w:t>
      </w:r>
      <w:hyperlink w:anchor="source-7758">
        <w:r>
          <w:rPr>
            <w:rFonts w:ascii="微软雅黑" w:hAnsi="微软雅黑" w:eastAsia="微软雅黑" w:cs="微软雅黑"/>
            <w:color w:val="087E89"/>
          </w:rPr>
          <w:t>3</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15. 山西部署煤炭稳产稳供保障国家能源安全</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山西省长卢东亮于9月26日主持召开全省煤炭安全稳产稳供工作推进会，要求全力推动复工复产、稳产稳供，为确保国家能源安全、满足民生用能需求贡献山西力量。</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会议明确把煤炭稳产稳供作为当前重要任务，要求各地、各部门和企业落实安全责任、加快复工复产节奏、稳定供应秩序。山西作为全国重要煤炭产区，其产量与外调节奏直接影响国家能源保供大局。</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有助于稳定国内煤炭供应预期、保障民生用能和电力用煤需求，对冲外部油气价格波动带来的能源安全压力。</w:t>
      </w:r>
    </w:p>
    <w:p>
      <w:pPr>
        <w:ind w:firstLine="420"/>
      </w:pPr>
      <w:r>
        <w:rPr>
          <w:rFonts w:ascii="微软雅黑" w:hAnsi="微软雅黑" w:eastAsia="微软雅黑" w:cs="微软雅黑"/>
        </w:rPr>
        <w:t>来源：</w:t>
      </w:r>
      <w:hyperlink w:anchor="source-7140">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16. 浙江发布海洋清洁能源产业发展指引，目标2030年规模破3000亿元</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浙江省海洋经济发展厅发布《浙江省海洋清洁能源产业发展指引》，聚焦海上风电、海上光伏、海洋能、沿海核电四大产业，提出到2030年全省海洋清洁能源及其装备产业规模突破3000亿元。</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指引》明确四大产业方向：到2030年，海上风电装机超1000万千瓦，建成千万千瓦级海上风电基地，风电母港等标志性工程投产；潮流能实现百兆瓦级商业化应用；海上光伏实现“风光同场”连片开发；沿海核电领域前瞻开展小型模块化反应堆、高温气冷堆研究。培育海洋清洁能源领域领军企业、专精特新企业50家以上，目标基本建成全国海洋清洁能源创新高地、产业培育集聚地、融合发展先行地。海上风电上游补齐大型叶片及碳纤维主梁、高压功率器件等环节，中游发展大兆瓦整机及漂浮式机组。</w:t>
      </w:r>
    </w:p>
    <w:p>
      <w:pPr>
        <w:ind w:firstLine="420"/>
      </w:pPr>
      <w:r>
        <w:rPr>
          <w:rFonts w:ascii="微软雅黑" w:hAnsi="微软雅黑" w:eastAsia="微软雅黑" w:cs="微软雅黑"/>
        </w:rPr>
        <w:t>来源：</w:t>
      </w:r>
      <w:hyperlink w:anchor="source-7139">
        <w:r>
          <w:rPr>
            <w:rFonts w:ascii="微软雅黑" w:hAnsi="微软雅黑" w:eastAsia="微软雅黑" w:cs="微软雅黑"/>
            <w:color w:val="087E89"/>
          </w:rPr>
          <w:t>10</w:t>
        </w:r>
      </w:hyperlink>
      <w:r>
        <w:rPr>
          <w:rFonts w:ascii="微软雅黑" w:hAnsi="微软雅黑" w:eastAsia="微软雅黑" w:cs="微软雅黑"/>
        </w:rPr>
        <w:t xml:space="preserve"> </w:t>
      </w:r>
      <w:hyperlink w:anchor="source-7138">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17. 江苏广东10月月度电价创年内新高，电力供需转向紧平衡</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10月江苏月度电价达0.395元/千瓦时，广东达456.78厘/千瓦时，环比均上涨超5分，报道称为年内新高，且均高于年度长协电价0.372元/千瓦时。</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指出，即便夏季用电需求低迷，煤电成本仍向终端传导，反映定价机制更趋市场化；四季度为年度长协签约期，月度高价为明年长协电价提供指引。供给端方面，报道称火电核准装机大幅放缓、风光投产同比下滑、核电集中投产，供需格局转向紧平衡。研报认为火电盈利弹性最显著，水电受益来水改善与电价提升，核电迎来装机高峰，行业整体盈利修复可期（来源为研报观点）。</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来源指出，研报认为火电盈利弹性显著，水电、核电亦受益；行业整体盈利修复可期（属研报观点）。</w:t>
      </w:r>
    </w:p>
    <w:p>
      <w:pPr>
        <w:ind w:firstLine="420"/>
      </w:pPr>
      <w:r>
        <w:rPr>
          <w:rFonts w:ascii="微软雅黑" w:hAnsi="微软雅黑" w:eastAsia="微软雅黑" w:cs="微软雅黑"/>
        </w:rPr>
        <w:t>来源：</w:t>
      </w:r>
      <w:hyperlink w:anchor="source-7339">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18. “十五五”纲要部署全面实施“人工智能+”行动</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我国“十五五”规划纲要部署全面实施“人工智能+”行动，要求抢占人工智能产业应用制高点，全方位赋能千行百业。</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纲要提出将人工智能作为推动经济社会发展的核心驱动力，要求抢占产业应用制高点，全方位赋能千行百业。纲要同时强调，算电协同深入推进，绿电成为人工智能发展的重要优势，依托我国占全球总量1/3的发电量以及全球最大、发展最快的可再生能源体系，为智能经济发展提供能源支撑。</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纲要将人工智能与能源体系协同纳入顶层部署，为绿电消纳和算力基础设施布局提供政策导向。</w:t>
      </w:r>
    </w:p>
    <w:p>
      <w:pPr>
        <w:ind w:firstLine="420"/>
      </w:pPr>
      <w:r>
        <w:rPr>
          <w:rFonts w:ascii="微软雅黑" w:hAnsi="微软雅黑" w:eastAsia="微软雅黑" w:cs="微软雅黑"/>
        </w:rPr>
        <w:t>来源：</w:t>
      </w:r>
      <w:hyperlink w:anchor="source-7124">
        <w:r>
          <w:rPr>
            <w:rFonts w:ascii="微软雅黑" w:hAnsi="微软雅黑" w:eastAsia="微软雅黑" w:cs="微软雅黑"/>
            <w:color w:val="087E89"/>
          </w:rPr>
          <w:t>7</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美方是否会通过调解人给出正式回应；伊朗方面是否会调整条件或采取其他外交动作。 </w:t>
      </w:r>
      <w:hyperlink w:anchor="source-7167">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7755">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再融资预计在项目运营生命周期内产生的具体节省金额未披露。 </w:t>
      </w:r>
      <w:hyperlink w:anchor="source-7758">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霍尔木兹海峡是否实际重开、美伊是否恢复谈判及谈判条件尚无证据确认。 </w:t>
      </w:r>
      <w:hyperlink w:anchor="source-7196">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复工复产进度及外调煤炭量能否按要求落实。 </w:t>
      </w:r>
      <w:hyperlink w:anchor="source-7140">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“人工智能+”行动在千行百业的具体落地路径及配套政策有待进一步明确。 </w:t>
      </w:r>
      <w:hyperlink w:anchor="source-7124">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225GW输出与1TWh容量目标的实现路径与配套政策仍待落实。 </w:t>
      </w:r>
      <w:hyperlink w:anchor="source-7073">
        <w:r>
          <w:rPr>
            <w:rFonts w:ascii="微软雅黑" w:hAnsi="微软雅黑" w:eastAsia="微软雅黑" w:cs="微软雅黑"/>
            <w:color w:val="087E89"/>
          </w:rPr>
          <w:t>8</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66 篇文章，形成 56 篇有效能源材料；正文引用 21 篇来源，整理 18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2 篇材料尚待复核，未纳入本期判断。</w:t>
      </w:r>
    </w:p>
    <w:p>
      <w:pPr>
        <w:pStyle w:val="Heading2"/>
      </w:pPr>
      <w:r>
        <w:rPr>
          <w:rFonts w:ascii="微软雅黑" w:hAnsi="微软雅黑" w:eastAsia="微软雅黑" w:cs="微软雅黑"/>
        </w:rPr>
        <w:t>资料来源</w:t>
      </w:r>
    </w:p>
    <w:p>
      <w:pPr>
        <w:spacing w:after="0" w:line="20" w:lineRule="exact"/>
      </w:pPr>
      <w:bookmarkStart w:id="1" w:name="source-7167"/>
      <w:bookmarkEnd w:id="1" w:name="source-7167"/>
    </w:p>
    <w:p>
      <w:pPr>
        <w:pStyle w:val="ListBullet"/>
      </w:pPr>
      <w:r>
        <w:rPr>
          <w:rFonts w:ascii="微软雅黑" w:hAnsi="微软雅黑" w:eastAsia="微软雅黑" w:cs="微软雅黑"/>
        </w:rPr>
        <w:t>[1] 中国新闻网｜</w:t>
      </w:r>
      <w:hyperlink r:id="rId11">
        <w:r>
          <w:rPr>
            <w:rFonts w:ascii="微软雅黑" w:hAnsi="微软雅黑" w:eastAsia="微软雅黑" w:cs="微软雅黑"/>
            <w:color w:val="087E89"/>
          </w:rPr>
          <w:t>特朗普拒绝了伊朗提出的七天内重新开放霍尔木兹海峡的协议</w:t>
        </w:r>
      </w:hyperlink>
      <w:r>
        <w:rPr>
          <w:rFonts w:ascii="微软雅黑" w:hAnsi="微软雅黑" w:eastAsia="微软雅黑" w:cs="微软雅黑"/>
        </w:rPr>
      </w:r>
    </w:p>
    <w:p>
      <w:pPr>
        <w:spacing w:after="0" w:line="20" w:lineRule="exact"/>
      </w:pPr>
      <w:bookmarkStart w:id="2" w:name="source-7755"/>
      <w:bookmarkEnd w:id="2" w:name="source-7755"/>
    </w:p>
    <w:p>
      <w:pPr>
        <w:pStyle w:val="ListBullet"/>
      </w:pPr>
      <w:r>
        <w:rPr>
          <w:rFonts w:ascii="微软雅黑" w:hAnsi="微软雅黑" w:eastAsia="微软雅黑" w:cs="微软雅黑"/>
        </w:rPr>
        <w:t>[2] 新浪财经｜</w:t>
      </w:r>
      <w:hyperlink r:id="rId12">
        <w:r>
          <w:rPr>
            <w:rFonts w:ascii="微软雅黑" w:hAnsi="微软雅黑" w:eastAsia="微软雅黑" w:cs="微软雅黑"/>
            <w:color w:val="087E89"/>
          </w:rPr>
          <w:t>伊朗外长确认与美国的间接谈判 军方仍保持强硬立场</w:t>
        </w:r>
      </w:hyperlink>
      <w:r>
        <w:rPr>
          <w:rFonts w:ascii="微软雅黑" w:hAnsi="微软雅黑" w:eastAsia="微软雅黑" w:cs="微软雅黑"/>
        </w:rPr>
      </w:r>
    </w:p>
    <w:p>
      <w:pPr>
        <w:spacing w:after="0" w:line="20" w:lineRule="exact"/>
      </w:pPr>
      <w:bookmarkStart w:id="3" w:name="source-7758"/>
      <w:bookmarkEnd w:id="3" w:name="source-7758"/>
    </w:p>
    <w:p>
      <w:pPr>
        <w:pStyle w:val="ListBullet"/>
      </w:pPr>
      <w:r>
        <w:rPr>
          <w:rFonts w:ascii="微软雅黑" w:hAnsi="微软雅黑" w:eastAsia="微软雅黑" w:cs="微软雅黑"/>
        </w:rPr>
        <w:t>[3] SaudiGulf Projects｜</w:t>
      </w:r>
      <w:hyperlink r:id="rId13">
        <w:r>
          <w:rPr>
            <w:rFonts w:ascii="微软雅黑" w:hAnsi="微软雅黑" w:eastAsia="微软雅黑" w:cs="微软雅黑"/>
            <w:color w:val="087E89"/>
          </w:rPr>
          <w:t>DEWA完成Noor Energy 1太阳能项目27亿美元再融资</w:t>
        </w:r>
      </w:hyperlink>
      <w:r>
        <w:rPr>
          <w:rFonts w:ascii="微软雅黑" w:hAnsi="微软雅黑" w:eastAsia="微软雅黑" w:cs="微软雅黑"/>
        </w:rPr>
      </w:r>
    </w:p>
    <w:p>
      <w:pPr>
        <w:spacing w:after="0" w:line="20" w:lineRule="exact"/>
      </w:pPr>
      <w:bookmarkStart w:id="4" w:name="source-7196"/>
      <w:bookmarkEnd w:id="4" w:name="source-7196"/>
    </w:p>
    <w:p>
      <w:pPr>
        <w:pStyle w:val="ListBullet"/>
      </w:pPr>
      <w:r>
        <w:rPr>
          <w:rFonts w:ascii="微软雅黑" w:hAnsi="微软雅黑" w:eastAsia="微软雅黑" w:cs="微软雅黑"/>
        </w:rPr>
        <w:t>[4] 新浪财经｜</w:t>
      </w:r>
      <w:hyperlink r:id="rId14">
        <w:r>
          <w:rPr>
            <w:rFonts w:ascii="微软雅黑" w:hAnsi="微软雅黑" w:eastAsia="微软雅黑" w:cs="微软雅黑"/>
            <w:color w:val="087E89"/>
          </w:rPr>
          <w:t>国际油价暗盘上涨，伊朗总统：不再信任同美国的对话</w:t>
        </w:r>
      </w:hyperlink>
      <w:r>
        <w:rPr>
          <w:rFonts w:ascii="微软雅黑" w:hAnsi="微软雅黑" w:eastAsia="微软雅黑" w:cs="微软雅黑"/>
        </w:rPr>
      </w:r>
    </w:p>
    <w:p>
      <w:pPr>
        <w:spacing w:after="0" w:line="20" w:lineRule="exact"/>
      </w:pPr>
      <w:bookmarkStart w:id="5" w:name="source-7553"/>
      <w:bookmarkEnd w:id="5" w:name="source-7553"/>
    </w:p>
    <w:p>
      <w:pPr>
        <w:pStyle w:val="ListBullet"/>
      </w:pPr>
      <w:r>
        <w:rPr>
          <w:rFonts w:ascii="微软雅黑" w:hAnsi="微软雅黑" w:eastAsia="微软雅黑" w:cs="微软雅黑"/>
        </w:rPr>
        <w:t>[5] Anadolu Agency｜</w:t>
      </w:r>
      <w:hyperlink r:id="rId15">
        <w:r>
          <w:rPr>
            <w:rFonts w:ascii="微软雅黑" w:hAnsi="微软雅黑" w:eastAsia="微软雅黑" w:cs="微软雅黑"/>
            <w:color w:val="087E89"/>
          </w:rPr>
          <w:t>土耳其周六天然气现货市场价格</w:t>
        </w:r>
      </w:hyperlink>
      <w:r>
        <w:rPr>
          <w:rFonts w:ascii="微软雅黑" w:hAnsi="微软雅黑" w:eastAsia="微软雅黑" w:cs="微软雅黑"/>
        </w:rPr>
      </w:r>
    </w:p>
    <w:p>
      <w:pPr>
        <w:spacing w:after="0" w:line="20" w:lineRule="exact"/>
      </w:pPr>
      <w:bookmarkStart w:id="6" w:name="source-7140"/>
      <w:bookmarkEnd w:id="6" w:name="source-7140"/>
    </w:p>
    <w:p>
      <w:pPr>
        <w:pStyle w:val="ListBullet"/>
      </w:pPr>
      <w:r>
        <w:rPr>
          <w:rFonts w:ascii="微软雅黑" w:hAnsi="微软雅黑" w:eastAsia="微软雅黑" w:cs="微软雅黑"/>
        </w:rPr>
        <w:t>[6] Mysteel｜</w:t>
      </w:r>
      <w:hyperlink r:id="rId16">
        <w:r>
          <w:rPr>
            <w:rFonts w:ascii="微软雅黑" w:hAnsi="微软雅黑" w:eastAsia="微软雅黑" w:cs="微软雅黑"/>
            <w:color w:val="087E89"/>
          </w:rPr>
          <w:t>中秋假期热点汇总：中美达成八点成果共识，山西部署煤炭稳产稳供</w:t>
        </w:r>
      </w:hyperlink>
      <w:r>
        <w:rPr>
          <w:rFonts w:ascii="微软雅黑" w:hAnsi="微软雅黑" w:eastAsia="微软雅黑" w:cs="微软雅黑"/>
        </w:rPr>
      </w:r>
    </w:p>
    <w:p>
      <w:pPr>
        <w:spacing w:after="0" w:line="20" w:lineRule="exact"/>
      </w:pPr>
      <w:bookmarkStart w:id="7" w:name="source-7124"/>
      <w:bookmarkEnd w:id="7" w:name="source-7124"/>
    </w:p>
    <w:p>
      <w:pPr>
        <w:pStyle w:val="ListBullet"/>
      </w:pPr>
      <w:r>
        <w:rPr>
          <w:rFonts w:ascii="微软雅黑" w:hAnsi="微软雅黑" w:eastAsia="微软雅黑" w:cs="微软雅黑"/>
        </w:rPr>
        <w:t>[7] 人民日报｜</w:t>
      </w:r>
      <w:hyperlink r:id="rId17">
        <w:r>
          <w:rPr>
            <w:rFonts w:ascii="微软雅黑" w:hAnsi="微软雅黑" w:eastAsia="微软雅黑" w:cs="微软雅黑"/>
            <w:color w:val="087E89"/>
          </w:rPr>
          <w:t>智能经济何以塑造中国发展新优势</w:t>
        </w:r>
      </w:hyperlink>
      <w:r>
        <w:rPr>
          <w:rFonts w:ascii="微软雅黑" w:hAnsi="微软雅黑" w:eastAsia="微软雅黑" w:cs="微软雅黑"/>
        </w:rPr>
      </w:r>
    </w:p>
    <w:p>
      <w:pPr>
        <w:spacing w:after="0" w:line="20" w:lineRule="exact"/>
      </w:pPr>
      <w:bookmarkStart w:id="8" w:name="source-7073"/>
      <w:bookmarkEnd w:id="8" w:name="source-7073"/>
    </w:p>
    <w:p>
      <w:pPr>
        <w:pStyle w:val="ListBullet"/>
      </w:pPr>
      <w:r>
        <w:rPr>
          <w:rFonts w:ascii="微软雅黑" w:hAnsi="微软雅黑" w:eastAsia="微软雅黑" w:cs="微软雅黑"/>
        </w:rPr>
        <w:t>[8] 韩国联合通讯社｜</w:t>
      </w:r>
      <w:hyperlink r:id="rId18">
        <w:r>
          <w:rPr>
            <w:rFonts w:ascii="微软雅黑" w:hAnsi="微软雅黑" w:eastAsia="微软雅黑" w:cs="微软雅黑"/>
            <w:color w:val="087E89"/>
          </w:rPr>
          <w:t>美国ESS，2032年储能容量目标1TWh……韩国电池企业迎来增长机遇</w:t>
        </w:r>
      </w:hyperlink>
      <w:r>
        <w:rPr>
          <w:rFonts w:ascii="微软雅黑" w:hAnsi="微软雅黑" w:eastAsia="微软雅黑" w:cs="微软雅黑"/>
        </w:rPr>
      </w:r>
    </w:p>
    <w:p>
      <w:pPr>
        <w:spacing w:after="0" w:line="20" w:lineRule="exact"/>
      </w:pPr>
      <w:bookmarkStart w:id="9" w:name="source-7339"/>
      <w:bookmarkEnd w:id="9" w:name="source-7339"/>
    </w:p>
    <w:p>
      <w:pPr>
        <w:pStyle w:val="ListBullet"/>
      </w:pPr>
      <w:r>
        <w:rPr>
          <w:rFonts w:ascii="微软雅黑" w:hAnsi="微软雅黑" w:eastAsia="微软雅黑" w:cs="微软雅黑"/>
        </w:rPr>
        <w:t>[9] 中财网｜</w:t>
      </w:r>
      <w:hyperlink r:id="rId19">
        <w:r>
          <w:rPr>
            <w:rFonts w:ascii="微软雅黑" w:hAnsi="微软雅黑" w:eastAsia="微软雅黑" w:cs="微软雅黑"/>
            <w:color w:val="087E89"/>
          </w:rPr>
          <w:t>江苏广东电价大涨 电力周期拐点将至</w:t>
        </w:r>
      </w:hyperlink>
      <w:r>
        <w:rPr>
          <w:rFonts w:ascii="微软雅黑" w:hAnsi="微软雅黑" w:eastAsia="微软雅黑" w:cs="微软雅黑"/>
        </w:rPr>
      </w:r>
    </w:p>
    <w:p>
      <w:pPr>
        <w:spacing w:after="0" w:line="20" w:lineRule="exact"/>
      </w:pPr>
      <w:bookmarkStart w:id="10" w:name="source-7139"/>
      <w:bookmarkEnd w:id="10" w:name="source-7139"/>
    </w:p>
    <w:p>
      <w:pPr>
        <w:pStyle w:val="ListBullet"/>
      </w:pPr>
      <w:r>
        <w:rPr>
          <w:rFonts w:ascii="微软雅黑" w:hAnsi="微软雅黑" w:eastAsia="微软雅黑" w:cs="微软雅黑"/>
        </w:rPr>
        <w:t>[10] Mysteel｜</w:t>
      </w:r>
      <w:hyperlink r:id="rId20">
        <w:r>
          <w:rPr>
            <w:rFonts w:ascii="微软雅黑" w:hAnsi="微软雅黑" w:eastAsia="微软雅黑" w:cs="微软雅黑"/>
            <w:color w:val="087E89"/>
          </w:rPr>
          <w:t>到2030年规模突破3000亿元！浙江全链条打造海洋清洁能源产业集群</w:t>
        </w:r>
      </w:hyperlink>
      <w:r>
        <w:rPr>
          <w:rFonts w:ascii="微软雅黑" w:hAnsi="微软雅黑" w:eastAsia="微软雅黑" w:cs="微软雅黑"/>
        </w:rPr>
      </w:r>
    </w:p>
    <w:p>
      <w:pPr>
        <w:spacing w:after="0" w:line="20" w:lineRule="exact"/>
      </w:pPr>
      <w:bookmarkStart w:id="11" w:name="source-7138"/>
      <w:bookmarkEnd w:id="11" w:name="source-7138"/>
    </w:p>
    <w:p>
      <w:pPr>
        <w:pStyle w:val="ListBullet"/>
      </w:pPr>
      <w:r>
        <w:rPr>
          <w:rFonts w:ascii="微软雅黑" w:hAnsi="微软雅黑" w:eastAsia="微软雅黑" w:cs="微软雅黑"/>
        </w:rPr>
        <w:t>[11] 财联社｜</w:t>
      </w:r>
      <w:hyperlink r:id="rId21">
        <w:r>
          <w:rPr>
            <w:rFonts w:ascii="微软雅黑" w:hAnsi="微软雅黑" w:eastAsia="微软雅黑" w:cs="微软雅黑"/>
            <w:color w:val="087E89"/>
          </w:rPr>
          <w:t>到2030年规模突破3000亿元 浙江全链条打造海洋清洁能源产业集群</w:t>
        </w:r>
      </w:hyperlink>
      <w:r>
        <w:rPr>
          <w:rFonts w:ascii="微软雅黑" w:hAnsi="微软雅黑" w:eastAsia="微软雅黑" w:cs="微软雅黑"/>
        </w:rPr>
      </w:r>
    </w:p>
    <w:p>
      <w:pPr>
        <w:spacing w:after="0" w:line="20" w:lineRule="exact"/>
      </w:pPr>
      <w:bookmarkStart w:id="12" w:name="source-7092"/>
      <w:bookmarkEnd w:id="12" w:name="source-7092"/>
    </w:p>
    <w:p>
      <w:pPr>
        <w:pStyle w:val="ListBullet"/>
      </w:pPr>
      <w:r>
        <w:rPr>
          <w:rFonts w:ascii="微软雅黑" w:hAnsi="微软雅黑" w:eastAsia="微软雅黑" w:cs="微软雅黑"/>
        </w:rPr>
        <w:t>[12] 联合国｜</w:t>
      </w:r>
      <w:hyperlink r:id="rId22">
        <w:r>
          <w:rPr>
            <w:rFonts w:ascii="微软雅黑" w:hAnsi="微软雅黑" w:eastAsia="微软雅黑" w:cs="微软雅黑"/>
            <w:color w:val="087E89"/>
          </w:rPr>
          <w:t>沙特阿拉伯警告海湾安全与全球稳定不可分割，地区局势紧张</w:t>
        </w:r>
      </w:hyperlink>
      <w:r>
        <w:rPr>
          <w:rFonts w:ascii="微软雅黑" w:hAnsi="微软雅黑" w:eastAsia="微软雅黑" w:cs="微软雅黑"/>
        </w:rPr>
      </w:r>
    </w:p>
    <w:p>
      <w:pPr>
        <w:spacing w:after="0" w:line="20" w:lineRule="exact"/>
      </w:pPr>
      <w:bookmarkStart w:id="13" w:name="source-7085"/>
      <w:bookmarkEnd w:id="13" w:name="source-7085"/>
    </w:p>
    <w:p>
      <w:pPr>
        <w:pStyle w:val="ListBullet"/>
      </w:pPr>
      <w:r>
        <w:rPr>
          <w:rFonts w:ascii="微软雅黑" w:hAnsi="微软雅黑" w:eastAsia="微软雅黑" w:cs="微软雅黑"/>
        </w:rPr>
        <w:t>[13] 新华社国际要闻（战略与能源）｜</w:t>
      </w:r>
      <w:hyperlink r:id="rId23">
        <w:r>
          <w:rPr>
            <w:rFonts w:ascii="微软雅黑" w:hAnsi="微软雅黑" w:eastAsia="微软雅黑" w:cs="微软雅黑"/>
            <w:color w:val="087E89"/>
          </w:rPr>
          <w:t>沙特称霍尔木兹海峡须恢复至“战前状态”</w:t>
        </w:r>
      </w:hyperlink>
      <w:r>
        <w:rPr>
          <w:rFonts w:ascii="微软雅黑" w:hAnsi="微软雅黑" w:eastAsia="微软雅黑" w:cs="微软雅黑"/>
        </w:rPr>
      </w:r>
    </w:p>
    <w:p>
      <w:pPr>
        <w:spacing w:after="0" w:line="20" w:lineRule="exact"/>
      </w:pPr>
      <w:bookmarkStart w:id="14" w:name="source-7819"/>
      <w:bookmarkEnd w:id="14" w:name="source-7819"/>
    </w:p>
    <w:p>
      <w:pPr>
        <w:pStyle w:val="ListBullet"/>
      </w:pPr>
      <w:r>
        <w:rPr>
          <w:rFonts w:ascii="微软雅黑" w:hAnsi="微软雅黑" w:eastAsia="微软雅黑" w:cs="微软雅黑"/>
        </w:rPr>
        <w:t>[14] SaudiGulf Projects｜</w:t>
      </w:r>
      <w:hyperlink r:id="rId24">
        <w:r>
          <w:rPr>
            <w:rFonts w:ascii="微软雅黑" w:hAnsi="微软雅黑" w:eastAsia="微软雅黑" w:cs="微软雅黑"/>
            <w:color w:val="087E89"/>
          </w:rPr>
          <w:t>沙特阿拉伯确定13家公司获得第三轮CCGT独立电力项目资格</w:t>
        </w:r>
      </w:hyperlink>
      <w:r>
        <w:rPr>
          <w:rFonts w:ascii="微软雅黑" w:hAnsi="微软雅黑" w:eastAsia="微软雅黑" w:cs="微软雅黑"/>
        </w:rPr>
      </w:r>
    </w:p>
    <w:p>
      <w:pPr>
        <w:spacing w:after="0" w:line="20" w:lineRule="exact"/>
      </w:pPr>
      <w:bookmarkStart w:id="15" w:name="source-7715"/>
      <w:bookmarkEnd w:id="15" w:name="source-7715"/>
    </w:p>
    <w:p>
      <w:pPr>
        <w:pStyle w:val="ListBullet"/>
      </w:pPr>
      <w:r>
        <w:rPr>
          <w:rFonts w:ascii="微软雅黑" w:hAnsi="微软雅黑" w:eastAsia="微软雅黑" w:cs="微软雅黑"/>
        </w:rPr>
        <w:t>[15] Vanguard News｜</w:t>
      </w:r>
      <w:hyperlink r:id="rId25">
        <w:r>
          <w:rPr>
            <w:rFonts w:ascii="微软雅黑" w:hAnsi="微软雅黑" w:eastAsia="微软雅黑" w:cs="微软雅黑"/>
            <w:color w:val="087E89"/>
          </w:rPr>
          <w:t>石油经销商将汽油价格降至每升1,350奈拉，油库价格下跌</w:t>
        </w:r>
      </w:hyperlink>
      <w:r>
        <w:rPr>
          <w:rFonts w:ascii="微软雅黑" w:hAnsi="微软雅黑" w:eastAsia="微软雅黑" w:cs="微软雅黑"/>
        </w:rPr>
      </w:r>
    </w:p>
    <w:p>
      <w:pPr>
        <w:spacing w:after="0" w:line="20" w:lineRule="exact"/>
      </w:pPr>
      <w:bookmarkStart w:id="16" w:name="source-7131"/>
      <w:bookmarkEnd w:id="16" w:name="source-7131"/>
    </w:p>
    <w:p>
      <w:pPr>
        <w:pStyle w:val="ListBullet"/>
      </w:pPr>
      <w:r>
        <w:rPr>
          <w:rFonts w:ascii="微软雅黑" w:hAnsi="微软雅黑" w:eastAsia="微软雅黑" w:cs="微软雅黑"/>
        </w:rPr>
        <w:t>[16] 韩国联合通讯社｜</w:t>
      </w:r>
      <w:hyperlink r:id="rId26">
        <w:r>
          <w:rPr>
            <w:rFonts w:ascii="微软雅黑" w:hAnsi="微软雅黑" w:eastAsia="微软雅黑" w:cs="微软雅黑"/>
            <w:color w:val="087E89"/>
          </w:rPr>
          <w:t>对美投资1号燃气发电推进，ESS备受期待……K-电池新市场</w:t>
        </w:r>
      </w:hyperlink>
      <w:r>
        <w:rPr>
          <w:rFonts w:ascii="微软雅黑" w:hAnsi="微软雅黑" w:eastAsia="微软雅黑" w:cs="微软雅黑"/>
        </w:rPr>
      </w:r>
    </w:p>
    <w:p>
      <w:pPr>
        <w:spacing w:after="0" w:line="20" w:lineRule="exact"/>
      </w:pPr>
      <w:bookmarkStart w:id="17" w:name="source-7702"/>
      <w:bookmarkEnd w:id="17" w:name="source-7702"/>
    </w:p>
    <w:p>
      <w:pPr>
        <w:pStyle w:val="ListBullet"/>
      </w:pPr>
      <w:r>
        <w:rPr>
          <w:rFonts w:ascii="微软雅黑" w:hAnsi="微软雅黑" w:eastAsia="微软雅黑" w:cs="微软雅黑"/>
        </w:rPr>
        <w:t>[17] 新浪财经｜</w:t>
      </w:r>
      <w:hyperlink r:id="rId27">
        <w:r>
          <w:rPr>
            <w:rFonts w:ascii="微软雅黑" w:hAnsi="微软雅黑" w:eastAsia="微软雅黑" w:cs="微软雅黑"/>
            <w:color w:val="087E89"/>
          </w:rPr>
          <w:t>“霍尔木兹海峡停摆，伊朗贸易重心正向北转移到里海”</w:t>
        </w:r>
      </w:hyperlink>
      <w:r>
        <w:rPr>
          <w:rFonts w:ascii="微软雅黑" w:hAnsi="微软雅黑" w:eastAsia="微软雅黑" w:cs="微软雅黑"/>
        </w:rPr>
      </w:r>
    </w:p>
    <w:p>
      <w:pPr>
        <w:spacing w:after="0" w:line="20" w:lineRule="exact"/>
      </w:pPr>
      <w:bookmarkStart w:id="18" w:name="source-7352"/>
      <w:bookmarkEnd w:id="18" w:name="source-7352"/>
    </w:p>
    <w:p>
      <w:pPr>
        <w:pStyle w:val="ListBullet"/>
      </w:pPr>
      <w:r>
        <w:rPr>
          <w:rFonts w:ascii="微软雅黑" w:hAnsi="微软雅黑" w:eastAsia="微软雅黑" w:cs="微软雅黑"/>
        </w:rPr>
        <w:t>[18] 人民财讯等｜</w:t>
      </w:r>
      <w:hyperlink r:id="rId28">
        <w:r>
          <w:rPr>
            <w:rFonts w:ascii="微软雅黑" w:hAnsi="微软雅黑" w:eastAsia="微软雅黑" w:cs="微软雅黑"/>
            <w:color w:val="087E89"/>
          </w:rPr>
          <w:t>金银河：拟定增募资不超15亿元 用于钠离子电池、消费锂电池、固液电池及新型储能电池高端智能装备产业化等项目</w:t>
        </w:r>
      </w:hyperlink>
      <w:r>
        <w:rPr>
          <w:rFonts w:ascii="微软雅黑" w:hAnsi="微软雅黑" w:eastAsia="微软雅黑" w:cs="微软雅黑"/>
        </w:rPr>
      </w:r>
    </w:p>
    <w:p>
      <w:pPr>
        <w:spacing w:after="0" w:line="20" w:lineRule="exact"/>
      </w:pPr>
      <w:bookmarkStart w:id="19" w:name="source-7211"/>
      <w:bookmarkEnd w:id="19" w:name="source-7211"/>
    </w:p>
    <w:p>
      <w:pPr>
        <w:pStyle w:val="ListBullet"/>
      </w:pPr>
      <w:r>
        <w:rPr>
          <w:rFonts w:ascii="微软雅黑" w:hAnsi="微软雅黑" w:eastAsia="微软雅黑" w:cs="微软雅黑"/>
        </w:rPr>
        <w:t>[19] 新浪财经｜</w:t>
      </w:r>
      <w:hyperlink r:id="rId29">
        <w:r>
          <w:rPr>
            <w:rFonts w:ascii="微软雅黑" w:hAnsi="微软雅黑" w:eastAsia="微软雅黑" w:cs="微软雅黑"/>
            <w:color w:val="087E89"/>
          </w:rPr>
          <w:t>乌克兰请求能源和空中停火，普京：“这算什么，过家家？”</w:t>
        </w:r>
      </w:hyperlink>
      <w:r>
        <w:rPr>
          <w:rFonts w:ascii="微软雅黑" w:hAnsi="微软雅黑" w:eastAsia="微软雅黑" w:cs="微软雅黑"/>
        </w:rPr>
      </w:r>
    </w:p>
    <w:p>
      <w:pPr>
        <w:spacing w:after="0" w:line="20" w:lineRule="exact"/>
      </w:pPr>
      <w:bookmarkStart w:id="20" w:name="source-7084"/>
      <w:bookmarkEnd w:id="20" w:name="source-7084"/>
    </w:p>
    <w:p>
      <w:pPr>
        <w:pStyle w:val="ListBullet"/>
      </w:pPr>
      <w:r>
        <w:rPr>
          <w:rFonts w:ascii="微软雅黑" w:hAnsi="微软雅黑" w:eastAsia="微软雅黑" w:cs="微软雅黑"/>
        </w:rPr>
        <w:t>[20] Green Building Africa｜</w:t>
      </w:r>
      <w:hyperlink r:id="rId30">
        <w:r>
          <w:rPr>
            <w:rFonts w:ascii="微软雅黑" w:hAnsi="微软雅黑" w:eastAsia="微软雅黑" w:cs="微软雅黑"/>
            <w:color w:val="087E89"/>
          </w:rPr>
          <w:t>能源转型取决于一个关键因素：电网稳定性</w:t>
        </w:r>
      </w:hyperlink>
      <w:r>
        <w:rPr>
          <w:rFonts w:ascii="微软雅黑" w:hAnsi="微软雅黑" w:eastAsia="微软雅黑" w:cs="微软雅黑"/>
        </w:rPr>
      </w:r>
    </w:p>
    <w:p>
      <w:pPr>
        <w:spacing w:after="0" w:line="20" w:lineRule="exact"/>
      </w:pPr>
      <w:bookmarkStart w:id="21" w:name="source-7226"/>
      <w:bookmarkEnd w:id="21" w:name="source-7226"/>
    </w:p>
    <w:p>
      <w:pPr>
        <w:pStyle w:val="ListBullet"/>
      </w:pPr>
      <w:r>
        <w:rPr>
          <w:rFonts w:ascii="微软雅黑" w:hAnsi="微软雅黑" w:eastAsia="微软雅黑" w:cs="微软雅黑"/>
        </w:rPr>
        <w:t>[21] 新浪财经｜</w:t>
      </w:r>
      <w:hyperlink r:id="rId31">
        <w:r>
          <w:rPr>
            <w:rFonts w:ascii="微软雅黑" w:hAnsi="微软雅黑" w:eastAsia="微软雅黑" w:cs="微软雅黑"/>
            <w:color w:val="087E89"/>
          </w:rPr>
          <w:t>美国能源部长：霍尔木兹海峡石油流量均值接近每日1300万桶</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chinanews.com.cn/gj/2026/09-27/10704403.shtml" TargetMode="External"/><Relationship Id="rId12" Type="http://schemas.openxmlformats.org/officeDocument/2006/relationships/hyperlink" Target="https://finance.sina.com.cn/stock/usstock/c/2026-09-27/doc-inithuvt9209954.shtml" TargetMode="External"/><Relationship Id="rId13" Type="http://schemas.openxmlformats.org/officeDocument/2006/relationships/hyperlink" Target="https://www.saudigulfprojects.com/2026/09/dewa-completes-us2-70-billion-refinancing-of-noor-energy-1-solar-project/" TargetMode="External"/><Relationship Id="rId14" Type="http://schemas.openxmlformats.org/officeDocument/2006/relationships/hyperlink" Target="https://finance.sina.com.cn/wm/2026-09-27/doc-initfhus0440817.shtml" TargetMode="External"/><Relationship Id="rId15" Type="http://schemas.openxmlformats.org/officeDocument/2006/relationships/hyperlink" Target="https://www.aa.com.tr/en/energy/natural-gas/spot-market-natural-gas-prices-for-saturday-sep-26/59898" TargetMode="External"/><Relationship Id="rId16" Type="http://schemas.openxmlformats.org/officeDocument/2006/relationships/hyperlink" Target="https://news.mysteel.com/a/26092713/9FD8B1E5A9B9AE4F.html" TargetMode="External"/><Relationship Id="rId17" Type="http://schemas.openxmlformats.org/officeDocument/2006/relationships/hyperlink" Target="http://finance.people.com.cn/n1/2026/0927/c1004-40806061.html" TargetMode="External"/><Relationship Id="rId18" Type="http://schemas.openxmlformats.org/officeDocument/2006/relationships/hyperlink" Target="https://www.yna.co.kr/view/AKR20260923076400003?section=industry/energy-resource" TargetMode="External"/><Relationship Id="rId19" Type="http://schemas.openxmlformats.org/officeDocument/2006/relationships/hyperlink" Target="https://industry.cfi.cn/p20260927000259.html" TargetMode="External"/><Relationship Id="rId20" Type="http://schemas.openxmlformats.org/officeDocument/2006/relationships/hyperlink" Target="https://news.mysteel.com/a/26092712/FC96ED3244E913B0.html" TargetMode="External"/><Relationship Id="rId21" Type="http://schemas.openxmlformats.org/officeDocument/2006/relationships/hyperlink" Target="https://www.cls.cn/detail/2493382" TargetMode="External"/><Relationship Id="rId22" Type="http://schemas.openxmlformats.org/officeDocument/2006/relationships/hyperlink" Target="https://news.un.org/feed/view/en/story/2026/09/1168459" TargetMode="External"/><Relationship Id="rId23" Type="http://schemas.openxmlformats.org/officeDocument/2006/relationships/hyperlink" Target="https://www.news.cn/world/20260927/5dff1c3eedb94e9f8af6ebceb9946beb/c.html" TargetMode="External"/><Relationship Id="rId24" Type="http://schemas.openxmlformats.org/officeDocument/2006/relationships/hyperlink" Target="https://www.saudigulfprojects.com/2026/09/saudi-arabia-qualifies-13-companies-for-third-round-of-ccgt-independent-power-projects/" TargetMode="External"/><Relationship Id="rId25" Type="http://schemas.openxmlformats.org/officeDocument/2006/relationships/hyperlink" Target="https://www.vanguardngr.com/2026/09/oil-marketers-cut-petrol-price-to-n1350-litre-as-depot-rates-drop-2/" TargetMode="External"/><Relationship Id="rId26" Type="http://schemas.openxmlformats.org/officeDocument/2006/relationships/hyperlink" Target="https://www.yna.co.kr/view/AKR20260923070500003?section=industry/energy-resource" TargetMode="External"/><Relationship Id="rId27" Type="http://schemas.openxmlformats.org/officeDocument/2006/relationships/hyperlink" Target="https://finance.sina.com.cn/roll/2026-09-27/doc-inithuvx9985257.shtml" TargetMode="External"/><Relationship Id="rId28" Type="http://schemas.openxmlformats.org/officeDocument/2006/relationships/hyperlink" Target="https://www.stcn.com/article/detail/4199837.html" TargetMode="External"/><Relationship Id="rId29" Type="http://schemas.openxmlformats.org/officeDocument/2006/relationships/hyperlink" Target="https://finance.sina.com.cn/wm/2026-09-27/doc-initfxsc9591038.shtml" TargetMode="External"/><Relationship Id="rId30" Type="http://schemas.openxmlformats.org/officeDocument/2006/relationships/hyperlink" Target="https://www.greenbuildingafrica.co.za/the-energy-transition-depends-on-a-critical-factor-grid-stability/" TargetMode="External"/><Relationship Id="rId31" Type="http://schemas.openxmlformats.org/officeDocument/2006/relationships/hyperlink" Target="https://finance.sina.com.cn/stock/usstock/c/2026-09-27/doc-initfxsk0283197.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2026年9月27日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