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信息覆盖时段：2026-10-09 00:00 至 2026-10-10 00:00（不含），Asia/Shanghai。</w:t>
      </w:r>
    </w:p>
    <w:p>
      <w:pPr/>
      <w:r>
        <w:rPr>
          <w:rFonts w:ascii="微软雅黑" w:hAnsi="微软雅黑" w:eastAsia="微软雅黑" w:cs="微软雅黑"/>
        </w:rPr>
        <w:t>统计区间：2026-10-09 至 2026-10-10（结束日不含，北京时间）</w:t>
      </w:r>
    </w:p>
    <w:p>
      <w:pPr>
        <w:ind w:firstLine="420"/>
      </w:pPr>
      <w:r>
        <w:rPr>
          <w:rFonts w:ascii="微软雅黑" w:hAnsi="微软雅黑" w:eastAsia="微软雅黑" w:cs="微软雅黑"/>
        </w:rPr>
        <w:t>资料更新截止：2026-10-10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Wood Mackenzie：四小时电池储能成本已低于燃气峰值 </w:t>
      </w:r>
      <w:hyperlink w:anchor="source-14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4436">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巴西恢复生物柴油分销商之间销售限制 </w:t>
      </w:r>
      <w:hyperlink w:anchor="source-15271">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美国新一轮对伊制裁瞄准17艘运油船并扩大封锁 </w:t>
      </w:r>
      <w:hyperlink w:anchor="source-14432">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中央、国务院印发《关于发展新质生产力的意见》部署能源革命与未来产业 </w:t>
      </w:r>
      <w:hyperlink w:anchor="source-15258">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国内坑口煤价涨跌互现，吕梁低硫主焦再降100元/吨 </w:t>
      </w:r>
      <w:hyperlink w:anchor="source-15108">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中东和非洲四小时电池储能成本（2026年）</w:t>
            </w:r>
          </w:p>
        </w:tc>
        <w:tc>
          <w:tcPr>
            <w:tcW w:type="dxa" w:w="2268"/>
          </w:tcPr>
          <w:p>
            <w:pPr>
              <w:spacing w:after="40"/>
            </w:pPr>
            <w:r>
              <w:rPr>
                <w:rFonts w:ascii="微软雅黑" w:hAnsi="微软雅黑" w:eastAsia="微软雅黑" w:cs="微软雅黑"/>
              </w:rPr>
              <w:t>120美元/兆瓦时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4436">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中东和非洲四小时电池储能成本（2035年预测）</w:t>
            </w:r>
          </w:p>
        </w:tc>
        <w:tc>
          <w:tcPr>
            <w:tcW w:type="dxa" w:w="2268"/>
          </w:tcPr>
          <w:p>
            <w:pPr>
              <w:spacing w:after="40"/>
            </w:pPr>
            <w:r>
              <w:rPr>
                <w:rFonts w:ascii="微软雅黑" w:hAnsi="微软雅黑" w:eastAsia="微软雅黑" w:cs="微软雅黑"/>
              </w:rPr>
              <w:t>80美元/兆瓦时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4436">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吕梁离石低硫主焦煤报价</w:t>
            </w:r>
          </w:p>
        </w:tc>
        <w:tc>
          <w:tcPr>
            <w:tcW w:type="dxa" w:w="2268"/>
          </w:tcPr>
          <w:p>
            <w:pPr>
              <w:spacing w:after="40"/>
            </w:pPr>
            <w:r>
              <w:rPr>
                <w:rFonts w:ascii="微软雅黑" w:hAnsi="微软雅黑" w:eastAsia="微软雅黑" w:cs="微软雅黑"/>
              </w:rPr>
              <w:t>2200元/吨</w:t>
            </w:r>
          </w:p>
        </w:tc>
        <w:tc>
          <w:tcPr>
            <w:tcW w:type="dxa" w:w="2268"/>
          </w:tcPr>
          <w:p>
            <w:pPr>
              <w:spacing w:after="40"/>
            </w:pPr>
            <w:r>
              <w:rPr>
                <w:rFonts w:ascii="微软雅黑" w:hAnsi="微软雅黑" w:eastAsia="微软雅黑" w:cs="微软雅黑"/>
              </w:rPr>
              <w:t>2026-10-09</w:t>
            </w:r>
          </w:p>
        </w:tc>
        <w:tc>
          <w:tcPr>
            <w:tcW w:type="dxa" w:w="2268"/>
          </w:tcPr>
          <w:p>
            <w:pPr>
              <w:spacing w:after="40"/>
            </w:pPr>
            <w:r>
              <w:rPr>
                <w:rFonts w:ascii="微软雅黑" w:hAnsi="微软雅黑" w:eastAsia="微软雅黑" w:cs="微软雅黑"/>
              </w:rPr>
            </w:r>
            <w:hyperlink w:anchor="source-15108">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坑口调研117座煤矿中上调煤矿数量</w:t>
            </w:r>
          </w:p>
        </w:tc>
        <w:tc>
          <w:tcPr>
            <w:tcW w:type="dxa" w:w="2268"/>
          </w:tcPr>
          <w:p>
            <w:pPr>
              <w:spacing w:after="40"/>
            </w:pPr>
            <w:r>
              <w:rPr>
                <w:rFonts w:ascii="微软雅黑" w:hAnsi="微软雅黑" w:eastAsia="微软雅黑" w:cs="微软雅黑"/>
              </w:rPr>
              <w:t>15座，均涨27.67元/吨</w:t>
            </w:r>
          </w:p>
        </w:tc>
        <w:tc>
          <w:tcPr>
            <w:tcW w:type="dxa" w:w="2268"/>
          </w:tcPr>
          <w:p>
            <w:pPr>
              <w:spacing w:after="40"/>
            </w:pPr>
            <w:r>
              <w:rPr>
                <w:rFonts w:ascii="微软雅黑" w:hAnsi="微软雅黑" w:eastAsia="微软雅黑" w:cs="微软雅黑"/>
              </w:rPr>
              <w:t>2026-10-09</w:t>
            </w:r>
          </w:p>
        </w:tc>
        <w:tc>
          <w:tcPr>
            <w:tcW w:type="dxa" w:w="2268"/>
          </w:tcPr>
          <w:p>
            <w:pPr>
              <w:spacing w:after="40"/>
            </w:pPr>
            <w:r>
              <w:rPr>
                <w:rFonts w:ascii="微软雅黑" w:hAnsi="微软雅黑" w:eastAsia="微软雅黑" w:cs="微软雅黑"/>
              </w:rPr>
            </w:r>
            <w:hyperlink w:anchor="source-15108">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河北省钢铁行业PMI</w:t>
            </w:r>
          </w:p>
        </w:tc>
        <w:tc>
          <w:tcPr>
            <w:tcW w:type="dxa" w:w="2268"/>
          </w:tcPr>
          <w:p>
            <w:pPr>
              <w:spacing w:after="40"/>
            </w:pPr>
            <w:r>
              <w:rPr>
                <w:rFonts w:ascii="微软雅黑" w:hAnsi="微软雅黑" w:eastAsia="微软雅黑" w:cs="微软雅黑"/>
              </w:rPr>
              <w:t>48.0%，环比降3.2个百分点</w:t>
            </w:r>
          </w:p>
        </w:tc>
        <w:tc>
          <w:tcPr>
            <w:tcW w:type="dxa" w:w="2268"/>
          </w:tcPr>
          <w:p>
            <w:pPr>
              <w:spacing w:after="40"/>
            </w:pPr>
            <w:r>
              <w:rPr>
                <w:rFonts w:ascii="微软雅黑" w:hAnsi="微软雅黑" w:eastAsia="微软雅黑" w:cs="微软雅黑"/>
              </w:rPr>
              <w:t>2026-09</w:t>
            </w:r>
          </w:p>
        </w:tc>
        <w:tc>
          <w:tcPr>
            <w:tcW w:type="dxa" w:w="2268"/>
          </w:tcPr>
          <w:p>
            <w:pPr>
              <w:spacing w:after="40"/>
            </w:pPr>
            <w:r>
              <w:rPr>
                <w:rFonts w:ascii="微软雅黑" w:hAnsi="微软雅黑" w:eastAsia="微软雅黑" w:cs="微软雅黑"/>
              </w:rPr>
            </w:r>
            <w:hyperlink w:anchor="source-15108">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欧盟2040年气候目标（基准年1990年）</w:t>
            </w:r>
          </w:p>
        </w:tc>
        <w:tc>
          <w:tcPr>
            <w:tcW w:type="dxa" w:w="2268"/>
          </w:tcPr>
          <w:p>
            <w:pPr>
              <w:spacing w:after="40"/>
            </w:pPr>
            <w:r>
              <w:rPr>
                <w:rFonts w:ascii="微软雅黑" w:hAnsi="微软雅黑" w:eastAsia="微软雅黑" w:cs="微软雅黑"/>
              </w:rPr>
              <w:t>削减90%净温室气体排放</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4941">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中国注册、备案水电站大坝数量</w:t>
            </w:r>
          </w:p>
        </w:tc>
        <w:tc>
          <w:tcPr>
            <w:tcW w:type="dxa" w:w="2268"/>
          </w:tcPr>
          <w:p>
            <w:pPr>
              <w:spacing w:after="40"/>
            </w:pPr>
            <w:r>
              <w:rPr>
                <w:rFonts w:ascii="微软雅黑" w:hAnsi="微软雅黑" w:eastAsia="微软雅黑" w:cs="微软雅黑"/>
              </w:rPr>
              <w:t>729座</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14535">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中国注册、备案水电站大坝对应水电站总装机容量</w:t>
            </w:r>
          </w:p>
        </w:tc>
        <w:tc>
          <w:tcPr>
            <w:tcW w:type="dxa" w:w="2268"/>
          </w:tcPr>
          <w:p>
            <w:pPr>
              <w:spacing w:after="40"/>
            </w:pPr>
            <w:r>
              <w:rPr>
                <w:rFonts w:ascii="微软雅黑" w:hAnsi="微软雅黑" w:eastAsia="微软雅黑" w:cs="微软雅黑"/>
              </w:rPr>
              <w:t>3.5亿千瓦</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14535">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中国注册、备案水电站大坝对应水库总库容</w:t>
            </w:r>
          </w:p>
        </w:tc>
        <w:tc>
          <w:tcPr>
            <w:tcW w:type="dxa" w:w="2268"/>
          </w:tcPr>
          <w:p>
            <w:pPr>
              <w:spacing w:after="40"/>
            </w:pPr>
            <w:r>
              <w:rPr>
                <w:rFonts w:ascii="微软雅黑" w:hAnsi="微软雅黑" w:eastAsia="微软雅黑" w:cs="微软雅黑"/>
              </w:rPr>
              <w:t>5262亿立方米</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14535">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国信苏盐淮安盐穴压缩空气储能示范项目年发电量</w:t>
            </w:r>
          </w:p>
        </w:tc>
        <w:tc>
          <w:tcPr>
            <w:tcW w:type="dxa" w:w="2268"/>
          </w:tcPr>
          <w:p>
            <w:pPr>
              <w:spacing w:after="40"/>
            </w:pPr>
            <w:r>
              <w:rPr>
                <w:rFonts w:ascii="微软雅黑" w:hAnsi="微软雅黑" w:eastAsia="微软雅黑" w:cs="微软雅黑"/>
              </w:rPr>
              <w:t>7.92亿千瓦时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5263">
              <w:r>
                <w:rPr>
                  <w:rFonts w:ascii="微软雅黑" w:hAnsi="微软雅黑" w:eastAsia="微软雅黑" w:cs="微软雅黑"/>
                  <w:color w:val="087E89"/>
                </w:rPr>
                <w:t>10</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美国新一轮对伊制裁瞄准17艘运油船并扩大封锁</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当地时间10月8日，美国财政部宣布对伊朗实施新一轮制裁，制裁对象包括17艘运输伊朗原油、石油产品及石化产品的船只。美方估计，在美国对伊朗港口封锁范围之外，目前仍有约2000万桶伊朗原油滞留在船上。由于美国的封锁和制裁，伊朗已停止原油船只的装载和卸载工作。特朗普表示正与伊朗进行富有成效的会谈，并称绝不会在11月3日美国国会中期选举前攻击伊朗。</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当地时间10月8日，美国财政部宣布对伊朗实施新一轮制裁，制裁对象包括17艘运输伊朗原油、石油产品及石化产品的船只。美方估计，在美国对伊朗港口封锁范围之外，目前仍有约2000万桶伊朗原油滞留在船上。美国财政部亦称，由于美国的封锁和制裁，伊朗已停止原油船只的装载和卸载工作。特朗普表示，正与伊朗进行富有成效的会谈，并称绝不会在11月3日美国国会中期选举前攻击伊朗。</w:t>
      </w:r>
    </w:p>
    <w:p>
      <w:pPr>
        <w:ind w:firstLine="420"/>
      </w:pPr>
      <w:r>
        <w:rPr>
          <w:rFonts w:ascii="微软雅黑" w:hAnsi="微软雅黑" w:eastAsia="微软雅黑" w:cs="微软雅黑"/>
        </w:rPr>
        <w:t>来源：</w:t>
      </w:r>
      <w:hyperlink w:anchor="source-14432">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2. 伊朗革命卫队：将不限于在霍尔木兹海峡打击违规船只</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革命卫队海军10月9日发表声明称，今后打击违规船只的行动将不局限于霍尔木兹海峡。声明称海军过去数小时内击中一艘试图以非法航线穿越海峡、运载液化石油气（LPG）的大型船只，该船隶属于一家越南运输公司，袭击造成机舱和推进系统起火。声明同时警告将对受美国指使的公司实施制裁，对违规船只采取必要惩罚措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革命卫队海军10月9日声明称，将不再把打击违规船只的行动范围限于霍尔木兹海峡。声明指海军在数小时内击中一艘载运液化石油气（LPG）的大型船只，该船试图经由非法航线穿越海峡，隶属于越南一家运输公司，袭击导致机舱和推进系统起火。声明同时指责美军挑衅是地区海上局势紧张的直接原因，警告类似事件将日益增多，并称将对受美国蒙蔽行事的公司实施制裁、对违规公司船只采取必要惩罚措施。新华社、人民财讯10月9日转引该消息。</w:t>
      </w:r>
    </w:p>
    <w:p>
      <w:pPr>
        <w:ind w:firstLine="420"/>
      </w:pPr>
      <w:r>
        <w:rPr>
          <w:rFonts w:ascii="微软雅黑" w:hAnsi="微软雅黑" w:eastAsia="微软雅黑" w:cs="微软雅黑"/>
        </w:rPr>
        <w:t>来源：</w:t>
      </w:r>
      <w:hyperlink w:anchor="source-15266">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15285">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3. 巴西恢复生物柴油分销商之间销售限制</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石油天然气和生物燃料管理局（ANP）理事会10月9日批准恢复对生物柴油在液体燃料分销商之间商业销售的限制措施。该措施有效期24个月，自联邦公报刊发后次月第一天起生效。同时要求技术部门采取措施，以便24个月期限结束前由理事会对第950/2023号决议相关规则作出最终审议，可能修改其中关于液体燃料分销活动授权的特定规则。</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ANP技术评估认为此前14个月限制措施的实施有助于减少既有偏差、简化流通路径并提升生物柴油强制混合用途的可追溯性，且未对生物柴油供应造成重大影响。本次恢复旨在提高与柴油混合所用生物柴油的可追溯性，强化控制和监管机制。第950/2023号决议相关规则可能在24个月内被进一步修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ANP技术评估认为该措施未对生物柴油供应造成重大影响。</w:t>
      </w:r>
    </w:p>
    <w:p>
      <w:pPr>
        <w:ind w:firstLine="420"/>
      </w:pPr>
      <w:r>
        <w:rPr>
          <w:rFonts w:ascii="微软雅黑" w:hAnsi="微软雅黑" w:eastAsia="微软雅黑" w:cs="微软雅黑"/>
        </w:rPr>
        <w:t>来源：</w:t>
      </w:r>
      <w:hyperlink w:anchor="source-15271">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美伊紧张与霍尔木兹海峡风险扰动油价</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表示美国在11月中期选举前“任何时候”都不会攻击伊朗，称与伊朗的讨论富有成效并指原油正以创纪录流量通过霍尔木兹海峡。但《纽约时报》报道美国已制定为期三天的打击计划，目标包括无人机与导弹库、能源设施及其他目标；伊朗方面称周四晚霍尔木兹海峡南部航线发生数起“猛烈爆炸”，原因为“违规油轮”触雷。</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美联储理事沃勒确认后续大概率仍需加息，CME FedWatch显示12月加息概率为69.2%。特朗普近期已五次否决针对伊朗或胡塞武装重大行动的提案，并承诺中期选举前不攻击伊朗。报道指五角大楼潜在目标包括伊朗能源设施、导弹和无人机武库以及革命卫队指挥所和总部；副总统万斯领导的高级国安官员已在戴维营讨论相关选项。伊朗援引未具名军方消息人士报告霍尔木兹海峡爆炸事件。Pepperstone研究主管Chris Weston将当前行情概括为地缘政治风险溢价与改善的实物供应动态角力的“双向市场”。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来源指出行情表现为地缘政治风险溢价与不断改善的实物供应动态相互角力的“双向市场”；事件作为油价波动的驱动因素之一存在。</w:t>
      </w:r>
    </w:p>
    <w:p>
      <w:pPr>
        <w:ind w:firstLine="420"/>
      </w:pPr>
      <w:r>
        <w:rPr>
          <w:rFonts w:ascii="微软雅黑" w:hAnsi="微软雅黑" w:eastAsia="微软雅黑" w:cs="微软雅黑"/>
        </w:rPr>
        <w:t>来源：</w:t>
      </w:r>
      <w:hyperlink w:anchor="source-15043">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14453">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14736">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5. Wood Mackenzie：四小时电池储能成本已低于燃气峰值</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Wood Mackenzie最新报告显示，在同时建模两种技术的全部43个市场中，四小时电池储能成本已低于开式循环燃气轮机。中国仍是亚太地区电网级储能成本的全球基准。报告另指美国受关税、反倾销和第232条款影响，光伏组件价格预计到2030年前每年上涨约5%。</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Wood Mackenzie首席分析师Ahmed Jameel Abdullah表示，燃气轮机短缺和燃料价格波动推高峰值发电成本，而大规模电池制造持续压低储能成本。中东和非洲地区四小时电池储能成本预计从2026年的120美元/兆瓦时降至2035年的80美元/兆瓦时，降幅33%。中国仍是亚太地区电网级储能成本的全球基准，平准化成本比亚太地区其他市场134美元/兆瓦时的平均水平低逾55%。北美关税、反倾销、反补贴及第232条款对光伏成本构成短期压力，组件价格预计到2030年前每年上涨约5%；2027年住宅和商业项目组件价格预计上涨6%，2028年再涨14%。</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储能成本下行叠加燃气轮机交付紧张将强化可再生能源加储能的长期经济性；美国关税推升组件价格可能在短期内延缓光伏成本下降节奏。</w:t>
      </w:r>
    </w:p>
    <w:p>
      <w:pPr>
        <w:ind w:firstLine="420"/>
      </w:pPr>
      <w:r>
        <w:rPr>
          <w:rFonts w:ascii="微软雅黑" w:hAnsi="微软雅黑" w:eastAsia="微软雅黑" w:cs="微软雅黑"/>
        </w:rPr>
        <w:t>来源：</w:t>
      </w:r>
      <w:hyperlink w:anchor="source-14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4436">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6. 美国第三季电力燃气费率上调申请创新高</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PowerLines报告显示，投资者拥有的公用事业公司今年迄今已申请231亿美元的电力和天然气费率上调，第三季度向监管机构提交了创纪录的45亿美元申请；美国国家能源援助主任协会预计电取暖家庭今冬取暖支出较去年增加9%，取暖油家庭增加31.3%。</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倡导组织PowerLines的周三报告显示，投资者拥有的公用事业公司今年迄今已申请231亿美元的电力和天然气费率上调，其中第三季度向监管机构提交了创纪录的45亿美元申请。爱迪生电气协会成员预计2025年至2029年间资本支出将超过1.1万亿美元；PowerLines分析发现2030年前的公用事业资本支出已上升21%，达到1.4万亿美元。JCP&amp;L的费率备案通过抵消措施将2027年的费率上调推迟，使客户直到2028年才感受到影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费率上调持续上升将直接推高家庭能源开支，电取暖家庭今冬取暖支出预计较去年增加9%、取暖油家庭增加31.3%；公用事业巨额资本支出计划若落地将进一步影响未来费率。</w:t>
      </w:r>
    </w:p>
    <w:p>
      <w:pPr>
        <w:ind w:firstLine="420"/>
      </w:pPr>
      <w:r>
        <w:rPr>
          <w:rFonts w:ascii="微软雅黑" w:hAnsi="微软雅黑" w:eastAsia="微软雅黑" w:cs="微软雅黑"/>
        </w:rPr>
        <w:t>来源：</w:t>
      </w:r>
      <w:hyperlink w:anchor="source-15332">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7. 国内坑口煤价涨跌互现，吕梁低硫主焦再降100元/吨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内坑口煤价调研显示涨跌互现：117座煤矿中15座上调（均涨27.67元/吨）、9座下调（均降15.56元/吨）、93座稳定；榆林涨30至50元，鄂尔多斯涨跌调整，晋北整体稳定。节后炼焦煤供应回升但需求疲弱，吕梁离石低硫主焦再降100元/吨至2200元/吨，较9月高点累跌500元，焦炭延续弱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榆林地区坑口煤价上调30至50元/吨，鄂尔多斯出现涨跌调整，晋北整体稳定。吕梁离石低硫主焦煤报价2200元/吨，单次再降100元/吨，较9月高点累计下跌500元/吨；下游对炼焦煤多持看空态度，焦炭价格仍有回调压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9月河北省钢铁行业PMI回落至48.0%，环比降3.2个百分点，跌至荣枯线以下，地产低迷与基建不及预期使新订单走弱、钢企亏损，煤焦钢链条整体承压。</w:t>
      </w:r>
    </w:p>
    <w:p>
      <w:pPr>
        <w:ind w:firstLine="420"/>
      </w:pPr>
      <w:r>
        <w:rPr>
          <w:rFonts w:ascii="微软雅黑" w:hAnsi="微软雅黑" w:eastAsia="微软雅黑" w:cs="微软雅黑"/>
        </w:rPr>
        <w:t>来源：</w:t>
      </w:r>
      <w:hyperlink w:anchor="source-15108">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8. 伊朗重申不放弃铀浓缩并否认脱离NPT框架</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伊朗原子能组织主席伊斯拉米当地时间10月8日表示，伊朗绝对不会放弃铀浓缩，也不会交出铀，并称伊朗核计划完全依照保障监督条例推进、始终在《不扩散核武器条约》（NPT）框架内开展。</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同日报道，特朗普称美国中期选举前不会攻击伊朗。伊斯拉米的表态是对外部施压的直接回应，并强调伊朗核活动仍受国际原子能机构保障监督。</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伊朗维持高浓度铀浓缩能力意味着地区核扩散风险持续，并对国际核燃料市场与制裁走向构成不确定性。</w:t>
      </w:r>
    </w:p>
    <w:p>
      <w:pPr>
        <w:ind w:firstLine="420"/>
      </w:pPr>
      <w:r>
        <w:rPr>
          <w:rFonts w:ascii="微软雅黑" w:hAnsi="微软雅黑" w:eastAsia="微软雅黑" w:cs="微软雅黑"/>
        </w:rPr>
        <w:t>来源：</w:t>
      </w:r>
      <w:hyperlink w:anchor="source-14581">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9. DOE向Vistra提供42亿美元贷款支持核电机组现代化</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美国能源部能源主导金融办公室向Vistra Corp提供最高42亿美元有条件贷款承诺，用于宾州Shippingport的Beaver Valley、俄亥俄Perry的Perry以及俄亥俄Oak Harbor的Davis-Besse三座核电厂的升级、现代化和增容。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协议还包含未来对德州Comanche Peak升级的融资选项。Vistra将推进20年后续执照续期，将电厂寿期延伸至2050至2060年代。该模式与近期Google与Constellation的合作同属科技业通过核电增容获取全天候零碳电力的样板。贷款为有条件承诺，具体拨付条件尚待落实。</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为美国存量核电延寿与增容提供联邦资金渠道，强化科技企业与核电运营商通过长期购电合作锁定零碳电力的商业模式。</w:t>
      </w:r>
    </w:p>
    <w:p>
      <w:pPr>
        <w:ind w:firstLine="420"/>
      </w:pPr>
      <w:r>
        <w:rPr>
          <w:rFonts w:ascii="微软雅黑" w:hAnsi="微软雅黑" w:eastAsia="微软雅黑" w:cs="微软雅黑"/>
        </w:rPr>
        <w:t>来源：</w:t>
      </w:r>
      <w:hyperlink w:anchor="source-15207">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10. 全球最大盐穴压缩空气储能电站在华全面投产</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国信苏盐淮安盐穴压缩空气储能示范项目全面投产，年发电量7.92亿千瓦时，被报道称为当前全球最大规模压缩空气储能电站全面投产。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同篇报告还提到：2026年6月，芬兰Wärtsilä公司在西班牙投运全球最大纯氢燃料大型发电机组Wärtsilä 31H2并向电网送电，实现全球首次大型内燃机以纯氢燃料在真实电网条件下并网发电；2026年3月，澳大利亚联邦科学与工业研究组织联合墨尔本大学和皇家墨尔本理工大学开发出全球首款具有完整“充—存—放”循环功能的量子电池原型，但当前容量尚不足以驱动现实电子设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来源仅描述事件本身及其全球地位，未给出对电力市场或系统的具体影响。</w:t>
      </w:r>
    </w:p>
    <w:p>
      <w:pPr>
        <w:ind w:firstLine="420"/>
      </w:pPr>
      <w:r>
        <w:rPr>
          <w:rFonts w:ascii="微软雅黑" w:hAnsi="微软雅黑" w:eastAsia="微软雅黑" w:cs="微软雅黑"/>
        </w:rPr>
        <w:t>来源：</w:t>
      </w:r>
      <w:hyperlink w:anchor="source-15263">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11. 德国NGO联盟警告削弱碳市场将危及2040年气候目标</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八个德国环保组织敦促德国政府抵制在欧盟层面削弱碳排放权交易体系的提案。环保组织警告，新增“灵活性”将造成配额过剩，使电力和工业部门对欧盟2040年气候目标的贡献落空。环境部长Carsten Schneider对方案表示欢迎。</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八个德国环保组织签署方包括DNR、Klima-Allianz、WWF、Germanwatch、NABU和BUND。欧盟新2040年气候目标为以1990年为基准削减90%净温室气体排放。环境部长Carsten Schneider对方案表示欢迎，称并非每个行业都能以相同速度迈向气候中和。环保组织警告，新增“灵活性”将造成配额过剩，使电力和工业部门对2040年气候目标的贡献落空。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环保组织警告，新增“灵活性”可能造成配额过剩，进而影响电力和工业部门对2040年气候目标的减排贡献。</w:t>
      </w:r>
    </w:p>
    <w:p>
      <w:pPr>
        <w:ind w:firstLine="420"/>
      </w:pPr>
      <w:r>
        <w:rPr>
          <w:rFonts w:ascii="微软雅黑" w:hAnsi="微软雅黑" w:eastAsia="微软雅黑" w:cs="微软雅黑"/>
        </w:rPr>
        <w:t>来源：</w:t>
      </w:r>
      <w:hyperlink w:anchor="source-14941">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12. 巴基斯坦分布式光伏扩张电价显著上涨</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基斯坦2022至2025财年平均基础电价由16.91巴基斯坦卢比/千瓦时升至35.50巴基斯坦卢比/千瓦时，住宅最高档达48.84巴基斯坦卢比/千瓦时。约85%的分布式光伏装机集中在六家配电公司。监管机构已用净计费替代新增接入的净计量，按五年合同以约11卢比/千瓦时结算出口电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约85%的注册装机集中在六家配电公司：LESCO 1.3 GW、IESCO和K-Electric各0.9 GW、MEPCO 0.8 GW、FESCO 0.7 GW、GEPCO 0.6 GW。2022至2025财年，巴基斯坦平均基础电价从16.91卢比/kWh升至35.50卢比/kWh，住宅最高档达48.84卢比/kWh。NEPRA已用净计费替代新接入的净计量，按五年合同以约11卢比/kWh的价格对出口电量进行结算，现有合同保持不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配电公司层面的装机分布显示分布式光伏增长高度集中，净计费替代净计量的政策变化将改变新建项目的出口电量结算方式。</w:t>
      </w:r>
    </w:p>
    <w:p>
      <w:pPr>
        <w:ind w:firstLine="420"/>
      </w:pPr>
      <w:r>
        <w:rPr>
          <w:rFonts w:ascii="微软雅黑" w:hAnsi="微软雅黑" w:eastAsia="微软雅黑" w:cs="微软雅黑"/>
        </w:rPr>
        <w:t>来源：</w:t>
      </w:r>
      <w:hyperlink w:anchor="source-15202">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13. Equinor与壳牌就Bay du Nord项目开展合作推进FID</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Equinor已与壳牌就位于加拿大纽芬兰与拉布拉多省外海弗莱芒帕斯盆地的Bay du Nord项目开展合作，支持项目向2027年初的最终投资决策（FID）推进。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Bay du Nord距纽芬兰与拉布拉多省海岸约500公里，开发方案采用浮式生产储卸油装置（FPSO）配海底回接管线，并具备更广泛的盆地资源潜力。项目现处于前端工程设计（FEED）阶段，重点为提升资本效率、执行计划与项目稳健性。Equinor勘探与生产国际业务执行副总裁Philippe Mathieu表示，壳牌的加入将加强项目稳健性。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壳牌加入有望降低单一公司投资风险，加快向2027年初FID推进，但项目仍处于FEED阶段，存在投资金额与执行进度的不确定性。</w:t>
      </w:r>
    </w:p>
    <w:p>
      <w:pPr>
        <w:ind w:firstLine="420"/>
      </w:pPr>
      <w:r>
        <w:rPr>
          <w:rFonts w:ascii="微软雅黑" w:hAnsi="微软雅黑" w:eastAsia="微软雅黑" w:cs="微软雅黑"/>
        </w:rPr>
        <w:t>来源：</w:t>
      </w:r>
      <w:hyperlink w:anchor="source-15058">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14. 中央、国务院印发《关于发展新质生产力的意见》部署能源革命与未来产业</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中共中央、国务院印发《关于发展新质生产力的意见》，围绕科技创新、产业创新深度融合、发展方式创新、体制机制创新和人才工作机制创新作出部署，并提出积极推进能源革命。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意见明确聚焦碳达峰碳中和目标，有序发展先进核裂变能，构建高比例可再生能源电力系统，完善新能源消纳和调控政策措施；提出做强绿色制造业，发展绿色服务业，壮大绿色能源产业，建设一批零碳工厂和园区；同时提出全面实施碳排放总量和强度双控制度，以全国碳市场为主体完善碳定价机制，扩大全国碳排放权交易市场覆盖范围，完善全国统一绿证市场；并前瞻布局量子科技、生物制造、氢能和核聚变能、脑机接口、具身智能、第六代移动通信等未来产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意见为新型电力系统、碳市场扩容以及氢能、核聚变能等未来产业提供顶层政策方向。</w:t>
      </w:r>
    </w:p>
    <w:p>
      <w:pPr>
        <w:ind w:firstLine="420"/>
      </w:pPr>
      <w:r>
        <w:rPr>
          <w:rFonts w:ascii="微软雅黑" w:hAnsi="微软雅黑" w:eastAsia="微软雅黑" w:cs="微软雅黑"/>
        </w:rPr>
        <w:t>来源：</w:t>
      </w:r>
      <w:hyperlink w:anchor="source-15258">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15. 两部委印发石油天然气发展“十五五”规划部署转型</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国家能源局印发《石油天然气发展“十五五”规划》，围绕增强油气自主保障能力、完善“全国一张网”、推进绿色低碳转型作出部署，并提出促进绿色氢能、CCUS和新型地下储能产业发展。规划鼓励油气田及周边因地制宜发展风电、光伏和地热，利用枯竭油气藏开展储气、储氢和二氧化碳封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提出，具备条件的管道可探索输送氢气、二氧化碳，油气站场、炼化基地可与绿氢、绿色燃料生产协同布局，传统油气设施有望由能源运输通道转变为多能源配置平台；管道适应性改造、地下空间评价、压缩与储存设备、智能监测和安全运维将带动材料、装备、工程建设和数字服务发展。规划同时指出，天然气管道能否改输氢气取决于管材、焊缝、运行压力和沿线设施适配性；枯竭油气藏储氢或封存二氧化碳需严格的地质评价和长期监测。建议摸清油气田、管道、储库和站场底数，建立技术状况、安全、剩余寿命和改造成本台账，优先选择资源条件好、市场需求明确、风险可控的区域开展示范，并加强跨行业跨区域统筹，完善公平开放制度和商业模式。</w:t>
      </w:r>
    </w:p>
    <w:p>
      <w:pPr>
        <w:ind w:firstLine="420"/>
      </w:pPr>
      <w:r>
        <w:rPr>
          <w:rFonts w:ascii="微软雅黑" w:hAnsi="微软雅黑" w:eastAsia="微软雅黑" w:cs="微软雅黑"/>
        </w:rPr>
        <w:t>来源：</w:t>
      </w:r>
      <w:hyperlink w:anchor="source-14541">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16. 中国进口现货LNG到岸价CLD大幅下跌，HH与TTF走势分化</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9月28日-30日中国进口现货LNG到岸价格（CLD近月-11月）录得149.986元/吉焦，较前一周环比下跌7.650元/吉焦，跌幅4.85%；月均价158.492元/吉焦，较CLD-10月均价上涨4.63%。</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9月30日，CLD近月-11月月均价为158.492元/吉焦（约24.985美元/百万英热），较CLD-10月均价上涨7.014元/吉焦。10月2日，HH天然气期货（近月-11月）报3.035美元/百万英热，周环比下跌5.89%；TTF天然气期货（近月-11月）报74.760欧元/兆瓦时（约24.594美元/百万英热），周环比上涨3.99%；EUA期货（近月-10月）报84.10欧元/吨，周环比下跌2.70%。截至10月7日，欧盟天然气库存为整体储气能力的72.97%，较过去五年同期均值下跌17.11%，较去年同期下跌12.65%。</w:t>
      </w:r>
    </w:p>
    <w:p>
      <w:pPr>
        <w:ind w:firstLine="420"/>
      </w:pPr>
      <w:r>
        <w:rPr>
          <w:rFonts w:ascii="微软雅黑" w:hAnsi="微软雅黑" w:eastAsia="微软雅黑" w:cs="微软雅黑"/>
        </w:rPr>
        <w:t>来源：</w:t>
      </w:r>
      <w:hyperlink w:anchor="source-14539">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17. 田湾核电7号机组首次并网成功</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位于江苏省连云港市的田湾核电7号机组于10月8日首次并网成功，正式向电网送出第一度电。该机组采用三代核电技术，单机装机容量126.5万千瓦，设计寿命60年，年发电量近百亿千瓦时。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田湾核电7号机组于2026年8月12日启动首次装料，8月18日完成全部163组核燃料组件装载。8台机组全部投运后，总装机将突破900万千瓦，年发电量超700亿千瓦时，预计每年可减少二氧化碳排放5740万吨。</w:t>
      </w:r>
    </w:p>
    <w:p>
      <w:pPr>
        <w:ind w:firstLine="420"/>
      </w:pPr>
      <w:r>
        <w:rPr>
          <w:rFonts w:ascii="微软雅黑" w:hAnsi="微软雅黑" w:eastAsia="微软雅黑" w:cs="微软雅黑"/>
        </w:rPr>
        <w:t>来源：</w:t>
      </w:r>
      <w:hyperlink w:anchor="source-14537">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18. 七部门印发新型电池产业首个国家级五年专项规划</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工信部等七部门联合印发《新型电池产业发展“十五五”规划》，这是我国电池领域首个国家级专项五年规划，首次将新型电池定位为构建新型能源体系和发展新质生产力的底层基础产业。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部署19项重点任务，明确2030年全固态电池初步规模化应用、锂电池循环寿命达15000次、头部企业缺陷率进入PPB级。配套涉及60亿元研发专项，并争取IEC国际标准主导权。机构研报认为，储能、低空经济、人形机器人、智算中心、虚拟电厂等场景可带动电池采购与专项债支持；国家铁路局入列七部门，研报认为此举暗示轨交储能等增量空间打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机构研报观点认为，规划叠加供给端产能预警、价格规范“反内卷”与需求端“AI缺电”第二曲线，有望加速行业出清、推动盈利修复，并固化头部企业技术壁垒和量产先发优势。</w:t>
      </w:r>
    </w:p>
    <w:p>
      <w:pPr>
        <w:ind w:firstLine="420"/>
      </w:pPr>
      <w:r>
        <w:rPr>
          <w:rFonts w:ascii="微软雅黑" w:hAnsi="微软雅黑" w:eastAsia="微软雅黑" w:cs="微软雅黑"/>
        </w:rPr>
        <w:t>来源：</w:t>
      </w:r>
      <w:hyperlink w:anchor="source-14949">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19. 国家发改委修订发布水电站大坝运行安全监督管理规定</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国家发展和改革委员会令第47号公布修订后的《水电站大坝运行安全监督管理规定》，全面落实《安全生产法》《能源法》《水库大坝安全管理条例》等法律法规，将双重预防机制写入总则。</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定》共七章四十一条，包括总则、运行管理、定期检查和特种检查、注册登记、监督管理、法律责任、附则。截至2026年8月，注册、备案大坝达729座，对应水电站总装机容量3.5亿千瓦、水库总库容5262亿立方米。《规定》将抽水蓄能等新情况纳入考量，回应西南高坝高地震烈度工程集中、极端气候频发等风险挑战，并对未按规定开展安全培训等违法违规行为区分情节轻重实行阶梯式处罚。</w:t>
      </w:r>
    </w:p>
    <w:p>
      <w:pPr>
        <w:ind w:firstLine="420"/>
      </w:pPr>
      <w:r>
        <w:rPr>
          <w:rFonts w:ascii="微软雅黑" w:hAnsi="微软雅黑" w:eastAsia="微软雅黑" w:cs="微软雅黑"/>
        </w:rPr>
        <w:t>来源：</w:t>
      </w:r>
      <w:hyperlink w:anchor="source-14535">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20. 中国硅片价格周环比持平，多晶硅报价被要求不低于完全成本</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中国N型M10与210R硅片FOB价格周环比持平，分别报0.149美元/片和0.153美元/片；行业硅片库存估计约25吉瓦。有多晶硅厂商反映，新规要求报价不低于完全生产成本，预计多晶硅价格将逐步向成本水平调整。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FOB中国N型M10硅片0.149美元/片、N型210R硅片0.153美元/片，周环比均持平。行业硅片库存估计约25吉瓦。一家多晶硅厂商表示，相关新规要求报价不低于完全生产成本，预计多晶硅价格将逐步向成本水平调整；该表态属于厂商预期，并非已发生的价格变动。小尺寸M10硅片因美国市场需求承压，大尺寸产品有望受益于国内大型公用事业项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多晶硅价格若向完全成本水平靠拢，将自上游压制硅片、电池及组件环节的成本曲线；同时库存仍处约25吉瓦水平，供需修复有待观察。</w:t>
      </w:r>
    </w:p>
    <w:p>
      <w:pPr>
        <w:ind w:firstLine="420"/>
      </w:pPr>
      <w:r>
        <w:rPr>
          <w:rFonts w:ascii="微软雅黑" w:hAnsi="微软雅黑" w:eastAsia="微软雅黑" w:cs="微软雅黑"/>
        </w:rPr>
        <w:t>来源：</w:t>
      </w:r>
      <w:hyperlink w:anchor="source-15049">
        <w:r>
          <w:rPr>
            <w:rFonts w:ascii="微软雅黑" w:hAnsi="微软雅黑" w:eastAsia="微软雅黑" w:cs="微软雅黑"/>
            <w:color w:val="087E89"/>
          </w:rPr>
          <w:t>12</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燃气轮机交付排至2032年之后、关税政策走向以及各国成本曲线兑现情况。 </w:t>
      </w:r>
      <w:hyperlink w:anchor="source-14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4436">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联邦公报刊发时间与生效日期、第950/2023号决议相关规则的最终审议结果。 </w:t>
      </w:r>
      <w:hyperlink w:anchor="source-15271">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滞留的约2000万桶伊朗原油能否找到非制裁买家或转运方案，以及美伊“富有成效的讨论”能否落地为正式协议。 </w:t>
      </w:r>
      <w:hyperlink w:anchor="source-14432">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碳排放双控具体实施方案、全国碳市场扩容节奏以及核聚变能等未来产业配套细则有待进一步落实。 </w:t>
      </w:r>
      <w:hyperlink w:anchor="source-15258">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山西停产炼焦煤矿复产进度与下游钢厂补库节奏，以及焦炭是否进一步回调。 </w:t>
      </w:r>
      <w:hyperlink w:anchor="source-15108">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德国政府在欧盟层面对该方案的最终立场以及与欧盟立法进程的协调结果仍待明确。 </w:t>
      </w:r>
      <w:hyperlink w:anchor="source-14941">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456 篇文章，形成 442 篇有效能源材料；正文引用 24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12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14389"/>
      <w:bookmarkEnd w:id="1" w:name="source-14389"/>
    </w:p>
    <w:p>
      <w:pPr>
        <w:pStyle w:val="ListBullet"/>
      </w:pPr>
      <w:r>
        <w:rPr>
          <w:rFonts w:ascii="微软雅黑" w:hAnsi="微软雅黑" w:eastAsia="微软雅黑" w:cs="微软雅黑"/>
        </w:rPr>
        <w:t>[1] Green Building Africa｜</w:t>
      </w:r>
      <w:hyperlink r:id="rId11">
        <w:r>
          <w:rPr>
            <w:rFonts w:ascii="微软雅黑" w:hAnsi="微软雅黑" w:eastAsia="微软雅黑" w:cs="微软雅黑"/>
            <w:color w:val="087E89"/>
          </w:rPr>
          <w:t>四小时电池储能在全球范围内成本已低于燃气峰值电厂</w:t>
        </w:r>
      </w:hyperlink>
      <w:r>
        <w:rPr>
          <w:rFonts w:ascii="微软雅黑" w:hAnsi="微软雅黑" w:eastAsia="微软雅黑" w:cs="微软雅黑"/>
        </w:rPr>
      </w:r>
    </w:p>
    <w:p>
      <w:pPr>
        <w:spacing w:after="0" w:line="20" w:lineRule="exact"/>
      </w:pPr>
      <w:bookmarkStart w:id="2" w:name="source-14436"/>
      <w:bookmarkEnd w:id="2" w:name="source-14436"/>
    </w:p>
    <w:p>
      <w:pPr>
        <w:pStyle w:val="ListBullet"/>
      </w:pPr>
      <w:r>
        <w:rPr>
          <w:rFonts w:ascii="微软雅黑" w:hAnsi="微软雅黑" w:eastAsia="微软雅黑" w:cs="微软雅黑"/>
        </w:rPr>
        <w:t>[2] 《电力杂志》｜</w:t>
      </w:r>
      <w:hyperlink r:id="rId12">
        <w:r>
          <w:rPr>
            <w:rFonts w:ascii="微软雅黑" w:hAnsi="微软雅黑" w:eastAsia="微软雅黑" w:cs="微软雅黑"/>
            <w:color w:val="087E89"/>
          </w:rPr>
          <w:t>数据中心、天然气以及谁来买单：电力协会领导人找到共同立场</w:t>
        </w:r>
      </w:hyperlink>
      <w:r>
        <w:rPr>
          <w:rFonts w:ascii="微软雅黑" w:hAnsi="微软雅黑" w:eastAsia="微软雅黑" w:cs="微软雅黑"/>
        </w:rPr>
      </w:r>
    </w:p>
    <w:p>
      <w:pPr>
        <w:spacing w:after="0" w:line="20" w:lineRule="exact"/>
      </w:pPr>
      <w:bookmarkStart w:id="3" w:name="source-15271"/>
      <w:bookmarkEnd w:id="3" w:name="source-15271"/>
    </w:p>
    <w:p>
      <w:pPr>
        <w:pStyle w:val="ListBullet"/>
      </w:pPr>
      <w:r>
        <w:rPr>
          <w:rFonts w:ascii="微软雅黑" w:hAnsi="微软雅黑" w:eastAsia="微软雅黑" w:cs="微软雅黑"/>
        </w:rPr>
        <w:t>[3] 巴西石油天然气和生物燃料管理局｜</w:t>
      </w:r>
      <w:hyperlink r:id="rId13">
        <w:r>
          <w:rPr>
            <w:rFonts w:ascii="微软雅黑" w:hAnsi="微软雅黑" w:eastAsia="微软雅黑" w:cs="微软雅黑"/>
            <w:color w:val="087E89"/>
          </w:rPr>
          <w:t>巴西石油天然气和生物燃料管理局恢复生物柴油分销商之间销售的限制</w:t>
        </w:r>
      </w:hyperlink>
      <w:r>
        <w:rPr>
          <w:rFonts w:ascii="微软雅黑" w:hAnsi="微软雅黑" w:eastAsia="微软雅黑" w:cs="微软雅黑"/>
        </w:rPr>
      </w:r>
    </w:p>
    <w:p>
      <w:pPr>
        <w:spacing w:after="0" w:line="20" w:lineRule="exact"/>
      </w:pPr>
      <w:bookmarkStart w:id="4" w:name="source-14432"/>
      <w:bookmarkEnd w:id="4" w:name="source-14432"/>
    </w:p>
    <w:p>
      <w:pPr>
        <w:pStyle w:val="ListBullet"/>
      </w:pPr>
      <w:r>
        <w:rPr>
          <w:rFonts w:ascii="微软雅黑" w:hAnsi="微软雅黑" w:eastAsia="微软雅黑" w:cs="微软雅黑"/>
        </w:rPr>
        <w:t>[4] 人民财讯等｜</w:t>
      </w:r>
      <w:hyperlink r:id="rId14">
        <w:r>
          <w:rPr>
            <w:rFonts w:ascii="微软雅黑" w:hAnsi="微软雅黑" w:eastAsia="微软雅黑" w:cs="微软雅黑"/>
            <w:color w:val="087E89"/>
          </w:rPr>
          <w:t>美国对伊朗实施新一轮制裁</w:t>
        </w:r>
      </w:hyperlink>
      <w:r>
        <w:rPr>
          <w:rFonts w:ascii="微软雅黑" w:hAnsi="微软雅黑" w:eastAsia="微软雅黑" w:cs="微软雅黑"/>
        </w:rPr>
      </w:r>
    </w:p>
    <w:p>
      <w:pPr>
        <w:spacing w:after="0" w:line="20" w:lineRule="exact"/>
      </w:pPr>
      <w:bookmarkStart w:id="5" w:name="source-15258"/>
      <w:bookmarkEnd w:id="5" w:name="source-15258"/>
    </w:p>
    <w:p>
      <w:pPr>
        <w:pStyle w:val="ListBullet"/>
      </w:pPr>
      <w:r>
        <w:rPr>
          <w:rFonts w:ascii="微软雅黑" w:hAnsi="微软雅黑" w:eastAsia="微软雅黑" w:cs="微软雅黑"/>
        </w:rPr>
        <w:t>[5] 中国能源新闻网｜</w:t>
      </w:r>
      <w:hyperlink r:id="rId15">
        <w:r>
          <w:rPr>
            <w:rFonts w:ascii="微软雅黑" w:hAnsi="微软雅黑" w:eastAsia="微软雅黑" w:cs="微软雅黑"/>
            <w:color w:val="087E89"/>
          </w:rPr>
          <w:t>中共中央、国务院印发《关于发展新质生产力的意见》</w:t>
        </w:r>
      </w:hyperlink>
      <w:r>
        <w:rPr>
          <w:rFonts w:ascii="微软雅黑" w:hAnsi="微软雅黑" w:eastAsia="微软雅黑" w:cs="微软雅黑"/>
        </w:rPr>
      </w:r>
    </w:p>
    <w:p>
      <w:pPr>
        <w:spacing w:after="0" w:line="20" w:lineRule="exact"/>
      </w:pPr>
      <w:bookmarkStart w:id="6" w:name="source-15108"/>
      <w:bookmarkEnd w:id="6" w:name="source-15108"/>
    </w:p>
    <w:p>
      <w:pPr>
        <w:pStyle w:val="ListBullet"/>
      </w:pPr>
      <w:r>
        <w:rPr>
          <w:rFonts w:ascii="微软雅黑" w:hAnsi="微软雅黑" w:eastAsia="微软雅黑" w:cs="微软雅黑"/>
        </w:rPr>
        <w:t>[6] 汾渭能源煤炭资源网｜</w:t>
      </w:r>
      <w:hyperlink r:id="rId16">
        <w:r>
          <w:rPr>
            <w:rFonts w:ascii="微软雅黑" w:hAnsi="微软雅黑" w:eastAsia="微软雅黑" w:cs="微软雅黑"/>
            <w:color w:val="087E89"/>
          </w:rPr>
          <w:t>煤市早八点（2026.10.09）</w:t>
        </w:r>
      </w:hyperlink>
      <w:r>
        <w:rPr>
          <w:rFonts w:ascii="微软雅黑" w:hAnsi="微软雅黑" w:eastAsia="微软雅黑" w:cs="微软雅黑"/>
        </w:rPr>
      </w:r>
    </w:p>
    <w:p>
      <w:pPr>
        <w:spacing w:after="0" w:line="20" w:lineRule="exact"/>
      </w:pPr>
      <w:bookmarkStart w:id="7" w:name="source-14941"/>
      <w:bookmarkEnd w:id="7" w:name="source-14941"/>
    </w:p>
    <w:p>
      <w:pPr>
        <w:pStyle w:val="ListBullet"/>
      </w:pPr>
      <w:r>
        <w:rPr>
          <w:rFonts w:ascii="微软雅黑" w:hAnsi="微软雅黑" w:eastAsia="微软雅黑" w:cs="微软雅黑"/>
        </w:rPr>
        <w:t>[7] 清洁能源通讯社｜</w:t>
      </w:r>
      <w:hyperlink r:id="rId17">
        <w:r>
          <w:rPr>
            <w:rFonts w:ascii="微软雅黑" w:hAnsi="微软雅黑" w:eastAsia="微软雅黑" w:cs="微软雅黑"/>
            <w:color w:val="087E89"/>
          </w:rPr>
          <w:t>德国非政府组织联盟敦促政府抵制削弱欧盟碳排放权交易的提案</w:t>
        </w:r>
      </w:hyperlink>
      <w:r>
        <w:rPr>
          <w:rFonts w:ascii="微软雅黑" w:hAnsi="微软雅黑" w:eastAsia="微软雅黑" w:cs="微软雅黑"/>
        </w:rPr>
      </w:r>
    </w:p>
    <w:p>
      <w:pPr>
        <w:spacing w:after="0" w:line="20" w:lineRule="exact"/>
      </w:pPr>
      <w:bookmarkStart w:id="8" w:name="source-14581"/>
      <w:bookmarkEnd w:id="8" w:name="source-14581"/>
    </w:p>
    <w:p>
      <w:pPr>
        <w:pStyle w:val="ListBullet"/>
      </w:pPr>
      <w:r>
        <w:rPr>
          <w:rFonts w:ascii="微软雅黑" w:hAnsi="微软雅黑" w:eastAsia="微软雅黑" w:cs="微软雅黑"/>
        </w:rPr>
        <w:t>[8] 中国新闻网｜</w:t>
      </w:r>
      <w:hyperlink r:id="rId18">
        <w:r>
          <w:rPr>
            <w:rFonts w:ascii="微软雅黑" w:hAnsi="微软雅黑" w:eastAsia="微软雅黑" w:cs="微软雅黑"/>
            <w:color w:val="087E89"/>
          </w:rPr>
          <w:t>伊朗拒绝放弃铀浓缩 特朗普称美中期选举前不会攻击伊朗</w:t>
        </w:r>
      </w:hyperlink>
      <w:r>
        <w:rPr>
          <w:rFonts w:ascii="微软雅黑" w:hAnsi="微软雅黑" w:eastAsia="微软雅黑" w:cs="微软雅黑"/>
        </w:rPr>
      </w:r>
    </w:p>
    <w:p>
      <w:pPr>
        <w:spacing w:after="0" w:line="20" w:lineRule="exact"/>
      </w:pPr>
      <w:bookmarkStart w:id="9" w:name="source-14535"/>
      <w:bookmarkEnd w:id="9" w:name="source-14535"/>
    </w:p>
    <w:p>
      <w:pPr>
        <w:pStyle w:val="ListBullet"/>
      </w:pPr>
      <w:r>
        <w:rPr>
          <w:rFonts w:ascii="微软雅黑" w:hAnsi="微软雅黑" w:eastAsia="微软雅黑" w:cs="微软雅黑"/>
        </w:rPr>
        <w:t>[9] 中国能源新闻网｜</w:t>
      </w:r>
      <w:hyperlink r:id="rId19">
        <w:r>
          <w:rPr>
            <w:rFonts w:ascii="微软雅黑" w:hAnsi="微软雅黑" w:eastAsia="微软雅黑" w:cs="微软雅黑"/>
            <w:color w:val="087E89"/>
          </w:rPr>
          <w:t>《水电站大坝运行安全监督管理规定》解读</w:t>
        </w:r>
      </w:hyperlink>
      <w:r>
        <w:rPr>
          <w:rFonts w:ascii="微软雅黑" w:hAnsi="微软雅黑" w:eastAsia="微软雅黑" w:cs="微软雅黑"/>
        </w:rPr>
      </w:r>
    </w:p>
    <w:p>
      <w:pPr>
        <w:spacing w:after="0" w:line="20" w:lineRule="exact"/>
      </w:pPr>
      <w:bookmarkStart w:id="10" w:name="source-15263"/>
      <w:bookmarkEnd w:id="10" w:name="source-15263"/>
    </w:p>
    <w:p>
      <w:pPr>
        <w:pStyle w:val="ListBullet"/>
      </w:pPr>
      <w:r>
        <w:rPr>
          <w:rFonts w:ascii="微软雅黑" w:hAnsi="微软雅黑" w:eastAsia="微软雅黑" w:cs="微软雅黑"/>
        </w:rPr>
        <w:t>[10] 中国能源新闻网 · 研究报告 | 全球能源领域前沿技术发展报告（2026）｜</w:t>
      </w:r>
      <w:hyperlink r:id="rId20">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11" w:name="source-15058"/>
      <w:bookmarkEnd w:id="11" w:name="source-15058"/>
    </w:p>
    <w:p>
      <w:pPr>
        <w:pStyle w:val="ListBullet"/>
      </w:pPr>
      <w:r>
        <w:rPr>
          <w:rFonts w:ascii="微软雅黑" w:hAnsi="微软雅黑" w:eastAsia="微软雅黑" w:cs="微软雅黑"/>
        </w:rPr>
        <w:t>[11] 挪威国家能源公司｜</w:t>
      </w:r>
      <w:hyperlink r:id="rId21">
        <w:r>
          <w:rPr>
            <w:rFonts w:ascii="微软雅黑" w:hAnsi="微软雅黑" w:eastAsia="微软雅黑" w:cs="微软雅黑"/>
            <w:color w:val="087E89"/>
          </w:rPr>
          <w:t>挪威国家能源公司与壳牌就 Bay du Nord 项目开展合作</w:t>
        </w:r>
      </w:hyperlink>
      <w:r>
        <w:rPr>
          <w:rFonts w:ascii="微软雅黑" w:hAnsi="微软雅黑" w:eastAsia="微软雅黑" w:cs="微软雅黑"/>
        </w:rPr>
      </w:r>
    </w:p>
    <w:p>
      <w:pPr>
        <w:spacing w:after="0" w:line="20" w:lineRule="exact"/>
      </w:pPr>
      <w:bookmarkStart w:id="12" w:name="source-15049"/>
      <w:bookmarkEnd w:id="12" w:name="source-15049"/>
    </w:p>
    <w:p>
      <w:pPr>
        <w:pStyle w:val="ListBullet"/>
      </w:pPr>
      <w:r>
        <w:rPr>
          <w:rFonts w:ascii="微软雅黑" w:hAnsi="微软雅黑" w:eastAsia="微软雅黑" w:cs="微软雅黑"/>
        </w:rPr>
        <w:t>[12] 光伏杂志国际版｜</w:t>
      </w:r>
      <w:hyperlink r:id="rId22">
        <w:r>
          <w:rPr>
            <w:rFonts w:ascii="微软雅黑" w:hAnsi="微软雅黑" w:eastAsia="微软雅黑" w:cs="微软雅黑"/>
            <w:color w:val="087E89"/>
          </w:rPr>
          <w:t>中国硅片价格在产量计划分化与多晶硅减产逼近的背景下保持稳定</w:t>
        </w:r>
      </w:hyperlink>
      <w:r>
        <w:rPr>
          <w:rFonts w:ascii="微软雅黑" w:hAnsi="微软雅黑" w:eastAsia="微软雅黑" w:cs="微软雅黑"/>
        </w:rPr>
      </w:r>
    </w:p>
    <w:p>
      <w:pPr>
        <w:spacing w:after="0" w:line="20" w:lineRule="exact"/>
      </w:pPr>
      <w:bookmarkStart w:id="13" w:name="source-14949"/>
      <w:bookmarkEnd w:id="13" w:name="source-14949"/>
    </w:p>
    <w:p>
      <w:pPr>
        <w:pStyle w:val="ListBullet"/>
      </w:pPr>
      <w:r>
        <w:rPr>
          <w:rFonts w:ascii="微软雅黑" w:hAnsi="微软雅黑" w:eastAsia="微软雅黑" w:cs="微软雅黑"/>
        </w:rPr>
        <w:t>[13] 中财网｜</w:t>
      </w:r>
      <w:hyperlink r:id="rId23">
        <w:r>
          <w:rPr>
            <w:rFonts w:ascii="微软雅黑" w:hAnsi="微软雅黑" w:eastAsia="微软雅黑" w:cs="微软雅黑"/>
            <w:color w:val="087E89"/>
          </w:rPr>
          <w:t>新型电池升格底层基础产业 全固态+AI缺电催生新成长</w:t>
        </w:r>
      </w:hyperlink>
      <w:r>
        <w:rPr>
          <w:rFonts w:ascii="微软雅黑" w:hAnsi="微软雅黑" w:eastAsia="微软雅黑" w:cs="微软雅黑"/>
        </w:rPr>
      </w:r>
    </w:p>
    <w:p>
      <w:pPr>
        <w:spacing w:after="0" w:line="20" w:lineRule="exact"/>
      </w:pPr>
      <w:bookmarkStart w:id="14" w:name="source-14541"/>
      <w:bookmarkEnd w:id="14" w:name="source-14541"/>
    </w:p>
    <w:p>
      <w:pPr>
        <w:pStyle w:val="ListBullet"/>
      </w:pPr>
      <w:r>
        <w:rPr>
          <w:rFonts w:ascii="微软雅黑" w:hAnsi="微软雅黑" w:eastAsia="微软雅黑" w:cs="微软雅黑"/>
        </w:rPr>
        <w:t>[14] 上海石油天然气交易中心｜</w:t>
      </w:r>
      <w:hyperlink r:id="rId24">
        <w:r>
          <w:rPr>
            <w:rFonts w:ascii="微软雅黑" w:hAnsi="微软雅黑" w:eastAsia="微软雅黑" w:cs="微软雅黑"/>
            <w:color w:val="087E89"/>
          </w:rPr>
          <w:t>油气设施转型并非简单换介质</w:t>
        </w:r>
      </w:hyperlink>
      <w:r>
        <w:rPr>
          <w:rFonts w:ascii="微软雅黑" w:hAnsi="微软雅黑" w:eastAsia="微软雅黑" w:cs="微软雅黑"/>
        </w:rPr>
      </w:r>
    </w:p>
    <w:p>
      <w:pPr>
        <w:spacing w:after="0" w:line="20" w:lineRule="exact"/>
      </w:pPr>
      <w:bookmarkStart w:id="15" w:name="source-14537"/>
      <w:bookmarkEnd w:id="15" w:name="source-14537"/>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田湾核电7号机组首次并网成功</w:t>
        </w:r>
      </w:hyperlink>
      <w:r>
        <w:rPr>
          <w:rFonts w:ascii="微软雅黑" w:hAnsi="微软雅黑" w:eastAsia="微软雅黑" w:cs="微软雅黑"/>
        </w:rPr>
      </w:r>
    </w:p>
    <w:p>
      <w:pPr>
        <w:spacing w:after="0" w:line="20" w:lineRule="exact"/>
      </w:pPr>
      <w:bookmarkStart w:id="16" w:name="source-14539"/>
      <w:bookmarkEnd w:id="16" w:name="source-14539"/>
    </w:p>
    <w:p>
      <w:pPr>
        <w:pStyle w:val="ListBullet"/>
      </w:pPr>
      <w:r>
        <w:rPr>
          <w:rFonts w:ascii="微软雅黑" w:hAnsi="微软雅黑" w:eastAsia="微软雅黑" w:cs="微软雅黑"/>
        </w:rPr>
        <w:t>[16] 上海石油天然气交易中心 · 中国进口现货液化天然气到岸价格（CLD）| 周度简析（9月28日-30日）｜</w:t>
      </w:r>
      <w:hyperlink r:id="rId26">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17" w:name="source-15332"/>
      <w:bookmarkEnd w:id="17" w:name="source-15332"/>
    </w:p>
    <w:p>
      <w:pPr>
        <w:pStyle w:val="ListBullet"/>
      </w:pPr>
      <w:r>
        <w:rPr>
          <w:rFonts w:ascii="微软雅黑" w:hAnsi="微软雅黑" w:eastAsia="微软雅黑" w:cs="微软雅黑"/>
        </w:rPr>
        <w:t>[17] Utility Dive｜</w:t>
      </w:r>
      <w:hyperlink r:id="rId27">
        <w:r>
          <w:rPr>
            <w:rFonts w:ascii="微软雅黑" w:hAnsi="微软雅黑" w:eastAsia="微软雅黑" w:cs="微软雅黑"/>
            <w:color w:val="087E89"/>
          </w:rPr>
          <w:t>美国电力和燃气公用事业第三季度费率申请激增至45亿美元：PowerLines报告</w:t>
        </w:r>
      </w:hyperlink>
      <w:r>
        <w:rPr>
          <w:rFonts w:ascii="微软雅黑" w:hAnsi="微软雅黑" w:eastAsia="微软雅黑" w:cs="微软雅黑"/>
        </w:rPr>
      </w:r>
    </w:p>
    <w:p>
      <w:pPr>
        <w:spacing w:after="0" w:line="20" w:lineRule="exact"/>
      </w:pPr>
      <w:bookmarkStart w:id="18" w:name="source-15266"/>
      <w:bookmarkEnd w:id="18" w:name="source-15266"/>
    </w:p>
    <w:p>
      <w:pPr>
        <w:pStyle w:val="ListBullet"/>
      </w:pPr>
      <w:r>
        <w:rPr>
          <w:rFonts w:ascii="微软雅黑" w:hAnsi="微软雅黑" w:eastAsia="微软雅黑" w:cs="微软雅黑"/>
        </w:rPr>
        <w:t>[18] 新华社国际要闻（战略与能源）｜</w:t>
      </w:r>
      <w:hyperlink r:id="rId28">
        <w:r>
          <w:rPr>
            <w:rFonts w:ascii="微软雅黑" w:hAnsi="微软雅黑" w:eastAsia="微软雅黑" w:cs="微软雅黑"/>
            <w:color w:val="087E89"/>
          </w:rPr>
          <w:t>伊朗革命卫队：将不限于在霍尔木兹海峡打击违规船只</w:t>
        </w:r>
      </w:hyperlink>
      <w:r>
        <w:rPr>
          <w:rFonts w:ascii="微软雅黑" w:hAnsi="微软雅黑" w:eastAsia="微软雅黑" w:cs="微软雅黑"/>
        </w:rPr>
      </w:r>
    </w:p>
    <w:p>
      <w:pPr>
        <w:spacing w:after="0" w:line="20" w:lineRule="exact"/>
      </w:pPr>
      <w:bookmarkStart w:id="19" w:name="source-15285"/>
      <w:bookmarkEnd w:id="19" w:name="source-15285"/>
    </w:p>
    <w:p>
      <w:pPr>
        <w:pStyle w:val="ListBullet"/>
      </w:pPr>
      <w:r>
        <w:rPr>
          <w:rFonts w:ascii="微软雅黑" w:hAnsi="微软雅黑" w:eastAsia="微软雅黑" w:cs="微软雅黑"/>
        </w:rPr>
        <w:t>[19] 人民财讯等｜</w:t>
      </w:r>
      <w:hyperlink r:id="rId29">
        <w:r>
          <w:rPr>
            <w:rFonts w:ascii="微软雅黑" w:hAnsi="微软雅黑" w:eastAsia="微软雅黑" w:cs="微软雅黑"/>
            <w:color w:val="087E89"/>
          </w:rPr>
          <w:t>伊朗革命卫队：将不限于在霍尔木兹海峡打击违规船只</w:t>
        </w:r>
      </w:hyperlink>
      <w:r>
        <w:rPr>
          <w:rFonts w:ascii="微软雅黑" w:hAnsi="微软雅黑" w:eastAsia="微软雅黑" w:cs="微软雅黑"/>
        </w:rPr>
      </w:r>
    </w:p>
    <w:p>
      <w:pPr>
        <w:spacing w:after="0" w:line="20" w:lineRule="exact"/>
      </w:pPr>
      <w:bookmarkStart w:id="20" w:name="source-15043"/>
      <w:bookmarkEnd w:id="20" w:name="source-15043"/>
    </w:p>
    <w:p>
      <w:pPr>
        <w:pStyle w:val="ListBullet"/>
      </w:pPr>
      <w:r>
        <w:rPr>
          <w:rFonts w:ascii="微软雅黑" w:hAnsi="微软雅黑" w:eastAsia="微软雅黑" w:cs="微软雅黑"/>
        </w:rPr>
        <w:t>[20] 新浪财经｜</w:t>
      </w:r>
      <w:hyperlink r:id="rId30">
        <w:r>
          <w:rPr>
            <w:rFonts w:ascii="微软雅黑" w:hAnsi="微软雅黑" w:eastAsia="微软雅黑" w:cs="微软雅黑"/>
            <w:color w:val="087E89"/>
          </w:rPr>
          <w:t>原油价格走低 此前特朗普排除中期选举前打击伊朗的可能性</w:t>
        </w:r>
      </w:hyperlink>
      <w:r>
        <w:rPr>
          <w:rFonts w:ascii="微软雅黑" w:hAnsi="微软雅黑" w:eastAsia="微软雅黑" w:cs="微软雅黑"/>
        </w:rPr>
      </w:r>
    </w:p>
    <w:p>
      <w:pPr>
        <w:spacing w:after="0" w:line="20" w:lineRule="exact"/>
      </w:pPr>
      <w:bookmarkStart w:id="21" w:name="source-14453"/>
      <w:bookmarkEnd w:id="21" w:name="source-14453"/>
    </w:p>
    <w:p>
      <w:pPr>
        <w:pStyle w:val="ListBullet"/>
      </w:pPr>
      <w:r>
        <w:rPr>
          <w:rFonts w:ascii="微软雅黑" w:hAnsi="微软雅黑" w:eastAsia="微软雅黑" w:cs="微软雅黑"/>
        </w:rPr>
        <w:t>[21] 汇通财经｜</w:t>
      </w:r>
      <w:hyperlink r:id="rId31">
        <w:r>
          <w:rPr>
            <w:rFonts w:ascii="微软雅黑" w:hAnsi="微软雅黑" w:eastAsia="微软雅黑" w:cs="微软雅黑"/>
            <w:color w:val="087E89"/>
          </w:rPr>
          <w:t>美伊军事态势紧绷，油价下一站看谈判还是看命令？</w:t>
        </w:r>
      </w:hyperlink>
      <w:r>
        <w:rPr>
          <w:rFonts w:ascii="微软雅黑" w:hAnsi="微软雅黑" w:eastAsia="微软雅黑" w:cs="微软雅黑"/>
        </w:rPr>
      </w:r>
    </w:p>
    <w:p>
      <w:pPr>
        <w:spacing w:after="0" w:line="20" w:lineRule="exact"/>
      </w:pPr>
      <w:bookmarkStart w:id="22" w:name="source-14736"/>
      <w:bookmarkEnd w:id="22" w:name="source-14736"/>
    </w:p>
    <w:p>
      <w:pPr>
        <w:pStyle w:val="ListBullet"/>
      </w:pPr>
      <w:r>
        <w:rPr>
          <w:rFonts w:ascii="微软雅黑" w:hAnsi="微软雅黑" w:eastAsia="微软雅黑" w:cs="微软雅黑"/>
        </w:rPr>
        <w:t>[22] 新浪财经｜</w:t>
      </w:r>
      <w:hyperlink r:id="rId32">
        <w:r>
          <w:rPr>
            <w:rFonts w:ascii="微软雅黑" w:hAnsi="微软雅黑" w:eastAsia="微软雅黑" w:cs="微软雅黑"/>
            <w:color w:val="087E89"/>
          </w:rPr>
          <w:t>纳指、标普两连阴，OpenAI利空令芯片股重挫，原油大涨</w:t>
        </w:r>
      </w:hyperlink>
      <w:r>
        <w:rPr>
          <w:rFonts w:ascii="微软雅黑" w:hAnsi="微软雅黑" w:eastAsia="微软雅黑" w:cs="微软雅黑"/>
        </w:rPr>
      </w:r>
    </w:p>
    <w:p>
      <w:pPr>
        <w:spacing w:after="0" w:line="20" w:lineRule="exact"/>
      </w:pPr>
      <w:bookmarkStart w:id="23" w:name="source-15207"/>
      <w:bookmarkEnd w:id="23" w:name="source-15207"/>
    </w:p>
    <w:p>
      <w:pPr>
        <w:pStyle w:val="ListBullet"/>
      </w:pPr>
      <w:r>
        <w:rPr>
          <w:rFonts w:ascii="微软雅黑" w:hAnsi="微软雅黑" w:eastAsia="微软雅黑" w:cs="微软雅黑"/>
        </w:rPr>
        <w:t>[23] Nuclear Engineering International｜</w:t>
      </w:r>
      <w:hyperlink r:id="rId33">
        <w:r>
          <w:rPr>
            <w:rFonts w:ascii="微软雅黑" w:hAnsi="微软雅黑" w:eastAsia="微软雅黑" w:cs="微软雅黑"/>
            <w:color w:val="087E89"/>
          </w:rPr>
          <w:t>DOE支持Vistra的机组现代化改造</w:t>
        </w:r>
      </w:hyperlink>
      <w:r>
        <w:rPr>
          <w:rFonts w:ascii="微软雅黑" w:hAnsi="微软雅黑" w:eastAsia="微软雅黑" w:cs="微软雅黑"/>
        </w:rPr>
      </w:r>
    </w:p>
    <w:p>
      <w:pPr>
        <w:spacing w:after="0" w:line="20" w:lineRule="exact"/>
      </w:pPr>
      <w:bookmarkStart w:id="24" w:name="source-15202"/>
      <w:bookmarkEnd w:id="24" w:name="source-15202"/>
    </w:p>
    <w:p>
      <w:pPr>
        <w:pStyle w:val="ListBullet"/>
      </w:pPr>
      <w:r>
        <w:rPr>
          <w:rFonts w:ascii="微软雅黑" w:hAnsi="微软雅黑" w:eastAsia="微软雅黑" w:cs="微软雅黑"/>
        </w:rPr>
        <w:t>[24] 光伏杂志国际版｜</w:t>
      </w:r>
      <w:hyperlink r:id="rId34">
        <w:r>
          <w:rPr>
            <w:rFonts w:ascii="微软雅黑" w:hAnsi="微软雅黑" w:eastAsia="微软雅黑" w:cs="微软雅黑"/>
            <w:color w:val="087E89"/>
          </w:rPr>
          <w:t>价格推动巴基斯坦的表计太阳能，停电推动隐性装机</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greenbuildingafrica.co.za/four-hour-battery-storage-now-costs-less-than-gas-peaking-globally/" TargetMode="External"/><Relationship Id="rId12" Type="http://schemas.openxmlformats.org/officeDocument/2006/relationships/hyperlink" Target="https://www.powermag.com/data-centers-gas-and-who-pays-power-association-leaders-find-common-ground/" TargetMode="External"/><Relationship Id="rId13" Type="http://schemas.openxmlformats.org/officeDocument/2006/relationships/hyperlink" Target="https://www.gov.br/anp/pt-br/canais_atendimento/imprensa/noticias-comunicados/anp-retoma-restricao-a-venda-de-biodiesel-entre-distribuidores" TargetMode="External"/><Relationship Id="rId14" Type="http://schemas.openxmlformats.org/officeDocument/2006/relationships/hyperlink" Target="https://www.stcn.com/article/detail/4209022.html" TargetMode="External"/><Relationship Id="rId15" Type="http://schemas.openxmlformats.org/officeDocument/2006/relationships/hyperlink" Target="https://www.cpnn.com.cn/news/xwtt/202610/t20261009_1918874.html" TargetMode="External"/><Relationship Id="rId16" Type="http://schemas.openxmlformats.org/officeDocument/2006/relationships/hyperlink" Target="https://www.sxcoal.com/news/detail/2108126127029055490" TargetMode="External"/><Relationship Id="rId17" Type="http://schemas.openxmlformats.org/officeDocument/2006/relationships/hyperlink" Target="https://www.cleanenergywire.org/news/german-ngo-alliance-urges-government-resist-proposals-weaken-eu-emissions-trading" TargetMode="External"/><Relationship Id="rId18" Type="http://schemas.openxmlformats.org/officeDocument/2006/relationships/hyperlink" Target="https://www.chinanews.com.cn/gj/2026/10-09/10709492.shtml" TargetMode="External"/><Relationship Id="rId19" Type="http://schemas.openxmlformats.org/officeDocument/2006/relationships/hyperlink" Target="https://www.cpnn.com.cn/news/nytt/202610/t20261009_1918639.html" TargetMode="External"/><Relationship Id="rId20" Type="http://schemas.openxmlformats.org/officeDocument/2006/relationships/hyperlink" Target="https://www.cpnn.com.cn/news/zngc/202610/t20261009_1918868.html" TargetMode="External"/><Relationship Id="rId21" Type="http://schemas.openxmlformats.org/officeDocument/2006/relationships/hyperlink" Target="https://www.equinor.com/news/20261009-equinor-and-shell-partner-on-bay-du-nord" TargetMode="External"/><Relationship Id="rId22" Type="http://schemas.openxmlformats.org/officeDocument/2006/relationships/hyperlink" Target="https://www.pv-magazine.com/2026/10/09/china-wafer-prices-hold-steady-amid-divergent-output-plans-and-looming-polysilicon-cuts/" TargetMode="External"/><Relationship Id="rId23" Type="http://schemas.openxmlformats.org/officeDocument/2006/relationships/hyperlink" Target="https://industry.cfi.cn/p20261009000652.html" TargetMode="External"/><Relationship Id="rId24" Type="http://schemas.openxmlformats.org/officeDocument/2006/relationships/hyperlink" Target="https://www.shpgx.com/html/xyzx/20261009/10057.html" TargetMode="External"/><Relationship Id="rId25" Type="http://schemas.openxmlformats.org/officeDocument/2006/relationships/hyperlink" Target="https://www.cpnn.com.cn/news/hy/202610/t20261009_1918636.html" TargetMode="External"/><Relationship Id="rId26" Type="http://schemas.openxmlformats.org/officeDocument/2006/relationships/hyperlink" Target="https://www.shpgx.com/html/xyzx/20261009/10059.html" TargetMode="External"/><Relationship Id="rId27" Type="http://schemas.openxmlformats.org/officeDocument/2006/relationships/hyperlink" Target="https://www.utilitydive.com/news/q3-electric-gas-rate-requests-powerlines-analysis/832609/" TargetMode="External"/><Relationship Id="rId28" Type="http://schemas.openxmlformats.org/officeDocument/2006/relationships/hyperlink" Target="https://www.news.cn/world/20261009/be05aa6979574dbba62cfce5b3b7dd3c/c.html" TargetMode="External"/><Relationship Id="rId29" Type="http://schemas.openxmlformats.org/officeDocument/2006/relationships/hyperlink" Target="https://www.stcn.com/article/detail/4210719.html" TargetMode="External"/><Relationship Id="rId30" Type="http://schemas.openxmlformats.org/officeDocument/2006/relationships/hyperlink" Target="https://finance.sina.com.cn/stock/usstock/c/2026-10-09/doc-iniuqywm3005288.shtml" TargetMode="External"/><Relationship Id="rId31" Type="http://schemas.openxmlformats.org/officeDocument/2006/relationships/hyperlink" Target="https://www.fx678.com/C/20261009/202610090836009117.html" TargetMode="External"/><Relationship Id="rId32" Type="http://schemas.openxmlformats.org/officeDocument/2006/relationships/hyperlink" Target="https://finance.sina.com.cn/wm/2026-10-09/doc-iniuqqhi7241955.shtml" TargetMode="External"/><Relationship Id="rId33" Type="http://schemas.openxmlformats.org/officeDocument/2006/relationships/hyperlink" Target="https://www.neimagazine.com/news/doe-backs-vistra-fleet-modernisation/" TargetMode="External"/><Relationship Id="rId34" Type="http://schemas.openxmlformats.org/officeDocument/2006/relationships/hyperlink" Target="https://www.pv-magazine.com/2026/10/09/prices-drive-pakistans-metered-solar-outages-drive-hidden-upta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2026年10月9日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