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信息覆盖时段：2026-10-22 00:00 至 2026-10-23 00:00（不含），Asia/Shanghai。</w:t>
      </w:r>
    </w:p>
    <w:p>
      <w:pPr/>
      <w:r>
        <w:rPr>
          <w:rFonts w:ascii="微软雅黑" w:hAnsi="微软雅黑" w:eastAsia="微软雅黑" w:cs="微软雅黑"/>
        </w:rPr>
        <w:t>统计区间：2026-10-22 至 2026-10-23（结束日不含，北京时间）</w:t>
      </w:r>
    </w:p>
    <w:p>
      <w:pPr>
        <w:ind w:firstLine="420"/>
      </w:pPr>
      <w:r>
        <w:rPr>
          <w:rFonts w:ascii="微软雅黑" w:hAnsi="微软雅黑" w:eastAsia="微软雅黑" w:cs="微软雅黑"/>
        </w:rPr>
        <w:t>资料更新截止：2026-10-23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国际动力煤期货价格连涨三日，收于每吨156.05美元创三年新高 </w:t>
      </w:r>
      <w:hyperlink w:anchor="source-25975">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欧洲气价再破90欧元，储气率仅约74%，冬季供应警报拉响 </w:t>
      </w:r>
      <w:hyperlink w:anchor="source-25926">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25879">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国家能源局发文推动煤电与新能源融合发展 </w:t>
      </w:r>
      <w:hyperlink w:anchor="source-25825">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瓦莱罗能源2026年第三季度净利润达68亿美元，炼油利润大幅增长 </w:t>
      </w:r>
      <w:hyperlink w:anchor="source-25727">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工信部发布工信领域碳排放双控实施方案（2026—2030年） </w:t>
      </w:r>
      <w:hyperlink w:anchor="source-25631">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5558">
        <w:r>
          <w:rPr>
            <w:rFonts w:ascii="微软雅黑" w:hAnsi="微软雅黑" w:eastAsia="微软雅黑" w:cs="微软雅黑"/>
            <w:color w:val="087E89"/>
          </w:rPr>
          <w:t>7</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ICE纽卡斯尔动力煤期货次月到期交割合约收盘价</w:t>
            </w:r>
          </w:p>
        </w:tc>
        <w:tc>
          <w:tcPr>
            <w:tcW w:type="dxa" w:w="2268"/>
          </w:tcPr>
          <w:p>
            <w:pPr>
              <w:spacing w:after="40"/>
            </w:pPr>
            <w:r>
              <w:rPr>
                <w:rFonts w:ascii="微软雅黑" w:hAnsi="微软雅黑" w:eastAsia="微软雅黑" w:cs="微软雅黑"/>
              </w:rPr>
              <w:t>156.05美元/吨</w:t>
            </w:r>
          </w:p>
        </w:tc>
        <w:tc>
          <w:tcPr>
            <w:tcW w:type="dxa" w:w="2268"/>
          </w:tcPr>
          <w:p>
            <w:pPr>
              <w:spacing w:after="40"/>
            </w:pPr>
            <w:r>
              <w:rPr>
                <w:rFonts w:ascii="微软雅黑" w:hAnsi="微软雅黑" w:eastAsia="微软雅黑" w:cs="微软雅黑"/>
              </w:rPr>
              <w:t>2026-10-19</w:t>
            </w:r>
          </w:p>
        </w:tc>
        <w:tc>
          <w:tcPr>
            <w:tcW w:type="dxa" w:w="2268"/>
          </w:tcPr>
          <w:p>
            <w:pPr>
              <w:spacing w:after="40"/>
            </w:pPr>
            <w:r>
              <w:rPr>
                <w:rFonts w:ascii="微软雅黑" w:hAnsi="微软雅黑" w:eastAsia="微软雅黑" w:cs="微软雅黑"/>
              </w:rPr>
            </w:r>
            <w:hyperlink w:anchor="source-25975">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中国全国煤炭产量（国家统计局）</w:t>
            </w:r>
          </w:p>
        </w:tc>
        <w:tc>
          <w:tcPr>
            <w:tcW w:type="dxa" w:w="2268"/>
          </w:tcPr>
          <w:p>
            <w:pPr>
              <w:spacing w:after="40"/>
            </w:pPr>
            <w:r>
              <w:rPr>
                <w:rFonts w:ascii="微软雅黑" w:hAnsi="微软雅黑" w:eastAsia="微软雅黑" w:cs="微软雅黑"/>
              </w:rPr>
              <w:t>3.8513亿吨</w:t>
            </w:r>
          </w:p>
        </w:tc>
        <w:tc>
          <w:tcPr>
            <w:tcW w:type="dxa" w:w="2268"/>
          </w:tcPr>
          <w:p>
            <w:pPr>
              <w:spacing w:after="40"/>
            </w:pPr>
            <w:r>
              <w:rPr>
                <w:rFonts w:ascii="微软雅黑" w:hAnsi="微软雅黑" w:eastAsia="微软雅黑" w:cs="微软雅黑"/>
              </w:rPr>
              <w:t>2026-09</w:t>
            </w:r>
          </w:p>
        </w:tc>
        <w:tc>
          <w:tcPr>
            <w:tcW w:type="dxa" w:w="2268"/>
          </w:tcPr>
          <w:p>
            <w:pPr>
              <w:spacing w:after="40"/>
            </w:pPr>
            <w:r>
              <w:rPr>
                <w:rFonts w:ascii="微软雅黑" w:hAnsi="微软雅黑" w:eastAsia="微软雅黑" w:cs="微软雅黑"/>
              </w:rPr>
            </w:r>
            <w:hyperlink w:anchor="source-25975">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印尼煤炭出口同比降幅（路透社数据）</w:t>
            </w:r>
          </w:p>
        </w:tc>
        <w:tc>
          <w:tcPr>
            <w:tcW w:type="dxa" w:w="2268"/>
          </w:tcPr>
          <w:p>
            <w:pPr>
              <w:spacing w:after="40"/>
            </w:pPr>
            <w:r>
              <w:rPr>
                <w:rFonts w:ascii="微软雅黑" w:hAnsi="微软雅黑" w:eastAsia="微软雅黑" w:cs="微软雅黑"/>
              </w:rPr>
              <w:t>同比下降23.3%</w:t>
            </w:r>
          </w:p>
        </w:tc>
        <w:tc>
          <w:tcPr>
            <w:tcW w:type="dxa" w:w="2268"/>
          </w:tcPr>
          <w:p>
            <w:pPr>
              <w:spacing w:after="40"/>
            </w:pPr>
            <w:r>
              <w:rPr>
                <w:rFonts w:ascii="微软雅黑" w:hAnsi="微软雅黑" w:eastAsia="微软雅黑" w:cs="微软雅黑"/>
              </w:rPr>
              <w:t>2026-08</w:t>
            </w:r>
          </w:p>
        </w:tc>
        <w:tc>
          <w:tcPr>
            <w:tcW w:type="dxa" w:w="2268"/>
          </w:tcPr>
          <w:p>
            <w:pPr>
              <w:spacing w:after="40"/>
            </w:pPr>
            <w:r>
              <w:rPr>
                <w:rFonts w:ascii="微软雅黑" w:hAnsi="微软雅黑" w:eastAsia="微软雅黑" w:cs="微软雅黑"/>
              </w:rPr>
            </w:r>
            <w:hyperlink w:anchor="source-25975">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欧盟天然气储气设施填充率</w:t>
            </w:r>
          </w:p>
        </w:tc>
        <w:tc>
          <w:tcPr>
            <w:tcW w:type="dxa" w:w="2268"/>
          </w:tcPr>
          <w:p>
            <w:pPr>
              <w:spacing w:after="40"/>
            </w:pPr>
            <w:r>
              <w:rPr>
                <w:rFonts w:ascii="微软雅黑" w:hAnsi="微软雅黑" w:eastAsia="微软雅黑" w:cs="微软雅黑"/>
              </w:rPr>
              <w:t>约74%（德国约61%）</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5926">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25879">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中国煤电与新能源融合发展新能源规模预测</w:t>
            </w:r>
          </w:p>
        </w:tc>
        <w:tc>
          <w:tcPr>
            <w:tcW w:type="dxa" w:w="2268"/>
          </w:tcPr>
          <w:p>
            <w:pPr>
              <w:spacing w:after="40"/>
            </w:pPr>
            <w:r>
              <w:rPr>
                <w:rFonts w:ascii="微软雅黑" w:hAnsi="微软雅黑" w:eastAsia="微软雅黑" w:cs="微软雅黑"/>
              </w:rPr>
              <w:t>超过2亿千瓦</w:t>
            </w:r>
          </w:p>
        </w:tc>
        <w:tc>
          <w:tcPr>
            <w:tcW w:type="dxa" w:w="2268"/>
          </w:tcPr>
          <w:p>
            <w:pPr>
              <w:spacing w:after="40"/>
            </w:pPr>
            <w:r>
              <w:rPr>
                <w:rFonts w:ascii="微软雅黑" w:hAnsi="微软雅黑" w:eastAsia="微软雅黑" w:cs="微软雅黑"/>
              </w:rPr>
              <w:t>“十五五”期间</w:t>
            </w:r>
          </w:p>
        </w:tc>
        <w:tc>
          <w:tcPr>
            <w:tcW w:type="dxa" w:w="2268"/>
          </w:tcPr>
          <w:p>
            <w:pPr>
              <w:spacing w:after="40"/>
            </w:pPr>
            <w:r>
              <w:rPr>
                <w:rFonts w:ascii="微软雅黑" w:hAnsi="微软雅黑" w:eastAsia="微软雅黑" w:cs="微软雅黑"/>
              </w:rPr>
            </w:r>
            <w:hyperlink w:anchor="source-25825">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融合发展年减排二氧化碳预测</w:t>
            </w:r>
          </w:p>
        </w:tc>
        <w:tc>
          <w:tcPr>
            <w:tcW w:type="dxa" w:w="2268"/>
          </w:tcPr>
          <w:p>
            <w:pPr>
              <w:spacing w:after="40"/>
            </w:pPr>
            <w:r>
              <w:rPr>
                <w:rFonts w:ascii="微软雅黑" w:hAnsi="微软雅黑" w:eastAsia="微软雅黑" w:cs="微软雅黑"/>
              </w:rPr>
              <w:t>1.3亿吨以上</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5825">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瓦莱罗能源归属股东净利润</w:t>
            </w:r>
          </w:p>
        </w:tc>
        <w:tc>
          <w:tcPr>
            <w:tcW w:type="dxa" w:w="2268"/>
          </w:tcPr>
          <w:p>
            <w:pPr>
              <w:spacing w:after="40"/>
            </w:pPr>
            <w:r>
              <w:rPr>
                <w:rFonts w:ascii="微软雅黑" w:hAnsi="微软雅黑" w:eastAsia="微软雅黑" w:cs="微软雅黑"/>
              </w:rPr>
              <w:t>68亿美元，每股23.89美元</w:t>
            </w:r>
          </w:p>
        </w:tc>
        <w:tc>
          <w:tcPr>
            <w:tcW w:type="dxa" w:w="2268"/>
          </w:tcPr>
          <w:p>
            <w:pPr>
              <w:spacing w:after="40"/>
            </w:pPr>
            <w:r>
              <w:rPr>
                <w:rFonts w:ascii="微软雅黑" w:hAnsi="微软雅黑" w:eastAsia="微软雅黑" w:cs="微软雅黑"/>
              </w:rPr>
              <w:t>2026年第三季度</w:t>
            </w:r>
          </w:p>
        </w:tc>
        <w:tc>
          <w:tcPr>
            <w:tcW w:type="dxa" w:w="2268"/>
          </w:tcPr>
          <w:p>
            <w:pPr>
              <w:spacing w:after="40"/>
            </w:pPr>
            <w:r>
              <w:rPr>
                <w:rFonts w:ascii="微软雅黑" w:hAnsi="微软雅黑" w:eastAsia="微软雅黑" w:cs="微软雅黑"/>
              </w:rPr>
            </w:r>
            <w:hyperlink w:anchor="source-25727">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瓦莱罗能源炼油板块经营利润</w:t>
            </w:r>
          </w:p>
        </w:tc>
        <w:tc>
          <w:tcPr>
            <w:tcW w:type="dxa" w:w="2268"/>
          </w:tcPr>
          <w:p>
            <w:pPr>
              <w:spacing w:after="40"/>
            </w:pPr>
            <w:r>
              <w:rPr>
                <w:rFonts w:ascii="微软雅黑" w:hAnsi="微软雅黑" w:eastAsia="微软雅黑" w:cs="微软雅黑"/>
              </w:rPr>
              <w:t>88亿美元</w:t>
            </w:r>
          </w:p>
        </w:tc>
        <w:tc>
          <w:tcPr>
            <w:tcW w:type="dxa" w:w="2268"/>
          </w:tcPr>
          <w:p>
            <w:pPr>
              <w:spacing w:after="40"/>
            </w:pPr>
            <w:r>
              <w:rPr>
                <w:rFonts w:ascii="微软雅黑" w:hAnsi="微软雅黑" w:eastAsia="微软雅黑" w:cs="微软雅黑"/>
              </w:rPr>
              <w:t>2026年第三季度</w:t>
            </w:r>
          </w:p>
        </w:tc>
        <w:tc>
          <w:tcPr>
            <w:tcW w:type="dxa" w:w="2268"/>
          </w:tcPr>
          <w:p>
            <w:pPr>
              <w:spacing w:after="40"/>
            </w:pPr>
            <w:r>
              <w:rPr>
                <w:rFonts w:ascii="微软雅黑" w:hAnsi="微软雅黑" w:eastAsia="微软雅黑" w:cs="微软雅黑"/>
              </w:rPr>
            </w:r>
            <w:hyperlink w:anchor="source-25727">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瓦莱罗能源炼油加工量</w:t>
            </w:r>
          </w:p>
        </w:tc>
        <w:tc>
          <w:tcPr>
            <w:tcW w:type="dxa" w:w="2268"/>
          </w:tcPr>
          <w:p>
            <w:pPr>
              <w:spacing w:after="40"/>
            </w:pPr>
            <w:r>
              <w:rPr>
                <w:rFonts w:ascii="微软雅黑" w:hAnsi="微软雅黑" w:eastAsia="微软雅黑" w:cs="微软雅黑"/>
              </w:rPr>
              <w:t>平均每日300万桶</w:t>
            </w:r>
          </w:p>
        </w:tc>
        <w:tc>
          <w:tcPr>
            <w:tcW w:type="dxa" w:w="2268"/>
          </w:tcPr>
          <w:p>
            <w:pPr>
              <w:spacing w:after="40"/>
            </w:pPr>
            <w:r>
              <w:rPr>
                <w:rFonts w:ascii="微软雅黑" w:hAnsi="微软雅黑" w:eastAsia="微软雅黑" w:cs="微软雅黑"/>
              </w:rPr>
              <w:t>2026年第三季度</w:t>
            </w:r>
          </w:p>
        </w:tc>
        <w:tc>
          <w:tcPr>
            <w:tcW w:type="dxa" w:w="2268"/>
          </w:tcPr>
          <w:p>
            <w:pPr>
              <w:spacing w:after="40"/>
            </w:pPr>
            <w:r>
              <w:rPr>
                <w:rFonts w:ascii="微软雅黑" w:hAnsi="微软雅黑" w:eastAsia="微软雅黑" w:cs="微软雅黑"/>
              </w:rPr>
            </w:r>
            <w:hyperlink w:anchor="source-25727">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规模以上工业单位增加值二氧化碳排放较2025年降幅目标</w:t>
            </w:r>
          </w:p>
        </w:tc>
        <w:tc>
          <w:tcPr>
            <w:tcW w:type="dxa" w:w="2268"/>
          </w:tcPr>
          <w:p>
            <w:pPr>
              <w:spacing w:after="40"/>
            </w:pPr>
            <w:r>
              <w:rPr>
                <w:rFonts w:ascii="微软雅黑" w:hAnsi="微软雅黑" w:eastAsia="微软雅黑" w:cs="微软雅黑"/>
              </w:rPr>
              <w:t>降低17%以上</w:t>
            </w:r>
          </w:p>
        </w:tc>
        <w:tc>
          <w:tcPr>
            <w:tcW w:type="dxa" w:w="2268"/>
          </w:tcPr>
          <w:p>
            <w:pPr>
              <w:spacing w:after="40"/>
            </w:pPr>
            <w:r>
              <w:rPr>
                <w:rFonts w:ascii="微软雅黑" w:hAnsi="微软雅黑" w:eastAsia="微软雅黑" w:cs="微软雅黑"/>
              </w:rPr>
              <w:t>2030年目标</w:t>
            </w:r>
          </w:p>
        </w:tc>
        <w:tc>
          <w:tcPr>
            <w:tcW w:type="dxa" w:w="2268"/>
          </w:tcPr>
          <w:p>
            <w:pPr>
              <w:spacing w:after="40"/>
            </w:pPr>
            <w:r>
              <w:rPr>
                <w:rFonts w:ascii="微软雅黑" w:hAnsi="微软雅黑" w:eastAsia="微软雅黑" w:cs="微软雅黑"/>
              </w:rPr>
            </w:r>
            <w:hyperlink w:anchor="source-25631">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5558">
              <w:r>
                <w:rPr>
                  <w:rFonts w:ascii="微软雅黑" w:hAnsi="微软雅黑" w:eastAsia="微软雅黑" w:cs="微软雅黑"/>
                  <w:color w:val="087E89"/>
                </w:rPr>
                <w:t>7</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美以被曝制定中期选举后再袭伊朗计划，目标或含伊朗能源设施</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《纽约时报》援引美国官员及知情人士报道，美以正在制定美国中期选举后对伊朗的短期、高强度行动计划；伊朗外长阿拉格奇称已通过调解人向美国提交七日计划，涉及结束战争并重新开放霍尔木兹海峡。</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纽约时报》援引美国官员及其他知情人士报道，美以正在制定选举后短期、高强度行动计划，目标可能包括伊朗能源设施、核设施以及导弹和无人机武器库。以军曾准备在10月10日那个周末进行数日轰炸，目标包括民用基础设施、核设施和政权目标，因特朗普反对在美国中期选举前重启战争，该轮行动最终未实施。伊朗外长阿拉格奇在《金融时报》撰文称，他上月经调解人向美国提交了七日计划，内容涉及结束战争并重新开放霍尔木兹海峡，按其说法海峡可在第六天重新开放，最终协议谈判于第七天恢复。调停人士称，他们提出解冻部分伊朗海外资金及利息以换取在核问题上的让步，例如允许国际核查人员进入伊朗；另有方案涉及将伊朗浓缩铀库存转移至俄罗斯。</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伊朗官员警告，报复目标可能扩大到地区能源设施、美军资产以及数据中心和海底互联网电缆；一些官员认为特朗普希望避免油价继续上涨，打击方案可能因此避开炼油厂和石油基础设施。</w:t>
      </w:r>
    </w:p>
    <w:p>
      <w:pPr>
        <w:ind w:firstLine="420"/>
      </w:pPr>
      <w:r>
        <w:rPr>
          <w:rFonts w:ascii="微软雅黑" w:hAnsi="微软雅黑" w:eastAsia="微软雅黑" w:cs="微软雅黑"/>
        </w:rPr>
        <w:t>来源：</w:t>
      </w:r>
      <w:hyperlink w:anchor="source-25575">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2. 沙特Shaybah油田遭无人机袭击，原油期货价格上涨</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沙特阿美Shaybah油田遭无人机袭击造成两人死亡但生产未受影响，市场担心中东敌对行动升级影响石油供应，原油期货价格上涨。</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12月结算的布伦特原油期货价格上涨1.1%，至每桶109.98美元；12月交割的WTI原油期货价格上涨0.9%，至每桶98.02美元。沙特阿美公司的Shaybah油田遭到无人机袭击，造成两人死亡，但生产未受影响。原油价格走高，市场担心中东不断升级的敌对行动可能影响石油供应，尽管近几个月经霍尔木兹海峡的出口有所加速。伊朗近几周加大力度攻击霍尔木兹海峡的航运，德黑兰支持的胡塞武装频繁袭击沙特阿拉伯。美国国务院下令非紧急工作人员及其家属从沙特阿拉伯撤离。</w:t>
      </w:r>
    </w:p>
    <w:p>
      <w:pPr>
        <w:ind w:firstLine="420"/>
      </w:pPr>
      <w:r>
        <w:rPr>
          <w:rFonts w:ascii="微软雅黑" w:hAnsi="微软雅黑" w:eastAsia="微软雅黑" w:cs="微软雅黑"/>
        </w:rPr>
        <w:t>来源：</w:t>
      </w:r>
      <w:hyperlink w:anchor="source-25345">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3. 瓦莱罗能源2026年第三季度净利润达68亿美元，炼油利润大幅增长</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瓦莱罗能源公布2026年第三季度业绩，归属股东净利润达68亿美元，炼油板块经营利润88亿美元，可再生柴油板块扭亏为盈。</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第三季度，瓦莱罗能源归属股东净利润为68亿美元，每股23.89美元，2025年同期为11亿美元，每股3.53美元。炼油板块2026年第三季度经营利润88亿美元，2025年同期为16亿美元。2026年第三季度炼油加工量平均为每日300万桶。可再生柴油板块（DGD合资企业）2026年第三季度经营利润3.53亿美元，2025年同期经营亏损2800万美元。乙醇产量平均每日480万加仑，创下新的季度纪录。</w:t>
      </w:r>
    </w:p>
    <w:p>
      <w:pPr>
        <w:ind w:firstLine="420"/>
      </w:pPr>
      <w:r>
        <w:rPr>
          <w:rFonts w:ascii="微软雅黑" w:hAnsi="微软雅黑" w:eastAsia="微软雅黑" w:cs="微软雅黑"/>
        </w:rPr>
        <w:t>来源：</w:t>
      </w:r>
      <w:hyperlink w:anchor="source-25727">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4. 欧盟石油协调小组确认柴油和航空煤油供应仍然紧张</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石油协调小组召开会议讨论欧盟燃料市场动态，确认柴油和航空煤油供应仍然紧张，欧盟委员会将与合作成员国及IEA密切监测局势。</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在持续影响油市的全球地缘政治不确定性背景下，会议确认柴油和航空煤油供应仍然紧张。目前欧洲不存在上述产品的实物短缺，但考虑到进一步中断风险，欧盟委员会将与合作成员国及IEA密切监测局势。该战略对话将由委员Dan Jørgensen和Andrius Kubilius主持，并将很快举行。</w:t>
      </w:r>
    </w:p>
    <w:p>
      <w:pPr>
        <w:ind w:firstLine="420"/>
      </w:pPr>
      <w:r>
        <w:rPr>
          <w:rFonts w:ascii="微软雅黑" w:hAnsi="微软雅黑" w:eastAsia="微软雅黑" w:cs="微软雅黑"/>
        </w:rPr>
        <w:t>来源：</w:t>
      </w:r>
      <w:hyperlink w:anchor="source-25693">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5. 欧洲气价再破90欧元，储气率仅约74%，冬季供应警报拉响</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欧洲天然气价格升至2022年末以来最高水平，TTF期货先后突破86和90欧元/兆瓦时，欧盟储气率仅约74%，明显低于历史同期，冬季供应警报拉响。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当地时间10月13日，荷兰所有权转让中心（TTF）天然气期货价格突破每兆瓦时86欧元，升至2022年12月以来最高水平，随后再度突破90欧元/兆瓦时。据Gas Infrastructure Europe数据，欧盟天然气库存今年以来首次出现下降，储气设施填充率约为74%，明显低于同期15年历史均值，也是彭博数据追溯至2009年以来同期最低水平；德国储气设施填充率仅61%。美国智库能源经济和金融分析研究所报告称，今年冬天欧盟将面临高达140亿立方米的天然气供应缺口，约占欧盟总需求的7%，相当于超过1000万户欧洲家庭的能源需求。</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与去年冬季相比天然气价格已接近三倍，欧洲工业、物流及居民用能成本面临进一步上涨压力；欧洲还需与亚洲买家争夺有限的现货资源。</w:t>
      </w:r>
    </w:p>
    <w:p>
      <w:pPr>
        <w:ind w:firstLine="420"/>
      </w:pPr>
      <w:r>
        <w:rPr>
          <w:rFonts w:ascii="微软雅黑" w:hAnsi="微软雅黑" w:eastAsia="微软雅黑" w:cs="微软雅黑"/>
        </w:rPr>
        <w:t>来源：</w:t>
      </w:r>
      <w:hyperlink w:anchor="source-25926">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25879">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6. 卡塔尔能源与Cheniere签署长期协议，每年最多采购400万吨美国LNG至2054年</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卡塔尔能源与Cheniere签署两份长期销售与采购协议（SPAs），每年最多采购400万吨美国LNG，预计自2031年开始供货并持续至2054年。</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卡塔尔能源与Cheniere签署两份长期销售与采购协议（SPAs），每年最多采购400万吨LNG，货源来自Cheniere位于美国墨西哥湾沿岸的路易斯安那州萨宾帕斯和得克萨斯州科珀斯克里斯蒂设施。合同以FOB（装船港交货）方式交付，预计自2031年开始供货并持续至2054年。协议由卡塔尔能源总裁兼首席执行官、能源事务国务大臣Saad Sherida Al-Kaabi与Cheniere董事长兼首席执行官Jack Fusco签署。</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Al-Kaabi表示，新增气量将与卡塔尔能源现有LNG供应形成互补，增强其供应与交易组合，并加强其服务全球客户的能力。</w:t>
      </w:r>
    </w:p>
    <w:p>
      <w:pPr>
        <w:ind w:firstLine="420"/>
      </w:pPr>
      <w:r>
        <w:rPr>
          <w:rFonts w:ascii="微软雅黑" w:hAnsi="微软雅黑" w:eastAsia="微软雅黑" w:cs="微软雅黑"/>
        </w:rPr>
        <w:t>来源：</w:t>
      </w:r>
      <w:hyperlink w:anchor="source-25800">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7. 国际动力煤期货价格连涨三日，收于每吨156.05美元创三年新高</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2026年10月19日周一交易中，ICE纽卡斯尔动力煤期货次月到期交割合约收于每吨156.05美元，环比上涨0.93%，连续三个交易日累计上涨2.8%，创2026年10月2日以来即三年以来的最高水平。</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10月19日周一交易中，ICE纽卡斯尔动力煤期货次月到期交割合约收于每吨156.05美元，环比前一交易日上涨0.93%，连续三个交易日累计上涨2.8%，为2026年10月2日以来的最高价，即三年以来的最高水平。国家统计局数据显示，2026年9月全国煤炭产量为3.8513亿吨，同比下降6.8%，但高于8月的3.6182亿吨。据路透社数据，印尼煤炭出口8月同比下降23.3%，9月继续同比下降18.1%。</w:t>
      </w:r>
    </w:p>
    <w:p>
      <w:pPr>
        <w:ind w:firstLine="420"/>
      </w:pPr>
      <w:r>
        <w:rPr>
          <w:rFonts w:ascii="微软雅黑" w:hAnsi="微软雅黑" w:eastAsia="微软雅黑" w:cs="微软雅黑"/>
        </w:rPr>
        <w:t>来源：</w:t>
      </w:r>
      <w:hyperlink w:anchor="source-25975">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8. OPG子公司加入英国14台BWRX-300项目运营合作</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波兰SGE的英国项目公司SGE SMR UK与加拿大OPG子公司Origin Nuclear签署意向书，将成立合资企业，共同运营计划在英国部署的14台BWRX-300小型模块化反应堆机组。</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波兰SGE的英国项目公司SGE SMR UK与OPG子公司Origin Nuclear签署意向书，将成立合资企业共同运营计划中的14台BWRX-300小型模块化反应堆机组。Origin Nuclear的母公司OPG正在安大略省达灵顿建设首台BWRX-300，Origin Nuclear将支持许可审批、调试与运行准备，并负责整个拟议英国机组的电站运营及集中支持服务。SGE今年早些时候提出由私人出资在英国三个场址部署14台GE Vernova Hitachi BWRX-300的计划，并已依据英国《先进核框架》提交申请。</w:t>
      </w:r>
    </w:p>
    <w:p>
      <w:pPr>
        <w:ind w:firstLine="420"/>
      </w:pPr>
      <w:r>
        <w:rPr>
          <w:rFonts w:ascii="微软雅黑" w:hAnsi="微软雅黑" w:eastAsia="微软雅黑" w:cs="微软雅黑"/>
        </w:rPr>
        <w:t>来源：</w:t>
      </w:r>
      <w:hyperlink w:anchor="source-25884">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9. 阿根廷政府推进批发电力市场规范化的新阶段</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阿根廷经济部能源秘书处通过第293/2026号决议（当日在官方公报发布），推进批发市场（MEM）正常化的新阶段。</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正常化进程于一年前由第400/2025号决议启动。工业、商业及有较大需求的工业企业、商业机构和企业现可每月以大用户（GUMA或GUME）身份进入批发市场，此前仅能在季度窗口期进入。新程序简化手续、为各阶段设定明确期限，并以能源秘书处的明示许可取代默示批准。自2027年起，自主管理燃料的发电商将有更大空间以低于参考值的报价参与并竞争调度，同时高于参考值的允许价差将逐步收窄。</w:t>
      </w:r>
    </w:p>
    <w:p>
      <w:pPr>
        <w:ind w:firstLine="420"/>
      </w:pPr>
      <w:r>
        <w:rPr>
          <w:rFonts w:ascii="微软雅黑" w:hAnsi="微软雅黑" w:eastAsia="微软雅黑" w:cs="微软雅黑"/>
        </w:rPr>
        <w:t>来源：</w:t>
      </w:r>
      <w:hyperlink w:anchor="source-25299">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10. 过去十年美国分布式太阳能发电量增长至原来的四倍</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过去十年美国装机小于1MW的小型光伏系统发电量增长至原来的四倍以上，加州居全国首位。</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美国装机小于1MW的小型光伏系统发电量达到92,979 GWh，而十年前为18,812 GWh。全国发电量增速在2022年见顶，当年小型光伏总发电量同比增长25%，伴随创纪录的装机新增。2025年加州居全国首位，占屋顶光伏总发电量的37%，达34,411 GWh；2024至2025年间加州屋顶光伏发电量增长8%，小型光伏在运装机从18 GW增至20 GW。亚利桑那州居全国第二，发电5,795 GWh，占全国总量6%以上。</w:t>
      </w:r>
    </w:p>
    <w:p>
      <w:pPr>
        <w:ind w:firstLine="420"/>
      </w:pPr>
      <w:r>
        <w:rPr>
          <w:rFonts w:ascii="微软雅黑" w:hAnsi="微软雅黑" w:eastAsia="微软雅黑" w:cs="微软雅黑"/>
        </w:rPr>
        <w:t>来源：</w:t>
      </w:r>
      <w:hyperlink w:anchor="source-25713">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11. 德国尚未提交国家实施计划，争取欧盟社会气候基金受阻</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德国在获取欧盟社会气候基金（SCF）方面进展滞后，尚未提交国家实施计划。</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在现在至2032年间，德国有权从欧盟社会气候基金（SCF）获得约53亿欧元。该基金旨在帮助低收入家庭应对能源转型，例如支持更换供暖系统和转向气候友好型出行。获取基金须提交说明将资助哪些措施的国家实施计划，德国尚未提交，而约十个欧盟成员国已提交。德国须先行垫付相关措施资金，因为SCF资金为事后拨付。成员国须共同承担承诺金额的四分之一，因此德国需出资约13亿欧元，平均自2027年起每年约2亿欧元。</w:t>
      </w:r>
    </w:p>
    <w:p>
      <w:pPr>
        <w:ind w:firstLine="420"/>
      </w:pPr>
      <w:r>
        <w:rPr>
          <w:rFonts w:ascii="微软雅黑" w:hAnsi="微软雅黑" w:eastAsia="微软雅黑" w:cs="微软雅黑"/>
        </w:rPr>
        <w:t>来源：</w:t>
      </w:r>
      <w:hyperlink w:anchor="source-25842">
        <w:r>
          <w:rPr>
            <w:rFonts w:ascii="微软雅黑" w:hAnsi="微软雅黑" w:eastAsia="微软雅黑" w:cs="微软雅黑"/>
            <w:color w:val="087E89"/>
          </w:rPr>
          <w:t>13</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12. 中办国办发文推动科技创新与产业创新深度融合</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中共中央办公厅、国务院办公厅发布《关于推动科技创新和产业创新深度融合的意见》，提出加快新能源等战略性新兴产业发展，并在氢能和核聚变能等前沿领域培育未来产业。</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文件经党中央、国务院同意后提出意见。总体要求以发展新质生产力、建设现代化产业体系为目标，以构建企业主导、各主体协同的产学研融通创新体系为重点。文件提出实施产业创新工程，加快新能源、新材料、航空航天等战略性新兴产业发展，因地制宜建设战略性新兴产业集群；在量子科技、生物制造、氢能和核聚变能、脑机接口、具身智能、第六代移动通信等前沿领域，探索多元技术路线与商业模式，加快推进产业化商业化，培育形成未来产业。文件还提出推动国家自然科学基金试点向民营企业开放，扩大企业创新发展联合基金范围和规模。</w:t>
      </w:r>
    </w:p>
    <w:p>
      <w:pPr>
        <w:ind w:firstLine="420"/>
      </w:pPr>
      <w:r>
        <w:rPr>
          <w:rFonts w:ascii="微软雅黑" w:hAnsi="微软雅黑" w:eastAsia="微软雅黑" w:cs="微软雅黑"/>
        </w:rPr>
        <w:t>来源：</w:t>
      </w:r>
      <w:hyperlink w:anchor="source-25504">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13. 生态环境部：我国应对气候变化成效显著</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生态环境部表示，我国应对气候变化成效显著，可再生能源装机占比持续提升，光伏装机历史性超过煤电，核电装机规模跃居世界第一，碳市场建设取得进展。</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上半年，全国可再生能源装机达到24.55亿千瓦，占全国发电总装机的60.7%。7月底光伏发电装机容量历史性超过煤电，成为第一大电源。在运和核准在建的核电机组装机规模跃居世界第一。今年颁布的生态环境法典设立应对气候变化专章，是我国法律首次对应对气候变化作出专门规定。建成全球规模最大的碳排放权交易市场，全国温室气体自愿减排交易市场加速扩容。</w:t>
      </w:r>
    </w:p>
    <w:p>
      <w:pPr>
        <w:ind w:firstLine="420"/>
      </w:pPr>
      <w:r>
        <w:rPr>
          <w:rFonts w:ascii="微软雅黑" w:hAnsi="微软雅黑" w:eastAsia="微软雅黑" w:cs="微软雅黑"/>
        </w:rPr>
        <w:t>来源：</w:t>
      </w:r>
      <w:hyperlink w:anchor="source-25422">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14. 中国海油LNG运输船项目二期二号船“绿能海”命名交付</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10月20日，中国海油中长期FOB资源配套LNG运输船项目（二期）二号船“绿能海”在上海市长兴岛沪东中华造船厂命名交付。</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20日，该项目12艘船舶中已有8艘完工交付，交付进度达到三分之二。“绿能海”总长299米、型宽46.4米、型深26.25米、航速19.5节，设计装载液化天然气17.4万立方米。船舶采用最新一代货物围护系统，货舱自然蒸发率低至0.085%，并配置LNG深冷装置进一步降低货舱蒸发气；双燃料主机配置智能废气再循环系统及水处理系统，在燃油、燃气两种模式下均满足IMO TierIII氮氧化物排放限值要求。据项目组介绍，建造中运用精益管理工具，建造效率明显提升，在交船前7个月完成试航。</w:t>
      </w:r>
    </w:p>
    <w:p>
      <w:pPr>
        <w:ind w:firstLine="420"/>
      </w:pPr>
      <w:r>
        <w:rPr>
          <w:rFonts w:ascii="微软雅黑" w:hAnsi="微软雅黑" w:eastAsia="微软雅黑" w:cs="微软雅黑"/>
        </w:rPr>
        <w:t>来源：</w:t>
      </w:r>
      <w:hyperlink w:anchor="source-25633">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15. 国家能源局发布重点行业标准支撑能源绿色发展</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国家能源局发布2026年第4号公告，出台一批重点行业标准，围绕促进新技术、新产业、新业态发展，支撑能源项目建设运行和规范管理，服务能源绿色发展和低碳转型。</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公告编号为2026年第4号，出台一批重点行业标准，服务能源绿色发展和低碳转型。其中《煤矿人工智能大模型通用技术要求》（MT/T 1372—2026）适用于煤矿人工智能大模型的规划设计、工程建设、运营管理和运行维护，规定通用大模型、功能、接口、数据、软硬件平台和部署要求。</w:t>
      </w:r>
    </w:p>
    <w:p>
      <w:pPr>
        <w:ind w:firstLine="420"/>
      </w:pPr>
      <w:r>
        <w:rPr>
          <w:rFonts w:ascii="微软雅黑" w:hAnsi="微软雅黑" w:eastAsia="微软雅黑" w:cs="微软雅黑"/>
        </w:rPr>
        <w:t>来源：</w:t>
      </w:r>
      <w:hyperlink w:anchor="source-25415">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16. 中国可再生能源装机达24.55亿千瓦，核电规模跃居世界第一</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国新办举行新闻发布会，介绍中国积极应对气候变化情况，公布可再生能源装机、核电规模及碳市场建设进展。</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上半年，全国可再生能源装机达到24.55亿千瓦，占全国发电总装机的60.7%。7月底光伏发电装机容量历史性超过煤电，成为第一大电源。在运和核准在建的核电机组装机规模跃居世界第一。中国已建成全球规模最大的碳排放权交易市场，全国温室气体自愿减排交易市场加速扩容、加速发展。</w:t>
      </w:r>
    </w:p>
    <w:p>
      <w:pPr>
        <w:ind w:firstLine="420"/>
      </w:pPr>
      <w:r>
        <w:rPr>
          <w:rFonts w:ascii="微软雅黑" w:hAnsi="微软雅黑" w:eastAsia="微软雅黑" w:cs="微软雅黑"/>
        </w:rPr>
        <w:t>来源：</w:t>
      </w:r>
      <w:hyperlink w:anchor="source-25635">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17. 国家能源局发文推动煤电与新能源融合发展</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21日，国家能源局发布《关于推动煤电与新能源融合发展的实施意见》，明确五类典型场景模式，要求融合项目新能源规模与煤电机组改造提升的调节能力匹配。电力规划设计总院副院长何肇预计，“十五五”期间融合发展的新能源规模将超过2亿千瓦，年减排二氧化碳1.3亿吨以上。</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21日，国家能源局发布《关于推动煤电与新能源融合发展的实施意见》。《实施意见》要求不降低煤电对电力系统支撑调节能力，融合项目新能源规模与煤电机组改造升级提升的调节能力匹配，减少弃风弃光；到“十五五”末，融合场景模式成熟应用，融合项目年度碳排放水平较改造前显著降低。文件明确五类典型场景模式：新能源直接近区公用煤电机组、接入近区公用热电联产机组实现清洁供热、海上风电直连沿海公用煤电机组、近区新能源接入自备煤电机组打捆利用、厂内或近区新能源直连煤电厂用能系统。</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国家能源局有关负责人表示将创新开发实施模式，由同一主体统筹或联合体实施，按现行调度机制并通过参与电力市场实现协同运行，加大中央资金支持并对符合条件项目予以资金补助。</w:t>
      </w:r>
    </w:p>
    <w:p>
      <w:pPr>
        <w:ind w:firstLine="420"/>
      </w:pPr>
      <w:r>
        <w:rPr>
          <w:rFonts w:ascii="微软雅黑" w:hAnsi="微软雅黑" w:eastAsia="微软雅黑" w:cs="微软雅黑"/>
        </w:rPr>
        <w:t>来源：</w:t>
      </w:r>
      <w:hyperlink w:anchor="source-25825">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18. 长三角电力市场全部实现按自然日连续开市</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10月19日，国家能源局在安徽合肥召开长三角电力市场建设推进会，总结2026年以来长三角电力市场建设成效并谋划下一阶段重点任务，同时对迎峰度冬电力保供作出部署。</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长三角五省市电力市场全部实现按自然日连续开市，安徽、福建电力现货市场顺利转入正式运行。迎峰度夏期间区域内省间互济电力约4000万千瓦，1—9月减少风光弃电量超过24亿千瓦时。多部门协同的监管机制加快完善，辅助服务费用向用户侧有序疏导，批发—零售价格传导更加顺畅。下一阶段将整合优化短期互济品种，研究推进区域辅助服务市场建设，推进长三角电力交易平台开发建设与功能升级，推动西北—华东绿电“一次报价、联合交易”落地。</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会议要求加强供需形势监测预警，发挥市场机制保供作用，守住民生用能保障底线。</w:t>
      </w:r>
    </w:p>
    <w:p>
      <w:pPr>
        <w:ind w:firstLine="420"/>
      </w:pPr>
      <w:r>
        <w:rPr>
          <w:rFonts w:ascii="微软雅黑" w:hAnsi="微软雅黑" w:eastAsia="微软雅黑" w:cs="微软雅黑"/>
        </w:rPr>
        <w:t>来源：</w:t>
      </w:r>
      <w:hyperlink w:anchor="source-25492">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19. 工信部发布工信领域碳排放双控实施方案（2026—2030年）</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2026年10月21日，工业和信息化部对外发布《加快构建工业和信息化领域碳排放双控工作体系实施方案（2026—2030年）》，明确到2030年工业碳排放强度、碳足迹标准及零碳设施建设等目标。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方案提出，到2030年规模以上工业单位增加值二氧化碳排放比2025年降低17%以上，规模以上工业单位增加值能耗比2025年下降10%以上；制定实施重点工业产品碳足迹核算规则标准400项左右，建设国家级零碳工厂和零碳算力设施500个左右。“十五五”时期，重点行业领域碳排放管控能力持续增强，工业和信息化领域碳排放核算、评价、考核等制度基本建立。方案还提出完善重点行业能耗和碳排放限额、重点用能产品设备能效等标准，引导新建项目优先向零碳园区集聚，支持工业企业开发节能降碳大模型、高效智能节能降碳设备。</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中国电子信息产业发展研究院党委书记刘文强表示，方案印发实施为工业和信息化领域地方碳考核、行业碳管控、企业碳管理、项目碳评价、产品碳足迹等政策制度的建立与完善提供了明确方向指引，将为工业和信息化领域碳达峰提供有力支撑。</w:t>
      </w:r>
    </w:p>
    <w:p>
      <w:pPr>
        <w:ind w:firstLine="420"/>
      </w:pPr>
      <w:r>
        <w:rPr>
          <w:rFonts w:ascii="微软雅黑" w:hAnsi="微软雅黑" w:eastAsia="微软雅黑" w:cs="微软雅黑"/>
        </w:rPr>
        <w:t>来源：</w:t>
      </w:r>
      <w:hyperlink w:anchor="source-25631">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5558">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20. 截至9月底我国电动汽车充电基础设施总数达2477.7万个</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10月22日，国家能源局发布2026年9月全国电动汽车充电设施数据。截至2026年9月底，我国电动汽车充电基础设施（枪）总数达到2477.7万个，同比增长37.2%。</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数据来自国家充电设施监测服务平台。截至2026年9月底，公共充电设施（枪）520.7万个，同比增长16.3%，额定总功率达到2.66亿千瓦，单枪平均功率约51.10千瓦；私人充电设施（枪）1957.0万个，同比增长44.0%，报装用电容量达到1.67亿千伏安。</w:t>
      </w:r>
    </w:p>
    <w:p>
      <w:pPr>
        <w:ind w:firstLine="420"/>
      </w:pPr>
      <w:r>
        <w:rPr>
          <w:rFonts w:ascii="微软雅黑" w:hAnsi="微软雅黑" w:eastAsia="微软雅黑" w:cs="微软雅黑"/>
        </w:rPr>
        <w:t>来源：</w:t>
      </w:r>
      <w:hyperlink w:anchor="source-25409">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25491">
        <w:r>
          <w:rPr>
            <w:rFonts w:ascii="微软雅黑" w:hAnsi="微软雅黑" w:eastAsia="微软雅黑" w:cs="微软雅黑"/>
            <w:color w:val="087E89"/>
          </w:rPr>
          <w:t>10</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印尼能源与矿产资源部长巴希尔·拉哈达利亚表示，6330 kcal/kg的GAR煤种价格已达154美元/吨，政府将进行有限的配额放松措施以维持供需平衡并提高外汇储备，该措施的具体落实情况有待观察。 </w:t>
      </w:r>
      <w:hyperlink w:anchor="source-25975">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高盛分析师Daan Struyven警告，若霍尔木兹海峡LNG出口量仅维持正常水平四分之一左右且严寒天气推高供暖需求，欧洲气价可能升至150欧元/兆瓦时。 </w:t>
      </w:r>
      <w:hyperlink w:anchor="source-25926">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25879">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碳足迹核算规则标准、零碳工厂和零碳算力设施建设等目标尚待落实。 </w:t>
      </w:r>
      <w:hyperlink w:anchor="source-25631">
        <w:r>
          <w:rPr>
            <w:rFonts w:ascii="微软雅黑" w:hAnsi="微软雅黑" w:eastAsia="微软雅黑" w:cs="微软雅黑"/>
            <w:color w:val="087E89"/>
          </w:rPr>
          <w:t>6</w:t>
        </w:r>
      </w:hyperlink>
      <w:r>
        <w:rPr>
          <w:rFonts w:ascii="微软雅黑" w:hAnsi="微软雅黑" w:eastAsia="微软雅黑" w:cs="微软雅黑"/>
        </w:rPr>
        <w:t xml:space="preserve"> </w:t>
      </w:r>
      <w:hyperlink w:anchor="source-25558">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中期选举后行动计划是否实施，以及七日计划与核问题让步方案能否推进。 </w:t>
      </w:r>
      <w:hyperlink w:anchor="source-25575">
        <w:r>
          <w:rPr>
            <w:rFonts w:ascii="微软雅黑" w:hAnsi="微软雅黑" w:eastAsia="微软雅黑" w:cs="微软雅黑"/>
            <w:color w:val="087E89"/>
          </w:rPr>
          <w:t>8</w:t>
        </w:r>
      </w:hyperlink>
      <w:r>
        <w:rPr>
          <w:rFonts w:ascii="微软雅黑" w:hAnsi="微软雅黑" w:eastAsia="微软雅黑" w:cs="微软雅黑"/>
        </w:rPr>
      </w:r>
    </w:p>
    <w:p>
      <w:pPr>
        <w:pStyle w:val="ListBullet"/>
      </w:pPr>
      <w:r>
        <w:rPr>
          <w:rFonts w:ascii="微软雅黑" w:hAnsi="微软雅黑" w:eastAsia="微软雅黑" w:cs="微软雅黑"/>
        </w:rPr>
        <w:t xml:space="preserve">合资企业尚待正式成立，英国14台机组的许可审批与建设仍待落实。 </w:t>
      </w:r>
      <w:hyperlink w:anchor="source-25884">
        <w:r>
          <w:rPr>
            <w:rFonts w:ascii="微软雅黑" w:hAnsi="微软雅黑" w:eastAsia="微软雅黑" w:cs="微软雅黑"/>
            <w:color w:val="087E89"/>
          </w:rPr>
          <w:t>12</w:t>
        </w:r>
      </w:hyperlink>
      <w:r>
        <w:rPr>
          <w:rFonts w:ascii="微软雅黑" w:hAnsi="微软雅黑" w:eastAsia="微软雅黑" w:cs="微软雅黑"/>
        </w:rPr>
      </w:r>
    </w:p>
    <w:p>
      <w:pPr>
        <w:pStyle w:val="ListBullet"/>
      </w:pPr>
      <w:r>
        <w:rPr>
          <w:rFonts w:ascii="微软雅黑" w:hAnsi="微软雅黑" w:eastAsia="微软雅黑" w:cs="微软雅黑"/>
        </w:rPr>
        <w:t xml:space="preserve">德国国家实施计划尚未提交，须先行垫付资金。 </w:t>
      </w:r>
      <w:hyperlink w:anchor="source-25842">
        <w:r>
          <w:rPr>
            <w:rFonts w:ascii="微软雅黑" w:hAnsi="微软雅黑" w:eastAsia="微软雅黑" w:cs="微软雅黑"/>
            <w:color w:val="087E89"/>
          </w:rPr>
          <w:t>13</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369 篇文章，形成 356 篇有效能源材料；正文引用 23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2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25975"/>
      <w:bookmarkEnd w:id="1" w:name="source-25975"/>
    </w:p>
    <w:p>
      <w:pPr>
        <w:pStyle w:val="ListBullet"/>
      </w:pPr>
      <w:r>
        <w:rPr>
          <w:rFonts w:ascii="微软雅黑" w:hAnsi="微软雅黑" w:eastAsia="微软雅黑" w:cs="微软雅黑"/>
        </w:rPr>
        <w:t>[1] 中国能源网｜</w:t>
      </w:r>
      <w:hyperlink r:id="rId11">
        <w:r>
          <w:rPr>
            <w:rFonts w:ascii="微软雅黑" w:hAnsi="微软雅黑" w:eastAsia="微软雅黑" w:cs="微软雅黑"/>
            <w:color w:val="087E89"/>
          </w:rPr>
          <w:t>本周一国际动力煤价格继续上涨，攀升至每吨超156美元新高</w:t>
        </w:r>
      </w:hyperlink>
      <w:r>
        <w:rPr>
          <w:rFonts w:ascii="微软雅黑" w:hAnsi="微软雅黑" w:eastAsia="微软雅黑" w:cs="微软雅黑"/>
        </w:rPr>
      </w:r>
    </w:p>
    <w:p>
      <w:pPr>
        <w:spacing w:after="0" w:line="20" w:lineRule="exact"/>
      </w:pPr>
      <w:bookmarkStart w:id="2" w:name="source-25926"/>
      <w:bookmarkEnd w:id="2" w:name="source-25926"/>
    </w:p>
    <w:p>
      <w:pPr>
        <w:pStyle w:val="ListBullet"/>
      </w:pPr>
      <w:r>
        <w:rPr>
          <w:rFonts w:ascii="微软雅黑" w:hAnsi="微软雅黑" w:eastAsia="微软雅黑" w:cs="微软雅黑"/>
        </w:rPr>
        <w:t>[2] 新浪财经｜</w:t>
      </w:r>
      <w:hyperlink r:id="rId12">
        <w:r>
          <w:rPr>
            <w:rFonts w:ascii="微软雅黑" w:hAnsi="微软雅黑" w:eastAsia="微软雅黑" w:cs="微软雅黑"/>
            <w:color w:val="087E89"/>
          </w:rPr>
          <w:t>欧洲气价再破90欧元，天然气库存仅约74%，冬季供应警报拉响</w:t>
        </w:r>
      </w:hyperlink>
      <w:r>
        <w:rPr>
          <w:rFonts w:ascii="微软雅黑" w:hAnsi="微软雅黑" w:eastAsia="微软雅黑" w:cs="微软雅黑"/>
        </w:rPr>
      </w:r>
    </w:p>
    <w:p>
      <w:pPr>
        <w:spacing w:after="0" w:line="20" w:lineRule="exact"/>
      </w:pPr>
      <w:bookmarkStart w:id="3" w:name="source-25879"/>
      <w:bookmarkEnd w:id="3" w:name="source-25879"/>
    </w:p>
    <w:p>
      <w:pPr>
        <w:pStyle w:val="ListBullet"/>
      </w:pPr>
      <w:r>
        <w:rPr>
          <w:rFonts w:ascii="微软雅黑" w:hAnsi="微软雅黑" w:eastAsia="微软雅黑" w:cs="微软雅黑"/>
        </w:rPr>
        <w:t>[3] 中国能源新闻网｜</w:t>
      </w:r>
      <w:hyperlink r:id="rId13">
        <w:r>
          <w:rPr>
            <w:rFonts w:ascii="微软雅黑" w:hAnsi="微软雅黑" w:eastAsia="微软雅黑" w:cs="微软雅黑"/>
            <w:color w:val="087E89"/>
          </w:rPr>
          <w:t>凛冬将至，欧洲再临“能源关”</w:t>
        </w:r>
      </w:hyperlink>
      <w:r>
        <w:rPr>
          <w:rFonts w:ascii="微软雅黑" w:hAnsi="微软雅黑" w:eastAsia="微软雅黑" w:cs="微软雅黑"/>
        </w:rPr>
      </w:r>
    </w:p>
    <w:p>
      <w:pPr>
        <w:spacing w:after="0" w:line="20" w:lineRule="exact"/>
      </w:pPr>
      <w:bookmarkStart w:id="4" w:name="source-25825"/>
      <w:bookmarkEnd w:id="4" w:name="source-25825"/>
    </w:p>
    <w:p>
      <w:pPr>
        <w:pStyle w:val="ListBullet"/>
      </w:pPr>
      <w:r>
        <w:rPr>
          <w:rFonts w:ascii="微软雅黑" w:hAnsi="微软雅黑" w:eastAsia="微软雅黑" w:cs="微软雅黑"/>
        </w:rPr>
        <w:t>[4] 科技日报｜</w:t>
      </w:r>
      <w:hyperlink r:id="rId14">
        <w:r>
          <w:rPr>
            <w:rFonts w:ascii="微软雅黑" w:hAnsi="微软雅黑" w:eastAsia="微软雅黑" w:cs="微软雅黑"/>
            <w:color w:val="087E89"/>
          </w:rPr>
          <w:t>“十五五”与煤电融合发展的新能源预计超2亿千瓦</w:t>
        </w:r>
      </w:hyperlink>
      <w:r>
        <w:rPr>
          <w:rFonts w:ascii="微软雅黑" w:hAnsi="微软雅黑" w:eastAsia="微软雅黑" w:cs="微软雅黑"/>
        </w:rPr>
      </w:r>
    </w:p>
    <w:p>
      <w:pPr>
        <w:spacing w:after="0" w:line="20" w:lineRule="exact"/>
      </w:pPr>
      <w:bookmarkStart w:id="5" w:name="source-25727"/>
      <w:bookmarkEnd w:id="5" w:name="source-25727"/>
    </w:p>
    <w:p>
      <w:pPr>
        <w:pStyle w:val="ListBullet"/>
      </w:pPr>
      <w:r>
        <w:rPr>
          <w:rFonts w:ascii="微软雅黑" w:hAnsi="微软雅黑" w:eastAsia="微软雅黑" w:cs="微软雅黑"/>
        </w:rPr>
        <w:t>[5] 瓦莱罗能源｜</w:t>
      </w:r>
      <w:hyperlink r:id="rId15">
        <w:r>
          <w:rPr>
            <w:rFonts w:ascii="微软雅黑" w:hAnsi="微软雅黑" w:eastAsia="微软雅黑" w:cs="微软雅黑"/>
            <w:color w:val="087E89"/>
          </w:rPr>
          <w:t>瓦莱罗能源公司公布2026年第三季度业绩</w:t>
        </w:r>
      </w:hyperlink>
      <w:r>
        <w:rPr>
          <w:rFonts w:ascii="微软雅黑" w:hAnsi="微软雅黑" w:eastAsia="微软雅黑" w:cs="微软雅黑"/>
        </w:rPr>
      </w:r>
    </w:p>
    <w:p>
      <w:pPr>
        <w:spacing w:after="0" w:line="20" w:lineRule="exact"/>
      </w:pPr>
      <w:bookmarkStart w:id="6" w:name="source-25631"/>
      <w:bookmarkEnd w:id="6" w:name="source-25631"/>
    </w:p>
    <w:p>
      <w:pPr>
        <w:pStyle w:val="ListBullet"/>
      </w:pPr>
      <w:r>
        <w:rPr>
          <w:rFonts w:ascii="微软雅黑" w:hAnsi="微软雅黑" w:eastAsia="微软雅黑" w:cs="微软雅黑"/>
        </w:rPr>
        <w:t>[6] 中国能源新闻网｜</w:t>
      </w:r>
      <w:hyperlink r:id="rId16">
        <w:r>
          <w:rPr>
            <w:rFonts w:ascii="微软雅黑" w:hAnsi="微软雅黑" w:eastAsia="微软雅黑" w:cs="微软雅黑"/>
            <w:color w:val="087E89"/>
          </w:rPr>
          <w:t>工信部发布工信领域碳排放双控实施方案</w:t>
        </w:r>
      </w:hyperlink>
      <w:r>
        <w:rPr>
          <w:rFonts w:ascii="微软雅黑" w:hAnsi="微软雅黑" w:eastAsia="微软雅黑" w:cs="微软雅黑"/>
        </w:rPr>
      </w:r>
    </w:p>
    <w:p>
      <w:pPr>
        <w:spacing w:after="0" w:line="20" w:lineRule="exact"/>
      </w:pPr>
      <w:bookmarkStart w:id="7" w:name="source-25558"/>
      <w:bookmarkEnd w:id="7" w:name="source-25558"/>
    </w:p>
    <w:p>
      <w:pPr>
        <w:pStyle w:val="ListBullet"/>
      </w:pPr>
      <w:r>
        <w:rPr>
          <w:rFonts w:ascii="微软雅黑" w:hAnsi="微软雅黑" w:eastAsia="微软雅黑" w:cs="微软雅黑"/>
        </w:rPr>
        <w:t>[7] Solarbe(光伏网)｜</w:t>
      </w:r>
      <w:hyperlink r:id="rId17">
        <w:r>
          <w:rPr>
            <w:rFonts w:ascii="微软雅黑" w:hAnsi="微软雅黑" w:eastAsia="微软雅黑" w:cs="微软雅黑"/>
            <w:color w:val="087E89"/>
          </w:rPr>
          <w:t>工信部：到2030年建设500个左右国家级零碳工厂和零碳算力设施</w:t>
        </w:r>
      </w:hyperlink>
      <w:r>
        <w:rPr>
          <w:rFonts w:ascii="微软雅黑" w:hAnsi="微软雅黑" w:eastAsia="微软雅黑" w:cs="微软雅黑"/>
        </w:rPr>
      </w:r>
    </w:p>
    <w:p>
      <w:pPr>
        <w:spacing w:after="0" w:line="20" w:lineRule="exact"/>
      </w:pPr>
      <w:bookmarkStart w:id="8" w:name="source-25575"/>
      <w:bookmarkEnd w:id="8" w:name="source-25575"/>
    </w:p>
    <w:p>
      <w:pPr>
        <w:pStyle w:val="ListBullet"/>
      </w:pPr>
      <w:r>
        <w:rPr>
          <w:rFonts w:ascii="微软雅黑" w:hAnsi="微软雅黑" w:eastAsia="微软雅黑" w:cs="微软雅黑"/>
        </w:rPr>
        <w:t>[8] 新浪财经 · 新闻蒸馏器｜美以被曝制定中期选举后再袭伊朗计划，以战机飞近边境模拟打击｜</w:t>
      </w:r>
      <w:hyperlink r:id="rId18">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9" w:name="source-25409"/>
      <w:bookmarkEnd w:id="9" w:name="source-25409"/>
    </w:p>
    <w:p>
      <w:pPr>
        <w:pStyle w:val="ListBullet"/>
      </w:pPr>
      <w:r>
        <w:rPr>
          <w:rFonts w:ascii="微软雅黑" w:hAnsi="微软雅黑" w:eastAsia="微软雅黑" w:cs="微软雅黑"/>
        </w:rPr>
        <w:t>[9] 智通财经｜</w:t>
      </w:r>
      <w:hyperlink r:id="rId19">
        <w:r>
          <w:rPr>
            <w:rFonts w:ascii="微软雅黑" w:hAnsi="微软雅黑" w:eastAsia="微软雅黑" w:cs="微软雅黑"/>
            <w:color w:val="087E89"/>
          </w:rPr>
          <w:t>国家能源局：截至9月底我国电动汽车充电基础设施(枪)总数达2477.7万个</w:t>
        </w:r>
      </w:hyperlink>
      <w:r>
        <w:rPr>
          <w:rFonts w:ascii="微软雅黑" w:hAnsi="微软雅黑" w:eastAsia="微软雅黑" w:cs="微软雅黑"/>
        </w:rPr>
      </w:r>
    </w:p>
    <w:p>
      <w:pPr>
        <w:spacing w:after="0" w:line="20" w:lineRule="exact"/>
      </w:pPr>
      <w:bookmarkStart w:id="10" w:name="source-25491"/>
      <w:bookmarkEnd w:id="10" w:name="source-25491"/>
    </w:p>
    <w:p>
      <w:pPr>
        <w:pStyle w:val="ListBullet"/>
      </w:pPr>
      <w:r>
        <w:rPr>
          <w:rFonts w:ascii="微软雅黑" w:hAnsi="微软雅黑" w:eastAsia="微软雅黑" w:cs="微软雅黑"/>
        </w:rPr>
        <w:t>[10] 国家能源局｜</w:t>
      </w:r>
      <w:hyperlink r:id="rId20">
        <w:r>
          <w:rPr>
            <w:rFonts w:ascii="微软雅黑" w:hAnsi="微软雅黑" w:eastAsia="微软雅黑" w:cs="微软雅黑"/>
            <w:color w:val="087E89"/>
          </w:rPr>
          <w:t>截至9月底，我国电动汽车充电基础设施总数达到2477.7万个</w:t>
        </w:r>
      </w:hyperlink>
      <w:r>
        <w:rPr>
          <w:rFonts w:ascii="微软雅黑" w:hAnsi="微软雅黑" w:eastAsia="微软雅黑" w:cs="微软雅黑"/>
        </w:rPr>
      </w:r>
    </w:p>
    <w:p>
      <w:pPr>
        <w:spacing w:after="0" w:line="20" w:lineRule="exact"/>
      </w:pPr>
      <w:bookmarkStart w:id="11" w:name="source-25299"/>
      <w:bookmarkEnd w:id="11" w:name="source-25299"/>
    </w:p>
    <w:p>
      <w:pPr>
        <w:pStyle w:val="ListBullet"/>
      </w:pPr>
      <w:r>
        <w:rPr>
          <w:rFonts w:ascii="微软雅黑" w:hAnsi="微软雅黑" w:eastAsia="微软雅黑" w:cs="微软雅黑"/>
        </w:rPr>
        <w:t>[11] 阿根廷国家能源秘书处｜</w:t>
      </w:r>
      <w:hyperlink r:id="rId21">
        <w:r>
          <w:rPr>
            <w:rFonts w:ascii="微软雅黑" w:hAnsi="微软雅黑" w:eastAsia="微软雅黑" w:cs="微软雅黑"/>
            <w:color w:val="087E89"/>
          </w:rPr>
          <w:t>国家政府推进批发电力市场规范化的新阶段</w:t>
        </w:r>
      </w:hyperlink>
      <w:r>
        <w:rPr>
          <w:rFonts w:ascii="微软雅黑" w:hAnsi="微软雅黑" w:eastAsia="微软雅黑" w:cs="微软雅黑"/>
        </w:rPr>
      </w:r>
    </w:p>
    <w:p>
      <w:pPr>
        <w:spacing w:after="0" w:line="20" w:lineRule="exact"/>
      </w:pPr>
      <w:bookmarkStart w:id="12" w:name="source-25884"/>
      <w:bookmarkEnd w:id="12" w:name="source-25884"/>
    </w:p>
    <w:p>
      <w:pPr>
        <w:pStyle w:val="ListBullet"/>
      </w:pPr>
      <w:r>
        <w:rPr>
          <w:rFonts w:ascii="微软雅黑" w:hAnsi="微软雅黑" w:eastAsia="微软雅黑" w:cs="微软雅黑"/>
        </w:rPr>
        <w:t>[12] 世界核新闻｜</w:t>
      </w:r>
      <w:hyperlink r:id="rId22">
        <w:r>
          <w:rPr>
            <w:rFonts w:ascii="微软雅黑" w:hAnsi="微软雅黑" w:eastAsia="微软雅黑" w:cs="微软雅黑"/>
            <w:color w:val="087E89"/>
          </w:rPr>
          <w:t>OPG公司加入英国BWRX-300项目</w:t>
        </w:r>
      </w:hyperlink>
      <w:r>
        <w:rPr>
          <w:rFonts w:ascii="微软雅黑" w:hAnsi="微软雅黑" w:eastAsia="微软雅黑" w:cs="微软雅黑"/>
        </w:rPr>
      </w:r>
    </w:p>
    <w:p>
      <w:pPr>
        <w:spacing w:after="0" w:line="20" w:lineRule="exact"/>
      </w:pPr>
      <w:bookmarkStart w:id="13" w:name="source-25842"/>
      <w:bookmarkEnd w:id="13" w:name="source-25842"/>
    </w:p>
    <w:p>
      <w:pPr>
        <w:pStyle w:val="ListBullet"/>
      </w:pPr>
      <w:r>
        <w:rPr>
          <w:rFonts w:ascii="微软雅黑" w:hAnsi="微软雅黑" w:eastAsia="微软雅黑" w:cs="微软雅黑"/>
        </w:rPr>
        <w:t>[13] 清洁能源通讯社｜</w:t>
      </w:r>
      <w:hyperlink r:id="rId23">
        <w:r>
          <w:rPr>
            <w:rFonts w:ascii="微软雅黑" w:hAnsi="微软雅黑" w:eastAsia="微软雅黑" w:cs="微软雅黑"/>
            <w:color w:val="087E89"/>
          </w:rPr>
          <w:t>德国苦于争取欧盟数十亿欧元社会气候措施基金</w:t>
        </w:r>
      </w:hyperlink>
      <w:r>
        <w:rPr>
          <w:rFonts w:ascii="微软雅黑" w:hAnsi="微软雅黑" w:eastAsia="微软雅黑" w:cs="微软雅黑"/>
        </w:rPr>
      </w:r>
    </w:p>
    <w:p>
      <w:pPr>
        <w:spacing w:after="0" w:line="20" w:lineRule="exact"/>
      </w:pPr>
      <w:bookmarkStart w:id="14" w:name="source-25713"/>
      <w:bookmarkEnd w:id="14" w:name="source-25713"/>
    </w:p>
    <w:p>
      <w:pPr>
        <w:pStyle w:val="ListBullet"/>
      </w:pPr>
      <w:r>
        <w:rPr>
          <w:rFonts w:ascii="微软雅黑" w:hAnsi="微软雅黑" w:eastAsia="微软雅黑" w:cs="微软雅黑"/>
        </w:rPr>
        <w:t>[14] 光伏杂志国际版｜</w:t>
      </w:r>
      <w:hyperlink r:id="rId24">
        <w:r>
          <w:rPr>
            <w:rFonts w:ascii="微软雅黑" w:hAnsi="微软雅黑" w:eastAsia="微软雅黑" w:cs="微软雅黑"/>
            <w:color w:val="087E89"/>
          </w:rPr>
          <w:t>过去十年美国分布式太阳能发电量增长至原来的四倍</w:t>
        </w:r>
      </w:hyperlink>
      <w:r>
        <w:rPr>
          <w:rFonts w:ascii="微软雅黑" w:hAnsi="微软雅黑" w:eastAsia="微软雅黑" w:cs="微软雅黑"/>
        </w:rPr>
      </w:r>
    </w:p>
    <w:p>
      <w:pPr>
        <w:spacing w:after="0" w:line="20" w:lineRule="exact"/>
      </w:pPr>
      <w:bookmarkStart w:id="15" w:name="source-25635"/>
      <w:bookmarkEnd w:id="15" w:name="source-25635"/>
    </w:p>
    <w:p>
      <w:pPr>
        <w:pStyle w:val="ListBullet"/>
      </w:pPr>
      <w:r>
        <w:rPr>
          <w:rFonts w:ascii="微软雅黑" w:hAnsi="微软雅黑" w:eastAsia="微软雅黑" w:cs="微软雅黑"/>
        </w:rPr>
        <w:t>[15] 中国能源新闻网｜</w:t>
      </w:r>
      <w:hyperlink r:id="rId25">
        <w:r>
          <w:rPr>
            <w:rFonts w:ascii="微软雅黑" w:hAnsi="微软雅黑" w:eastAsia="微软雅黑" w:cs="微软雅黑"/>
            <w:color w:val="087E89"/>
          </w:rPr>
          <w:t>国新办举行新闻发布会介绍中国积极应对气候变化等情况</w:t>
        </w:r>
      </w:hyperlink>
      <w:r>
        <w:rPr>
          <w:rFonts w:ascii="微软雅黑" w:hAnsi="微软雅黑" w:eastAsia="微软雅黑" w:cs="微软雅黑"/>
        </w:rPr>
      </w:r>
    </w:p>
    <w:p>
      <w:pPr>
        <w:spacing w:after="0" w:line="20" w:lineRule="exact"/>
      </w:pPr>
      <w:bookmarkStart w:id="16" w:name="source-25504"/>
      <w:bookmarkEnd w:id="16" w:name="source-25504"/>
    </w:p>
    <w:p>
      <w:pPr>
        <w:pStyle w:val="ListBullet"/>
      </w:pPr>
      <w:r>
        <w:rPr>
          <w:rFonts w:ascii="微软雅黑" w:hAnsi="微软雅黑" w:eastAsia="微软雅黑" w:cs="微软雅黑"/>
        </w:rPr>
        <w:t>[16] 中国能源新闻网｜</w:t>
      </w:r>
      <w:hyperlink r:id="rId26">
        <w:r>
          <w:rPr>
            <w:rFonts w:ascii="微软雅黑" w:hAnsi="微软雅黑" w:eastAsia="微软雅黑" w:cs="微软雅黑"/>
            <w:color w:val="087E89"/>
          </w:rPr>
          <w:t>《关于推动科技创新和产业创新深度融合的意见》发布</w:t>
        </w:r>
      </w:hyperlink>
      <w:r>
        <w:rPr>
          <w:rFonts w:ascii="微软雅黑" w:hAnsi="微软雅黑" w:eastAsia="微软雅黑" w:cs="微软雅黑"/>
        </w:rPr>
      </w:r>
    </w:p>
    <w:p>
      <w:pPr>
        <w:spacing w:after="0" w:line="20" w:lineRule="exact"/>
      </w:pPr>
      <w:bookmarkStart w:id="17" w:name="source-25415"/>
      <w:bookmarkEnd w:id="17" w:name="source-25415"/>
    </w:p>
    <w:p>
      <w:pPr>
        <w:pStyle w:val="ListBullet"/>
      </w:pPr>
      <w:r>
        <w:rPr>
          <w:rFonts w:ascii="微软雅黑" w:hAnsi="微软雅黑" w:eastAsia="微软雅黑" w:cs="微软雅黑"/>
        </w:rPr>
        <w:t>[17] 中国能源新闻网｜</w:t>
      </w:r>
      <w:hyperlink r:id="rId27">
        <w:r>
          <w:rPr>
            <w:rFonts w:ascii="微软雅黑" w:hAnsi="微软雅黑" w:eastAsia="微软雅黑" w:cs="微软雅黑"/>
            <w:color w:val="087E89"/>
          </w:rPr>
          <w:t>国家能源局发布重点行业标准</w:t>
        </w:r>
      </w:hyperlink>
      <w:r>
        <w:rPr>
          <w:rFonts w:ascii="微软雅黑" w:hAnsi="微软雅黑" w:eastAsia="微软雅黑" w:cs="微软雅黑"/>
        </w:rPr>
      </w:r>
    </w:p>
    <w:p>
      <w:pPr>
        <w:spacing w:after="0" w:line="20" w:lineRule="exact"/>
      </w:pPr>
      <w:bookmarkStart w:id="18" w:name="source-25633"/>
      <w:bookmarkEnd w:id="18" w:name="source-25633"/>
    </w:p>
    <w:p>
      <w:pPr>
        <w:pStyle w:val="ListBullet"/>
      </w:pPr>
      <w:r>
        <w:rPr>
          <w:rFonts w:ascii="微软雅黑" w:hAnsi="微软雅黑" w:eastAsia="微软雅黑" w:cs="微软雅黑"/>
        </w:rPr>
        <w:t>[18] 中国能源新闻网｜</w:t>
      </w:r>
      <w:hyperlink r:id="rId28">
        <w:r>
          <w:rPr>
            <w:rFonts w:ascii="微软雅黑" w:hAnsi="微软雅黑" w:eastAsia="微软雅黑" w:cs="微软雅黑"/>
            <w:color w:val="087E89"/>
          </w:rPr>
          <w:t>我国最大规模LNG船项目二期二号船“绿能海”交付</w:t>
        </w:r>
      </w:hyperlink>
      <w:r>
        <w:rPr>
          <w:rFonts w:ascii="微软雅黑" w:hAnsi="微软雅黑" w:eastAsia="微软雅黑" w:cs="微软雅黑"/>
        </w:rPr>
      </w:r>
    </w:p>
    <w:p>
      <w:pPr>
        <w:spacing w:after="0" w:line="20" w:lineRule="exact"/>
      </w:pPr>
      <w:bookmarkStart w:id="19" w:name="source-25422"/>
      <w:bookmarkEnd w:id="19" w:name="source-25422"/>
    </w:p>
    <w:p>
      <w:pPr>
        <w:pStyle w:val="ListBullet"/>
      </w:pPr>
      <w:r>
        <w:rPr>
          <w:rFonts w:ascii="微软雅黑" w:hAnsi="微软雅黑" w:eastAsia="微软雅黑" w:cs="微软雅黑"/>
        </w:rPr>
        <w:t>[19] 中国能源网｜</w:t>
      </w:r>
      <w:hyperlink r:id="rId29">
        <w:r>
          <w:rPr>
            <w:rFonts w:ascii="微软雅黑" w:hAnsi="微软雅黑" w:eastAsia="微软雅黑" w:cs="微软雅黑"/>
            <w:color w:val="087E89"/>
          </w:rPr>
          <w:t>生态环境部：我国应对气候变化成效显著</w:t>
        </w:r>
      </w:hyperlink>
      <w:r>
        <w:rPr>
          <w:rFonts w:ascii="微软雅黑" w:hAnsi="微软雅黑" w:eastAsia="微软雅黑" w:cs="微软雅黑"/>
        </w:rPr>
      </w:r>
    </w:p>
    <w:p>
      <w:pPr>
        <w:spacing w:after="0" w:line="20" w:lineRule="exact"/>
      </w:pPr>
      <w:bookmarkStart w:id="20" w:name="source-25800"/>
      <w:bookmarkEnd w:id="20" w:name="source-25800"/>
    </w:p>
    <w:p>
      <w:pPr>
        <w:pStyle w:val="ListBullet"/>
      </w:pPr>
      <w:r>
        <w:rPr>
          <w:rFonts w:ascii="微软雅黑" w:hAnsi="微软雅黑" w:eastAsia="微软雅黑" w:cs="微软雅黑"/>
        </w:rPr>
        <w:t>[20] 卡塔尔能源｜</w:t>
      </w:r>
      <w:hyperlink r:id="rId30">
        <w:r>
          <w:rPr>
            <w:rFonts w:ascii="微软雅黑" w:hAnsi="微软雅黑" w:eastAsia="微软雅黑" w:cs="微软雅黑"/>
            <w:color w:val="087E89"/>
          </w:rPr>
          <w:t>卡塔尔能源签署长期协议，从陈氏能源购买400万吨/年的美国液化天然气，协议期限至2054年</w:t>
        </w:r>
      </w:hyperlink>
      <w:r>
        <w:rPr>
          <w:rFonts w:ascii="微软雅黑" w:hAnsi="微软雅黑" w:eastAsia="微软雅黑" w:cs="微软雅黑"/>
        </w:rPr>
      </w:r>
    </w:p>
    <w:p>
      <w:pPr>
        <w:spacing w:after="0" w:line="20" w:lineRule="exact"/>
      </w:pPr>
      <w:bookmarkStart w:id="21" w:name="source-25693"/>
      <w:bookmarkEnd w:id="21" w:name="source-25693"/>
    </w:p>
    <w:p>
      <w:pPr>
        <w:pStyle w:val="ListBullet"/>
      </w:pPr>
      <w:r>
        <w:rPr>
          <w:rFonts w:ascii="微软雅黑" w:hAnsi="微软雅黑" w:eastAsia="微软雅黑" w:cs="微软雅黑"/>
        </w:rPr>
        <w:t>[21] 欧盟委员会能源总司｜</w:t>
      </w:r>
      <w:hyperlink r:id="rId31">
        <w:r>
          <w:rPr>
            <w:rFonts w:ascii="微软雅黑" w:hAnsi="微软雅黑" w:eastAsia="微软雅黑" w:cs="微软雅黑"/>
            <w:color w:val="087E89"/>
          </w:rPr>
          <w:t>石油协调小组讨论欧盟燃料市场动态</w:t>
        </w:r>
      </w:hyperlink>
      <w:r>
        <w:rPr>
          <w:rFonts w:ascii="微软雅黑" w:hAnsi="微软雅黑" w:eastAsia="微软雅黑" w:cs="微软雅黑"/>
        </w:rPr>
      </w:r>
    </w:p>
    <w:p>
      <w:pPr>
        <w:spacing w:after="0" w:line="20" w:lineRule="exact"/>
      </w:pPr>
      <w:bookmarkStart w:id="22" w:name="source-25492"/>
      <w:bookmarkEnd w:id="22" w:name="source-25492"/>
    </w:p>
    <w:p>
      <w:pPr>
        <w:pStyle w:val="ListBullet"/>
      </w:pPr>
      <w:r>
        <w:rPr>
          <w:rFonts w:ascii="微软雅黑" w:hAnsi="微软雅黑" w:eastAsia="微软雅黑" w:cs="微软雅黑"/>
        </w:rPr>
        <w:t>[22] 国家能源局｜</w:t>
      </w:r>
      <w:hyperlink r:id="rId32">
        <w:r>
          <w:rPr>
            <w:rFonts w:ascii="微软雅黑" w:hAnsi="微软雅黑" w:eastAsia="微软雅黑" w:cs="微软雅黑"/>
            <w:color w:val="087E89"/>
          </w:rPr>
          <w:t>国家能源局召开长三角电力市场建设推进会</w:t>
        </w:r>
      </w:hyperlink>
      <w:r>
        <w:rPr>
          <w:rFonts w:ascii="微软雅黑" w:hAnsi="微软雅黑" w:eastAsia="微软雅黑" w:cs="微软雅黑"/>
        </w:rPr>
      </w:r>
    </w:p>
    <w:p>
      <w:pPr>
        <w:spacing w:after="0" w:line="20" w:lineRule="exact"/>
      </w:pPr>
      <w:bookmarkStart w:id="23" w:name="source-25345"/>
      <w:bookmarkEnd w:id="23" w:name="source-25345"/>
    </w:p>
    <w:p>
      <w:pPr>
        <w:pStyle w:val="ListBullet"/>
      </w:pPr>
      <w:r>
        <w:rPr>
          <w:rFonts w:ascii="微软雅黑" w:hAnsi="微软雅黑" w:eastAsia="微软雅黑" w:cs="微软雅黑"/>
        </w:rPr>
        <w:t>[23] 新浪财经美股市场（经济）｜</w:t>
      </w:r>
      <w:hyperlink r:id="rId33">
        <w:r>
          <w:rPr>
            <w:rFonts w:ascii="微软雅黑" w:hAnsi="微软雅黑" w:eastAsia="微软雅黑" w:cs="微软雅黑"/>
            <w:color w:val="087E89"/>
          </w:rPr>
          <w:t>原油期货价格上涨 沙特遭遇致命袭击加剧中东供应担忧</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china5e.com/news/news-1210810-1.html" TargetMode="External"/><Relationship Id="rId12" Type="http://schemas.openxmlformats.org/officeDocument/2006/relationships/hyperlink" Target="https://finance.sina.com.cn/roll/2026-10-22/doc-iniwchpf5910210.shtml" TargetMode="External"/><Relationship Id="rId13" Type="http://schemas.openxmlformats.org/officeDocument/2006/relationships/hyperlink" Target="https://www.cpnn.com.cn/news/gj/202610/t20261022_1921888.html" TargetMode="External"/><Relationship Id="rId14" Type="http://schemas.openxmlformats.org/officeDocument/2006/relationships/hyperlink" Target="https://www.stdaily.com/web/gdxw/2026-10/22/content_601068.html" TargetMode="External"/><Relationship Id="rId15" Type="http://schemas.openxmlformats.org/officeDocument/2006/relationships/hyperlink" Target="https://investorvalero.com/news/news-details/2026/Valero-Energy-Reports-Third-Quarter-2026-Results/default.aspx" TargetMode="External"/><Relationship Id="rId16" Type="http://schemas.openxmlformats.org/officeDocument/2006/relationships/hyperlink" Target="https://www.cpnn.com.cn/news/hy/202610/t20261022_1921882.html" TargetMode="External"/><Relationship Id="rId17" Type="http://schemas.openxmlformats.org/officeDocument/2006/relationships/hyperlink" Target="https://news.solarbe.com/202610/22/50030741.html" TargetMode="External"/><Relationship Id="rId18" Type="http://schemas.openxmlformats.org/officeDocument/2006/relationships/hyperlink" Target="https://finance.sina.com.cn/jjxw/2026-10-22/doc-iniwamip5154318.shtml" TargetMode="External"/><Relationship Id="rId19" Type="http://schemas.openxmlformats.org/officeDocument/2006/relationships/hyperlink" Target="https://www.zhitongcaijing.com/content/detail/1510584.html" TargetMode="External"/><Relationship Id="rId20" Type="http://schemas.openxmlformats.org/officeDocument/2006/relationships/hyperlink" Target="https://www.nea.gov.cn/20261022/68db6ff245ac43d3b704434c73e81597/c.html" TargetMode="External"/><Relationship Id="rId21" Type="http://schemas.openxmlformats.org/officeDocument/2006/relationships/hyperlink" Target="https://www.argentina.gob.ar/noticias/el-gobierno-nacional-avanza-en-una-nueva-etapa-de-normalizacion-del-mercado-electrico" TargetMode="External"/><Relationship Id="rId22" Type="http://schemas.openxmlformats.org/officeDocument/2006/relationships/hyperlink" Target="https://www.world-nuclear-news.org/articles/joint-venture-to-operate-planned-uk-bwrx-300-fleet" TargetMode="External"/><Relationship Id="rId23" Type="http://schemas.openxmlformats.org/officeDocument/2006/relationships/hyperlink" Target="https://www.cleanenergywire.org/news/germany-struggling-access-multi-billion-eu-fund-social-climate-measures" TargetMode="External"/><Relationship Id="rId24" Type="http://schemas.openxmlformats.org/officeDocument/2006/relationships/hyperlink" Target="https://www.pv-magazine.com/2026/10/22/u-s-small-scale-solar-generation-quadrupled-over-the-last-decade/" TargetMode="External"/><Relationship Id="rId25" Type="http://schemas.openxmlformats.org/officeDocument/2006/relationships/hyperlink" Target="https://www.cpnn.com.cn/news/hg/202610/t20261022_1921887.html" TargetMode="External"/><Relationship Id="rId26" Type="http://schemas.openxmlformats.org/officeDocument/2006/relationships/hyperlink" Target="https://www.cpnn.com.cn/news/hg/202610/t20261022_1921771.html" TargetMode="External"/><Relationship Id="rId27" Type="http://schemas.openxmlformats.org/officeDocument/2006/relationships/hyperlink" Target="https://www.cpnn.com.cn/news/nytt/202610/t20261022_1921775.html" TargetMode="External"/><Relationship Id="rId28" Type="http://schemas.openxmlformats.org/officeDocument/2006/relationships/hyperlink" Target="https://www.cpnn.com.cn/news/hy/202610/t20261022_1921877.html" TargetMode="External"/><Relationship Id="rId29" Type="http://schemas.openxmlformats.org/officeDocument/2006/relationships/hyperlink" Target="https://www.china5e.com/news/news-1210764-1.html" TargetMode="External"/><Relationship Id="rId30" Type="http://schemas.openxmlformats.org/officeDocument/2006/relationships/hyperlink" Target="https://www.qatarenergy.qa/en/MediaCenter/Pages/newsdetails.aspx?ItemId=3922" TargetMode="External"/><Relationship Id="rId31" Type="http://schemas.openxmlformats.org/officeDocument/2006/relationships/hyperlink" Target="https://energy.ec.europa.eu/news/oil-coordination-group-discusses-eu-fuel-market-developments-2026-10-22_en" TargetMode="External"/><Relationship Id="rId32" Type="http://schemas.openxmlformats.org/officeDocument/2006/relationships/hyperlink" Target="https://www.nea.gov.cn/20261022/c24fcfd10d264d2a94d868db1e85bb7a/c.html" TargetMode="External"/><Relationship Id="rId33" Type="http://schemas.openxmlformats.org/officeDocument/2006/relationships/hyperlink" Target="https://finance.sina.com.cn/stock/usstock/c/2026-10-22/doc-inivzytt5270318.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2026年10月22日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