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信息覆盖时段：2026-09-30 00:00 至 2026-10-01 00:00（不含），Asia/Shanghai。</w:t>
      </w:r>
    </w:p>
    <w:p>
      <w:pPr/>
      <w:r>
        <w:rPr>
          <w:rFonts w:ascii="微软雅黑" w:hAnsi="微软雅黑" w:eastAsia="微软雅黑" w:cs="微软雅黑"/>
        </w:rPr>
        <w:t>统计区间：2026-09-30 至 2026-10-01（结束日不含，北京时间）</w:t>
      </w:r>
    </w:p>
    <w:p>
      <w:pPr>
        <w:ind w:firstLine="420"/>
      </w:pPr>
      <w:r>
        <w:rPr>
          <w:rFonts w:ascii="微软雅黑" w:hAnsi="微软雅黑" w:eastAsia="微软雅黑" w:cs="微软雅黑"/>
        </w:rPr>
        <w:t>资料更新截止：2026-10-01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俄罗斯对乌克兰能源网发动入夏以来最大规模联合空袭 </w:t>
      </w:r>
      <w:hyperlink w:anchor="source-10258">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美国拟限制柴油出口，东海岸汽油或反被推高 </w:t>
      </w:r>
      <w:hyperlink w:anchor="source-1017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印度内阁批准绿色能源走廊第三阶段方案 </w:t>
      </w:r>
      <w:hyperlink w:anchor="source-1011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KPI Green Energy签署约束性要约收购507.9兆瓦风电资产 </w:t>
      </w:r>
      <w:hyperlink w:anchor="source-977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欧元区通胀因能源价格冲击超出预测 </w:t>
      </w:r>
      <w:hyperlink w:anchor="source-10215">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伍德麦肯兹估算东海岸汽油涨幅</w:t>
            </w:r>
          </w:p>
        </w:tc>
        <w:tc>
          <w:tcPr>
            <w:tcW w:type="dxa" w:w="2268"/>
          </w:tcPr>
          <w:p>
            <w:pPr>
              <w:spacing w:after="40"/>
            </w:pPr>
            <w:r>
              <w:rPr>
                <w:rFonts w:ascii="微软雅黑" w:hAnsi="微软雅黑" w:eastAsia="微软雅黑" w:cs="微软雅黑"/>
              </w:rPr>
              <w:t>约15%（约26美分/加仑）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173">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可再生能源消纳目标</w:t>
            </w:r>
          </w:p>
        </w:tc>
        <w:tc>
          <w:tcPr>
            <w:tcW w:type="dxa" w:w="2268"/>
          </w:tcPr>
          <w:p>
            <w:pPr>
              <w:spacing w:after="40"/>
            </w:pPr>
            <w:r>
              <w:rPr>
                <w:rFonts w:ascii="微软雅黑" w:hAnsi="微软雅黑" w:eastAsia="微软雅黑" w:cs="微软雅黑"/>
              </w:rPr>
              <w:t>最高135吉瓦</w:t>
            </w:r>
          </w:p>
        </w:tc>
        <w:tc>
          <w:tcPr>
            <w:tcW w:type="dxa" w:w="2268"/>
          </w:tcPr>
          <w:p>
            <w:pPr>
              <w:spacing w:after="40"/>
            </w:pPr>
            <w:r>
              <w:rPr>
                <w:rFonts w:ascii="微软雅黑" w:hAnsi="微软雅黑" w:eastAsia="微软雅黑" w:cs="微软雅黑"/>
              </w:rPr>
              <w:t>方案批准时</w:t>
            </w:r>
          </w:p>
        </w:tc>
        <w:tc>
          <w:tcPr>
            <w:tcW w:type="dxa" w:w="2268"/>
          </w:tcPr>
          <w:p>
            <w:pPr>
              <w:spacing w:after="40"/>
            </w:pPr>
            <w:r>
              <w:rPr>
                <w:rFonts w:ascii="微软雅黑" w:hAnsi="微软雅黑" w:eastAsia="微软雅黑" w:cs="微软雅黑"/>
              </w:rPr>
            </w:r>
            <w:hyperlink w:anchor="source-10113">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电池储能系统部署规模</w:t>
            </w:r>
          </w:p>
        </w:tc>
        <w:tc>
          <w:tcPr>
            <w:tcW w:type="dxa" w:w="2268"/>
          </w:tcPr>
          <w:p>
            <w:pPr>
              <w:spacing w:after="40"/>
            </w:pPr>
            <w:r>
              <w:rPr>
                <w:rFonts w:ascii="微软雅黑" w:hAnsi="微软雅黑" w:eastAsia="微软雅黑" w:cs="微软雅黑"/>
              </w:rPr>
              <w:t>50吉瓦时</w:t>
            </w:r>
          </w:p>
        </w:tc>
        <w:tc>
          <w:tcPr>
            <w:tcW w:type="dxa" w:w="2268"/>
          </w:tcPr>
          <w:p>
            <w:pPr>
              <w:spacing w:after="40"/>
            </w:pPr>
            <w:r>
              <w:rPr>
                <w:rFonts w:ascii="微软雅黑" w:hAnsi="微软雅黑" w:eastAsia="微软雅黑" w:cs="微软雅黑"/>
              </w:rPr>
              <w:t>方案批准时</w:t>
            </w:r>
          </w:p>
        </w:tc>
        <w:tc>
          <w:tcPr>
            <w:tcW w:type="dxa" w:w="2268"/>
          </w:tcPr>
          <w:p>
            <w:pPr>
              <w:spacing w:after="40"/>
            </w:pPr>
            <w:r>
              <w:rPr>
                <w:rFonts w:ascii="微软雅黑" w:hAnsi="微软雅黑" w:eastAsia="微软雅黑" w:cs="微软雅黑"/>
              </w:rPr>
            </w:r>
            <w:hyperlink w:anchor="source-10113">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2035年非化石能源装机目标</w:t>
            </w:r>
          </w:p>
        </w:tc>
        <w:tc>
          <w:tcPr>
            <w:tcW w:type="dxa" w:w="2268"/>
          </w:tcPr>
          <w:p>
            <w:pPr>
              <w:spacing w:after="40"/>
            </w:pPr>
            <w:r>
              <w:rPr>
                <w:rFonts w:ascii="微软雅黑" w:hAnsi="微软雅黑" w:eastAsia="微软雅黑" w:cs="微软雅黑"/>
              </w:rPr>
              <w:t>900吉瓦</w:t>
            </w:r>
          </w:p>
        </w:tc>
        <w:tc>
          <w:tcPr>
            <w:tcW w:type="dxa" w:w="2268"/>
          </w:tcPr>
          <w:p>
            <w:pPr>
              <w:spacing w:after="40"/>
            </w:pPr>
            <w:r>
              <w:rPr>
                <w:rFonts w:ascii="微软雅黑" w:hAnsi="微软雅黑" w:eastAsia="微软雅黑" w:cs="微软雅黑"/>
              </w:rPr>
              <w:t>方案批准时</w:t>
            </w:r>
          </w:p>
        </w:tc>
        <w:tc>
          <w:tcPr>
            <w:tcW w:type="dxa" w:w="2268"/>
          </w:tcPr>
          <w:p>
            <w:pPr>
              <w:spacing w:after="40"/>
            </w:pPr>
            <w:r>
              <w:rPr>
                <w:rFonts w:ascii="微软雅黑" w:hAnsi="微软雅黑" w:eastAsia="微软雅黑" w:cs="微软雅黑"/>
              </w:rPr>
            </w:r>
            <w:hyperlink w:anchor="source-10113">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标的已投运装机容量</w:t>
            </w:r>
          </w:p>
        </w:tc>
        <w:tc>
          <w:tcPr>
            <w:tcW w:type="dxa" w:w="2268"/>
          </w:tcPr>
          <w:p>
            <w:pPr>
              <w:spacing w:after="40"/>
            </w:pPr>
            <w:r>
              <w:rPr>
                <w:rFonts w:ascii="微软雅黑" w:hAnsi="微软雅黑" w:eastAsia="微软雅黑" w:cs="微软雅黑"/>
              </w:rPr>
              <w:t>507.9 MW</w:t>
            </w:r>
          </w:p>
        </w:tc>
        <w:tc>
          <w:tcPr>
            <w:tcW w:type="dxa" w:w="2268"/>
          </w:tcPr>
          <w:p>
            <w:pPr>
              <w:spacing w:after="40"/>
            </w:pPr>
            <w:r>
              <w:rPr>
                <w:rFonts w:ascii="微软雅黑" w:hAnsi="微软雅黑" w:eastAsia="微软雅黑" w:cs="微软雅黑"/>
              </w:rPr>
              <w:t>交易</w:t>
            </w:r>
          </w:p>
        </w:tc>
        <w:tc>
          <w:tcPr>
            <w:tcW w:type="dxa" w:w="2268"/>
          </w:tcPr>
          <w:p>
            <w:pPr>
              <w:spacing w:after="40"/>
            </w:pPr>
            <w:r>
              <w:rPr>
                <w:rFonts w:ascii="微软雅黑" w:hAnsi="微软雅黑" w:eastAsia="微软雅黑" w:cs="微软雅黑"/>
              </w:rPr>
            </w:r>
            <w:hyperlink w:anchor="source-977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KPI Green Energy IPP装机容量</w:t>
            </w:r>
          </w:p>
        </w:tc>
        <w:tc>
          <w:tcPr>
            <w:tcW w:type="dxa" w:w="2268"/>
          </w:tcPr>
          <w:p>
            <w:pPr>
              <w:spacing w:after="40"/>
            </w:pPr>
            <w:r>
              <w:rPr>
                <w:rFonts w:ascii="微软雅黑" w:hAnsi="微软雅黑" w:eastAsia="微软雅黑" w:cs="微软雅黑"/>
              </w:rPr>
              <w:t>由1.16 GW提升至约1.67 GW</w:t>
            </w:r>
          </w:p>
        </w:tc>
        <w:tc>
          <w:tcPr>
            <w:tcW w:type="dxa" w:w="2268"/>
          </w:tcPr>
          <w:p>
            <w:pPr>
              <w:spacing w:after="40"/>
            </w:pPr>
            <w:r>
              <w:rPr>
                <w:rFonts w:ascii="微软雅黑" w:hAnsi="微软雅黑" w:eastAsia="微软雅黑" w:cs="微软雅黑"/>
              </w:rPr>
              <w:t>交易完成后</w:t>
            </w:r>
          </w:p>
        </w:tc>
        <w:tc>
          <w:tcPr>
            <w:tcW w:type="dxa" w:w="2268"/>
          </w:tcPr>
          <w:p>
            <w:pPr>
              <w:spacing w:after="40"/>
            </w:pPr>
            <w:r>
              <w:rPr>
                <w:rFonts w:ascii="微软雅黑" w:hAnsi="微软雅黑" w:eastAsia="微软雅黑" w:cs="微软雅黑"/>
              </w:rPr>
            </w:r>
            <w:hyperlink w:anchor="source-977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全球LNG需求增长预测（壳牌2026 LNG展望）</w:t>
            </w:r>
          </w:p>
        </w:tc>
        <w:tc>
          <w:tcPr>
            <w:tcW w:type="dxa" w:w="2268"/>
          </w:tcPr>
          <w:p>
            <w:pPr>
              <w:spacing w:after="40"/>
            </w:pPr>
            <w:r>
              <w:rPr>
                <w:rFonts w:ascii="微软雅黑" w:hAnsi="微软雅黑" w:eastAsia="微软雅黑" w:cs="微软雅黑"/>
              </w:rPr>
              <w:t>到2040年增长约60%，到2050年增长约65%</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9428">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相互降低进口产品关税规模</w:t>
            </w:r>
          </w:p>
        </w:tc>
        <w:tc>
          <w:tcPr>
            <w:tcW w:type="dxa" w:w="2268"/>
          </w:tcPr>
          <w:p>
            <w:pPr>
              <w:spacing w:after="40"/>
            </w:pPr>
            <w:r>
              <w:rPr>
                <w:rFonts w:ascii="微软雅黑" w:hAnsi="微软雅黑" w:eastAsia="微软雅黑" w:cs="微软雅黑"/>
              </w:rPr>
              <w:t>约300亿美元（各自）</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237">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关税降至最惠国税率的产品比例</w:t>
            </w:r>
          </w:p>
        </w:tc>
        <w:tc>
          <w:tcPr>
            <w:tcW w:type="dxa" w:w="2268"/>
          </w:tcPr>
          <w:p>
            <w:pPr>
              <w:spacing w:after="40"/>
            </w:pPr>
            <w:r>
              <w:rPr>
                <w:rFonts w:ascii="微软雅黑" w:hAnsi="微软雅黑" w:eastAsia="微软雅黑" w:cs="微软雅黑"/>
              </w:rPr>
              <w:t>约九成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237">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吉隆坡磋商联合安排延期至</w:t>
            </w:r>
          </w:p>
        </w:tc>
        <w:tc>
          <w:tcPr>
            <w:tcW w:type="dxa" w:w="2268"/>
          </w:tcPr>
          <w:p>
            <w:pPr>
              <w:spacing w:after="40"/>
            </w:pPr>
            <w:r>
              <w:rPr>
                <w:rFonts w:ascii="微软雅黑" w:hAnsi="微软雅黑" w:eastAsia="微软雅黑" w:cs="微软雅黑"/>
              </w:rPr>
              <w:t>2027年1月10日</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237">
              <w:r>
                <w:rPr>
                  <w:rFonts w:ascii="微软雅黑" w:hAnsi="微软雅黑" w:eastAsia="微软雅黑" w:cs="微软雅黑"/>
                  <w:color w:val="087E89"/>
                </w:rPr>
                <w:t>10</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俄罗斯对乌克兰能源网发动入夏以来最大规模联合空袭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俄罗斯周三对乌克兰能源基础设施发动大规模联合空袭，是自去年供暖季结束以来规模最大的一次综合打击，目标包括基辅地区发电厂、敖德萨地区一处工业综合体以及西南部伊兹梅尔港口基础设施。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俄罗斯称其部队袭击了基辅地区的发电厂、敖德萨地区一处工业综合体，以及西南部伊兹梅尔港口设施。乌克兰总理科列茨基称自夏季以来几乎每天都遭受能源基础设施袭击，并已指示地方检查关键设施备用电源系统、加快安装。乌克兰国家气象部门预计未来几天基辅夜间气温将降至冰点；人权监察员卢比涅茨称城市避难所严重短缺，民事防御体系“完全失败”。一架无人机越境进入摩尔多瓦领空并在东部村庄Hirbovet附近爆炸，罗马尼亚和波兰均紧急升空战机，波兰卢布林和热舒夫机场航班暂时停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打击覆盖发电、港口及工业综合体，并伴随民用避难体系紧张与基辅夜间气温降至冰点，直接影响供暖季前的电力供应韧性与地区防空资源；一架无人机进入摩尔多瓦领空导致波兰和罗马尼亚紧急升空战机，波兰两座机场航班暂时停飞。</w:t>
      </w:r>
    </w:p>
    <w:p>
      <w:pPr>
        <w:ind w:firstLine="420"/>
      </w:pPr>
      <w:r>
        <w:rPr>
          <w:rFonts w:ascii="微软雅黑" w:hAnsi="微软雅黑" w:eastAsia="微软雅黑" w:cs="微软雅黑"/>
        </w:rPr>
        <w:t>来源：</w:t>
      </w:r>
      <w:hyperlink w:anchor="source-10258">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霍尔木兹海峡内多艘船只遭袭，英国海事机构发出航行警示</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英国海上贸易行动办公室收到霍尔木兹海峡内三起事件的延迟报告，一艘液化天然气运输船、一艘驶入海峡的油轮和一艘原油油轮均遭不明射弹击中，办公室建议船只谨慎通行并报告可疑活动。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经核实，一艘液化天然气运输船、一艘驶入海峡的油轮和一艘原油油轮均遭不明射弹击中。相关部门正在调查上述事件。遭袭船只火势已被扑灭，船员安全，船只继续航行，暂未收到环境影响或损失评估报告。伊朗塔斯尼姆通讯社29日报道，伊朗伊斯兰革命卫队发言人穆赫比称波斯湾已无美军舰船，美军舰船已撤至距波斯湾入口至少500公里外的海域。英国海上贸易行动办公室建议船只通过霍尔木兹海峡时保持谨慎，如发现可疑活动应及时报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海峡内LNG与原油运输船只相继遭袭，使这条约占全球五分之一贸易原油运输通道的通行风险上升；办公室警告与证据使用均明确指出，目前尚无环境影响或损失评估结论。</w:t>
      </w:r>
    </w:p>
    <w:p>
      <w:pPr>
        <w:ind w:firstLine="420"/>
      </w:pPr>
      <w:r>
        <w:rPr>
          <w:rFonts w:ascii="微软雅黑" w:hAnsi="微软雅黑" w:eastAsia="微软雅黑" w:cs="微软雅黑"/>
        </w:rPr>
        <w:t>来源：</w:t>
      </w:r>
      <w:hyperlink w:anchor="source-9899">
        <w:r>
          <w:rPr>
            <w:rFonts w:ascii="微软雅黑" w:hAnsi="微软雅黑" w:eastAsia="微软雅黑" w:cs="微软雅黑"/>
            <w:color w:val="087E89"/>
          </w:rPr>
          <w:t>17</w:t>
        </w:r>
      </w:hyperlink>
      <w:r>
        <w:rPr>
          <w:rFonts w:ascii="微软雅黑" w:hAnsi="微软雅黑" w:eastAsia="微软雅黑" w:cs="微软雅黑"/>
        </w:rPr>
        <w:t xml:space="preserve"> </w:t>
      </w:r>
      <w:hyperlink w:anchor="source-918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3. 美国拟限制柴油出口，东海岸汽油或反被推高</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美国总统特朗普本周呼吁禁止柴油出口，共和党参议员格拉斯利等人表态支持，但能源部长赖特认为“一刀切”禁令“绝对行不通”，白宫一度被报道考虑的90天出口禁令随后被否认。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路易斯安那州州长兰德里就柴油供应宣布进入紧急状态，并允许农民和伐木工人一个月内在上路车辆中使用低税“染色柴油”。美国石油学会、美国燃料与石化制造商协会等行业组织警告禁令将是“代价高昂的错误”，能源部长赖特正与炼油行业领袖商谈引入“自愿”限产措施。伍德麦肯兹估计，柴油出口禁令将使美国东海岸汽油价格相对基准情景上涨约15%，相当于每加仑增加约26美分。法国总统马克龙敦促特朗普不要实施柴油出口禁令。</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伍德麦肯兹炼油、化工与油品市场高级副总裁格尔德指出，旨在缓解柴油泵成本的禁令可能反而推高汽油泵价格，使美国汽油价格逼近历史高点。</w:t>
      </w:r>
    </w:p>
    <w:p>
      <w:pPr>
        <w:ind w:firstLine="420"/>
      </w:pPr>
      <w:r>
        <w:rPr>
          <w:rFonts w:ascii="微软雅黑" w:hAnsi="微软雅黑" w:eastAsia="微软雅黑" w:cs="微软雅黑"/>
        </w:rPr>
        <w:t>来源：</w:t>
      </w:r>
      <w:hyperlink w:anchor="source-10173">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4. 中东原油出口恢复至战前水平98%，成品油仍滞后</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摩根大通数据显示，中东原油出口量已反弹至每日1750万桶，约为战前水平的98%；高盛估算海湾地区整体石油出口上周恢复至每日2330万桶，与2025年平均水平相当。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克普勒同期数据显示，海湾地区本月迄今原油外运至少达每日1650万桶/日，恢复至战前水平的约80%；沙特东西输油管道在月初受损后已恢复约一半输油能力。成品油方面，摩根大通统计中东柴油和汽油等成品油流量为每日300万桶，仅为战前水平的58%；中东整体石油10日移动平均流量为2025年水平的89%。2月美伊冲突爆发后，霍尔木兹海峡运输曾大幅缩减，目前海峡石油运输“有时”高达每日1700万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中东原油供给快速修复，叠加美国释放战略储备，使油价承压回落；成品油供应恢复滞后可能延续地区性柴油、汽油紧张。</w:t>
      </w:r>
    </w:p>
    <w:p>
      <w:pPr>
        <w:ind w:firstLine="420"/>
      </w:pPr>
      <w:r>
        <w:rPr>
          <w:rFonts w:ascii="微软雅黑" w:hAnsi="微软雅黑" w:eastAsia="微软雅黑" w:cs="微软雅黑"/>
        </w:rPr>
        <w:t>来源：</w:t>
      </w:r>
      <w:hyperlink w:anchor="source-10231">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9495">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9139">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10223">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5. 壳牌做出最终投资决定 加拿大LNG二期产能将翻倍</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壳牌加拿大能源公司宣布对加拿大LNG项目二期做出最终投资决定，将位于不列颠哥伦比亚省基蒂马特的设施产能翻倍，并强调项目定位于服务亚洲市场需求。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壳牌加拿大能源公司对加拿大LNG二期做出最终投资决定，基蒂马特设施产能将翻倍。壳牌称投资符合其审慎资本配置框架，预计带来两位数回报并支持长期现金流增长。该设施被描述为可向亚洲市场供应具成本竞争力的LNG。壳牌《2026年LNG展望》预测全球LNG需求到2040年增长约60%，到2050年增长约65%，主要受能源需求增长和对安全、灵活、可靠供应的需求驱动。壳牌综合天然气业务总裁Cederic Cremers表示，该项目是壳牌综合天然气业务组合的核心部分。</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产能扩张有助于壳牌面向亚洲市场供应LNG，并支持加拿大能源出口多元化；具体对市场供需平衡的影响材料未给出。</w:t>
      </w:r>
    </w:p>
    <w:p>
      <w:pPr>
        <w:ind w:firstLine="420"/>
      </w:pPr>
      <w:r>
        <w:rPr>
          <w:rFonts w:ascii="微软雅黑" w:hAnsi="微软雅黑" w:eastAsia="微软雅黑" w:cs="微软雅黑"/>
        </w:rPr>
        <w:t>来源：</w:t>
      </w:r>
      <w:hyperlink w:anchor="source-9428">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6. 新南威尔士州有条件批准亨特谷煤矿延续开采</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新南威尔士州独立规划委员会（IPC）批准亨特谷（HVO）北、南两个矿点继续露天开采，但附带旨在限制温室气体排放的条件。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延续项目将HVO北矿开采年限从2026年延长至2045年，南矿从2030年延长至2042年。HVO出口动力煤与半软焦煤，由兖煤（51%）和嘉能可（49%）独立运营管理。声明理由显示，矿山运营及出口煤炭在海外燃烧所产生的温室气体排放预计累计达8.09亿吨。审批条件包括限制出口至减排政策符合《巴黎协定》的目的地，以及四年内最大化矿区可再生能源使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审批附带气候相关条件，可能限制HVO煤炭出口目的地，并要求矿区加快可再生能源部署。</w:t>
      </w:r>
    </w:p>
    <w:p>
      <w:pPr>
        <w:ind w:firstLine="420"/>
      </w:pPr>
      <w:r>
        <w:rPr>
          <w:rFonts w:ascii="微软雅黑" w:hAnsi="微软雅黑" w:eastAsia="微软雅黑" w:cs="微软雅黑"/>
        </w:rPr>
        <w:t>来源：</w:t>
      </w:r>
      <w:hyperlink w:anchor="source-10154">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7. 美沙核能协议引发扩散担忧</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与沙特阿拉伯达成民用核能合作协议，但机密情报评估认定沙特未排除发展核武器项目的可能性，引发扩散担忧。协议采用双边监督框架替代IAEA附加议定书，并计划通过美方财团以“黑箱”方式在沙特境内拥有、保管并管理离心机技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文本规定，美企只有在美沙联合经济技术可行性审查正式认定有必要后，方可建设浓缩设施。美国本土铀浓缩能力有限：主要运营设施由欧洲公司Urenco运营并采用欧洲离心机技术；Centrus运营示范级联，BWX正在扩大制造能力，Peter Thiel支持的General Matter尚不清楚是否已建成任何设施。沙特能源大臣Abdulaziz bin Salman强调核计划完全和平透明，沙特官员2018年曾公开警告若伊朗发展核武器，沙特将被迫效仿。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来源称白宫在签署后增加前提，要求沙特签署《亚伯拉罕协议》以实现与以色列关系正常化，沙特预计会拒绝。</w:t>
      </w:r>
    </w:p>
    <w:p>
      <w:pPr>
        <w:ind w:firstLine="420"/>
      </w:pPr>
      <w:r>
        <w:rPr>
          <w:rFonts w:ascii="微软雅黑" w:hAnsi="微软雅黑" w:eastAsia="微软雅黑" w:cs="微软雅黑"/>
        </w:rPr>
        <w:t>来源：</w:t>
      </w:r>
      <w:hyperlink w:anchor="source-9733">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8. 中国驱动全球核电年产量创历史新高</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2025年全球核能发电量达到2,703太瓦时的历史新高，较2024年增长1.1%。报告协调人Mycle Schneider在伊斯坦布尔指出，过去15至20年“统计数据由中国主导”，2024年和2025年的连续产量纪录仅略高于2006年的前一峰值。</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增长完全由中国驱动：中国核电发电量增长7.6%，世界其他地区下降0.2%。2025年全球产量较2006年纪录超出40太瓦时，约1.5%；但中国以外产量仍较2006年水平低369太瓦时，降幅约14%。尽管核能发电总量创新高，其在全球电力结构中的份额由2024年的9%降至8.8%。2006至2025年间全球共有104台机组首次并网、106台机组关停，中国贡献了53台新建且无任何关停，世界其他地区关停数量比新建多55台。</w:t>
      </w:r>
    </w:p>
    <w:p>
      <w:pPr>
        <w:ind w:firstLine="420"/>
      </w:pPr>
      <w:r>
        <w:rPr>
          <w:rFonts w:ascii="微软雅黑" w:hAnsi="微软雅黑" w:eastAsia="微软雅黑" w:cs="微软雅黑"/>
        </w:rPr>
        <w:t>来源：</w:t>
      </w:r>
      <w:hyperlink w:anchor="source-9427">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9. 印度内阁批准绿色能源走廊第三阶段方案</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印度联邦内阁批准绿色能源走廊第三阶段（GEC-III）方案，旨在加强各邦及联邦属地内部的州际输电系统建设，以支持各邦及联邦属地最高135吉瓦可再生能源的消纳。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内容涵盖在可再生能源开发商/发电端或其他对电网灵活性具有重要意义的地点部署50吉瓦时电池储能系统（BESS），用于应对间歇性、拥堵、高峰时段弃电并满足非光照时段电力需求。InSTS部分新建项目通过基于电价的竞争性招标（TBCB）模式实施，改建升级和电网加强工程按成本加成（CPB）方式执行；邦属输电公用事业机构为总体实施单位，输电服务商按BOOM模式参与TBCB。方案预计助力实现2035年非化石能源装机达900吉瓦的目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方案预计在电力、制造和建筑行业创造大量直接和间接就业，电池储能系统的制造和部署将在国内储能行业带来就业增长，长期内在运维和电网管理领域提供技术性就业岗位。</w:t>
      </w:r>
    </w:p>
    <w:p>
      <w:pPr>
        <w:ind w:firstLine="420"/>
      </w:pPr>
      <w:r>
        <w:rPr>
          <w:rFonts w:ascii="微软雅黑" w:hAnsi="微软雅黑" w:eastAsia="微软雅黑" w:cs="微软雅黑"/>
        </w:rPr>
        <w:t>来源：</w:t>
      </w:r>
      <w:hyperlink w:anchor="source-10113">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10. 中国发布新型电池产业发展“十五五”规划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中国发布《新型电池产业发展“十五五”规划》，提出到2030年新体系电池研发取得重大进展，全固态电池初步实现规模化应用。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十四五”时期新型电池产业总产值突破万亿元，占据全球市场主要份额；量产电池单体能量密度超过300瓦时/千克，新型电池循环寿命最高超过1.2万次。规划明确到2030年长寿命锂电池循环寿命达1.5万次，头部企业产品缺陷率达PPB级。新型电池涵盖锂电池、钠电池、液流电池等品类。</w:t>
      </w:r>
    </w:p>
    <w:p>
      <w:pPr>
        <w:ind w:firstLine="420"/>
      </w:pPr>
      <w:r>
        <w:rPr>
          <w:rFonts w:ascii="微软雅黑" w:hAnsi="微软雅黑" w:eastAsia="微软雅黑" w:cs="微软雅黑"/>
        </w:rPr>
        <w:t>来源：</w:t>
      </w:r>
      <w:hyperlink w:anchor="source-9431">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11. KPI Green Energy签署约束性要约收购507.9兆瓦风电资产</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印度KPI Green Energy签署约束性要约，收购AEPL与NWPL合计持有的507.9兆瓦已投运风电资产，首次进入风电领域。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标的资产均位于古吉拉特邦库奇风电走廊Bhuj，其中AEPL持有301.4兆瓦、NWPL持有206.5兆瓦，均为SECI合约下已投运容量。交易完成后公司IPP装机容量预计由1.16吉瓦提升至约1.67吉瓦，并有望在年底前突破2吉瓦。董事长兼董事总经理Faruk Patel表示，这是公司首次大规模收购，也是首次进入风电领域，自首日起即带来创收资产。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为公司带来具有长期合约现金流的已投运装机，强化在古吉拉特邦库奇风电走廊的布局。</w:t>
      </w:r>
    </w:p>
    <w:p>
      <w:pPr>
        <w:ind w:firstLine="420"/>
      </w:pPr>
      <w:r>
        <w:rPr>
          <w:rFonts w:ascii="微软雅黑" w:hAnsi="微软雅黑" w:eastAsia="微软雅黑" w:cs="微软雅黑"/>
        </w:rPr>
        <w:t>来源：</w:t>
      </w:r>
      <w:hyperlink w:anchor="source-977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12. 德国拟改革《海上风电法》延长运营期并对接氢能</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德国联邦政府拟推出《优化与保障海上风电建设法》草案，对《海上风电法》进行改革，新建海上风电场标准运营期拟由25年延长至35年，2030年30吉瓦装机目标维持不变。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背景是去年北海与波罗的海海上风电招标兴趣大幅下降，开发商反映风电场布设过密影响发电效率与收益。改革同时为海上风电与未来氢能制取预留衔接框架，初期仅限示范项目和试点设施，不全面放开海上电解，并要求项目方联合在远海建立统一、强制性的医疗应急体系并制定共同标准。</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运营期延长或改善项目长期收益预期；招标环节布设密度问题若获调整有望提振开发商参与意愿。</w:t>
      </w:r>
    </w:p>
    <w:p>
      <w:pPr>
        <w:ind w:firstLine="420"/>
      </w:pPr>
      <w:r>
        <w:rPr>
          <w:rFonts w:ascii="微软雅黑" w:hAnsi="微软雅黑" w:eastAsia="微软雅黑" w:cs="微软雅黑"/>
        </w:rPr>
        <w:t>来源：</w:t>
      </w:r>
      <w:hyperlink w:anchor="source-9533">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13. 欧元区通胀因能源价格冲击超出预测</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摩根大通分析师Monteiro指出已公布数据的国家能源价格涨幅均超出预期；牛津经济研究院Fennessy警告中东局势难解且冬季临近，能源价格短期内难以回调。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报道引用两位机构分析人士观点：摩根大通分析师Monteiro认为已公布数据的国家能源价格涨幅均超出预期；牛津经济研究院Fennessy警告中东局势难以缓解且冬季临近，能源价格短期内难以回调。</w:t>
      </w:r>
    </w:p>
    <w:p>
      <w:pPr>
        <w:ind w:firstLine="420"/>
      </w:pPr>
      <w:r>
        <w:rPr>
          <w:rFonts w:ascii="微软雅黑" w:hAnsi="微软雅黑" w:eastAsia="微软雅黑" w:cs="微软雅黑"/>
        </w:rPr>
        <w:t>来源：</w:t>
      </w:r>
      <w:hyperlink w:anchor="source-10215">
        <w:r>
          <w:rPr>
            <w:rFonts w:ascii="微软雅黑" w:hAnsi="微软雅黑" w:eastAsia="微软雅黑" w:cs="微软雅黑"/>
            <w:color w:val="087E89"/>
          </w:rPr>
          <w:t>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中美相互降低约300亿美元进口产品关税</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美双方以对等方式降低各自约300亿美元自对方进口产品的关税，约九成产品关税将降至最惠国税率水平，规模参照2024年度双边贸易额商定。中方降税清单覆盖农产品、个人护理用品、医疗器械、煤炭等自美进口商品；美方降税清单集中于玩具、家电、婴儿用品等消费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美经贸磋商机制由何立峰副总理与美方财长贝森特直接推动，并建立人工智能事件沟通渠道。双方将吉隆坡经贸磋商联合安排延期至2027年1月10日。中方清单中煤炭纳入框架为2027年、2028年自美进口煤炭提供跨年度稳定预期；美方清单涉及自华消费品，关税回调可较快传导至零售价格。</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美方消费品关税下调有望较快传导至终端零售价格，惠及消费者；中方对美煤炭进口预期获得跨年度稳定。</w:t>
      </w:r>
    </w:p>
    <w:p>
      <w:pPr>
        <w:ind w:firstLine="420"/>
      </w:pPr>
      <w:r>
        <w:rPr>
          <w:rFonts w:ascii="微软雅黑" w:hAnsi="微软雅黑" w:eastAsia="微软雅黑" w:cs="微软雅黑"/>
        </w:rPr>
        <w:t>来源：</w:t>
      </w:r>
      <w:hyperlink w:anchor="source-10237">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15. 特朗普政府重新评估柴油出口禁令以压低油价</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特朗普政府正重新评估限制或暂停柴油出口等压低油价的选项，尚未作出最终决定；替代方案包括豁免《琼斯法案》、税收减免及放宽红色染色柴油使用规则。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美国柴油平均零售价上周升至每加仑6.53美元，较战前水平高出逾70%。能源部长Chris Wright此前表示，柴油出口禁令可能压低炼厂利润、促使炼厂减少原油加工量，并推高汽油和航空燃油价格。9月29日，美国宣布从战略石油储备再提供最多4000万桶原油贷款，作为此前国际能源署协调释放计划的一部分。白宫官员已就潜在柴油供应中断风险向盟友（含英国）进行通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若实施柴油出口禁令，可能压低炼厂利润、减少整体原油加工量，并推高汽油和航空燃油价格；同时可能影响盟友的柴油供应。</w:t>
      </w:r>
    </w:p>
    <w:p>
      <w:pPr>
        <w:ind w:firstLine="420"/>
      </w:pPr>
      <w:r>
        <w:rPr>
          <w:rFonts w:ascii="微软雅黑" w:hAnsi="微软雅黑" w:eastAsia="微软雅黑" w:cs="微软雅黑"/>
        </w:rPr>
        <w:t>来源：</w:t>
      </w:r>
      <w:hyperlink w:anchor="source-944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16. 8月全国原煤产量同比下降，山西产量大幅收缩</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8月全国原煤产量3.62亿吨，环比增5.4%但同比降7.7%。其中山西省8月产量仅6893万吨，同比大降35.8%，远低于常态1.1亿吨水平，反映安监等因素导致供给收缩幅度超出市场预期。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前期安监力度强于市场预期，是8月供给显著收缩的主要原因，并直接推动当月煤价创2024年新高，煤炭板块同步走强。进口煤4209万吨，同环比均降1.5%，其中动力煤进口同比降10.9%，进口端亦未形成有效补充。用电端平稳，火电发电量环比增3.1%，焦炭、生铁产量环比下滑，水泥与尿素产量分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供给收缩叠加进口下滑，直接推动8月煤价创2024年新高，煤炭板块同步走强。</w:t>
      </w:r>
    </w:p>
    <w:p>
      <w:pPr>
        <w:ind w:firstLine="420"/>
      </w:pPr>
      <w:r>
        <w:rPr>
          <w:rFonts w:ascii="微软雅黑" w:hAnsi="微软雅黑" w:eastAsia="微软雅黑" w:cs="微软雅黑"/>
        </w:rPr>
        <w:t>来源：</w:t>
      </w:r>
      <w:hyperlink w:anchor="source-9239">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17. 中广核、吉利等共同设立苍南第三核电公司</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近日中广核苍南第三核电有限公司注册成立，经营范围涵盖热力生产和供应、技术进出口、货物进出口等。</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人民财讯9月30日报道，股权穿透信息显示，中国广核、浙能电力以及浙江吉利产投控股有限公司（吉利控股全资子公司）共同持有该公司股权。经营范围明确包括热力生产和供应、技术进出口与货物进出口等业务。信息来源为人民财讯。</w:t>
      </w:r>
    </w:p>
    <w:p>
      <w:pPr>
        <w:ind w:firstLine="420"/>
      </w:pPr>
      <w:r>
        <w:rPr>
          <w:rFonts w:ascii="微软雅黑" w:hAnsi="微软雅黑" w:eastAsia="微软雅黑" w:cs="微软雅黑"/>
        </w:rPr>
        <w:t>来源：</w:t>
      </w:r>
      <w:hyperlink w:anchor="source-9501">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18. 国家能源局就《电力并网运行管理规定》征求意见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国家能源局综合司于9月30日发布《电力并网运行管理规定》（征求意见稿），向社会公开征求意见，拟替代现行《电力并网运行管理规定》（国能发监管规〔2021〕60号）。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征求意见稿依据《能源法》《电力法》《电网调度管理条例》《电力监管条例》等法律法规修订；适用范围包括火电、水电、核电、风电、光伏发电、光热发电、抽水蓄能、自备电厂等发电侧并网主体以及新型储能，并将可调节负荷、绿电直连、源网荷储一体化等新型经营主体参照执行；对发电侧并网主体一次调频、二次调频（AGC）、调压（AVC）等技术能力指标提出管理要求；规定并网运行管理采取奖惩方式，奖惩资金通过调整电费实现，收支平衡、专款专用，不得形成资金池；征求意见期为通知发布之日起30日，意见可通过传真010-81929559或电子邮件jianguanerchu@nea.gov.cn反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新规将新型储能与可调节负荷等纳入并网管理框架，并通过电费机制传导奖惩，对发电侧调频调压能力提出统一要求。</w:t>
      </w:r>
    </w:p>
    <w:p>
      <w:pPr>
        <w:ind w:firstLine="420"/>
      </w:pPr>
      <w:r>
        <w:rPr>
          <w:rFonts w:ascii="微软雅黑" w:hAnsi="微软雅黑" w:eastAsia="微软雅黑" w:cs="微软雅黑"/>
        </w:rPr>
        <w:t>来源：</w:t>
      </w:r>
      <w:hyperlink w:anchor="source-9813">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9897">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19. 国家发改委就电力市场风险防控管理办法征求意见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国家发展改革委于2026年9月30日发布《电力市场风险防控管理办法（公开征求意见稿）》，公开征求意见时间为2026年9月30日至2026年10月30日。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适用于全国范围内电能量、电力辅助服务等市场，依据《中华人民共和国能源法》《中华人民共和国电力法》等制定。市场风险分为市场内部风险（不正当竞争、合同违约、市场价格异常、市场机制及其他市场运行风险）和市场外部风险（电力供需失衡、技术支持系统运行异常、市场舆情风险），实行分级管理与分类处置。市场运营机构按“谁运营、谁防范，谁运营、谁监控”原则常态化开展运营监测与风险预警；紧急风险可由市场运营机构先处置后报告；电力调度机构按“安全第一”原则组织生产并保障电力可靠供应。重大风险须报告国家发展改革委、国家能源局，相关信息至少保存3年。办法自公布之日起施行，有效期5年。意见建议通过国家发改委门户网站首页“互动交流”版块“意见征求”专栏提交。</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办法明确将市场风险按内外部、影响结果与紧急程度分类处置，并赋予市场运营机构紧急情况下先处置后报告的权限，有助于统一电力市场风险防控框架。</w:t>
      </w:r>
    </w:p>
    <w:p>
      <w:pPr>
        <w:ind w:firstLine="420"/>
      </w:pPr>
      <w:r>
        <w:rPr>
          <w:rFonts w:ascii="微软雅黑" w:hAnsi="微软雅黑" w:eastAsia="微软雅黑" w:cs="微软雅黑"/>
        </w:rPr>
        <w:t>来源：</w:t>
      </w:r>
      <w:hyperlink w:anchor="source-9384">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9489">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9561">
        <w:r>
          <w:rPr>
            <w:rFonts w:ascii="微软雅黑" w:hAnsi="微软雅黑" w:eastAsia="微软雅黑" w:cs="微软雅黑"/>
            <w:color w:val="087E89"/>
          </w:rPr>
          <w:t>28</w:t>
        </w:r>
      </w:hyperlink>
      <w:r>
        <w:rPr>
          <w:rFonts w:ascii="微软雅黑" w:hAnsi="微软雅黑" w:eastAsia="微软雅黑" w:cs="微软雅黑"/>
        </w:rPr>
        <w:t xml:space="preserve"> </w:t>
      </w:r>
      <w:hyperlink w:anchor="source-9777">
        <w:r>
          <w:rPr>
            <w:rFonts w:ascii="微软雅黑" w:hAnsi="微软雅黑" w:eastAsia="微软雅黑" w:cs="微软雅黑"/>
            <w:color w:val="087E89"/>
          </w:rPr>
          <w:t>29</w:t>
        </w:r>
      </w:hyperlink>
      <w:r>
        <w:rPr>
          <w:rFonts w:ascii="微软雅黑" w:hAnsi="微软雅黑" w:eastAsia="微软雅黑" w:cs="微软雅黑"/>
        </w:rPr>
      </w:r>
    </w:p>
    <w:p>
      <w:pPr>
        <w:pStyle w:val="Heading3"/>
      </w:pPr>
      <w:r>
        <w:rPr>
          <w:rFonts w:ascii="微软雅黑" w:hAnsi="微软雅黑" w:eastAsia="微软雅黑" w:cs="微软雅黑"/>
        </w:rPr>
        <w:t>20. 国家能源局公布8月绿证核发与交易数据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2026年8月，国家能源局核发绿证3.54亿个，环比增长15.75%，涉及可再生能源发电项目370.96万个；其中可交易绿证2.12亿个，占比60.04%。同期全国交易绿证6055万个，环比增长11.13%，同比增长25.18%。</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本期核发的绿证中，2026年7月可再生能源电量对应绿证3.23亿个，占比91.41%。交易结构上，绿色电力交易绿证2552万个，环比减少0.25%，同比增长44.86%；全国单独交易绿证3503万个，环比增长21.21%，同比增长13.91%。按电量生产年份分，2024年生产的绿证交易164万个，平均价格0.61元/个；2025年生产1586万个，平均3.21元/个；2026年生产1753万个，平均6.32元/个。</w:t>
      </w:r>
    </w:p>
    <w:p>
      <w:pPr>
        <w:ind w:firstLine="420"/>
      </w:pPr>
      <w:r>
        <w:rPr>
          <w:rFonts w:ascii="微软雅黑" w:hAnsi="微软雅黑" w:eastAsia="微软雅黑" w:cs="微软雅黑"/>
        </w:rPr>
        <w:t>来源：</w:t>
      </w:r>
      <w:hyperlink w:anchor="source-9280">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9262">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关注备用电源系统检查与关键设施加装进度，以及摩尔多瓦领空事件的后续调查与北约成员国响应。 </w:t>
      </w:r>
      <w:hyperlink w:anchor="source-10258">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白宫是否会正式推出出口禁令或采取“自愿”限产；炼油行业与政府的协商进展；美方法案对法国等贸易伙伴的反馈。 </w:t>
      </w:r>
      <w:hyperlink w:anchor="source-1017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具体项目招标节奏、电池储能系统部署时点及配套资金安排有待后续披露。 </w:t>
      </w:r>
      <w:hyperlink w:anchor="source-1011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交易最终完成时间及IPP装机容量向2吉瓦突破的实际进度。 </w:t>
      </w:r>
      <w:hyperlink w:anchor="source-977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中东局势走向及冬季供需情况。 </w:t>
      </w:r>
      <w:hyperlink w:anchor="source-10215">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征求意见结束后的正式稿条款及对发电侧考核结算细则的调整。 </w:t>
      </w:r>
      <w:hyperlink w:anchor="source-9813">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9897">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496 篇文章，形成 478 篇有效能源材料；正文引用 29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8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0258"/>
      <w:bookmarkEnd w:id="1" w:name="source-10258"/>
    </w:p>
    <w:p>
      <w:pPr>
        <w:pStyle w:val="ListBullet"/>
      </w:pPr>
      <w:r>
        <w:rPr>
          <w:rFonts w:ascii="微软雅黑" w:hAnsi="微软雅黑" w:eastAsia="微软雅黑" w:cs="微软雅黑"/>
        </w:rPr>
        <w:t>[1] Business Day｜</w:t>
      </w:r>
      <w:hyperlink r:id="rId11">
        <w:r>
          <w:rPr>
            <w:rFonts w:ascii="微软雅黑" w:hAnsi="微软雅黑" w:eastAsia="微软雅黑" w:cs="微软雅黑"/>
            <w:color w:val="087E89"/>
          </w:rPr>
          <w:t>俄罗斯在严冬发动大规模袭击，击中乌克兰能源网</w:t>
        </w:r>
      </w:hyperlink>
      <w:r>
        <w:rPr>
          <w:rFonts w:ascii="微软雅黑" w:hAnsi="微软雅黑" w:eastAsia="微软雅黑" w:cs="微软雅黑"/>
        </w:rPr>
      </w:r>
    </w:p>
    <w:p>
      <w:pPr>
        <w:spacing w:after="0" w:line="20" w:lineRule="exact"/>
      </w:pPr>
      <w:bookmarkStart w:id="2" w:name="source-10173"/>
      <w:bookmarkEnd w:id="2" w:name="source-10173"/>
    </w:p>
    <w:p>
      <w:pPr>
        <w:pStyle w:val="ListBullet"/>
      </w:pPr>
      <w:r>
        <w:rPr>
          <w:rFonts w:ascii="微软雅黑" w:hAnsi="微软雅黑" w:eastAsia="微软雅黑" w:cs="微软雅黑"/>
        </w:rPr>
        <w:t>[2] 《油气工程》｜</w:t>
      </w:r>
      <w:hyperlink r:id="rId12">
        <w:r>
          <w:rPr>
            <w:rFonts w:ascii="微软雅黑" w:hAnsi="微软雅黑" w:eastAsia="微软雅黑" w:cs="微软雅黑"/>
            <w:color w:val="087E89"/>
          </w:rPr>
          <w:t>伍德麦肯兹：美国考虑实施柴油出口限制</w:t>
        </w:r>
      </w:hyperlink>
      <w:r>
        <w:rPr>
          <w:rFonts w:ascii="微软雅黑" w:hAnsi="微软雅黑" w:eastAsia="微软雅黑" w:cs="微软雅黑"/>
        </w:rPr>
      </w:r>
    </w:p>
    <w:p>
      <w:pPr>
        <w:spacing w:after="0" w:line="20" w:lineRule="exact"/>
      </w:pPr>
      <w:bookmarkStart w:id="3" w:name="source-10113"/>
      <w:bookmarkEnd w:id="3" w:name="source-10113"/>
    </w:p>
    <w:p>
      <w:pPr>
        <w:pStyle w:val="ListBullet"/>
      </w:pPr>
      <w:r>
        <w:rPr>
          <w:rFonts w:ascii="微软雅黑" w:hAnsi="微软雅黑" w:eastAsia="微软雅黑" w:cs="微软雅黑"/>
        </w:rPr>
        <w:t>[3] The Battery Magazine｜</w:t>
      </w:r>
      <w:hyperlink r:id="rId13">
        <w:r>
          <w:rPr>
            <w:rFonts w:ascii="微软雅黑" w:hAnsi="微软雅黑" w:eastAsia="微软雅黑" w:cs="微软雅黑"/>
            <w:color w:val="087E89"/>
          </w:rPr>
          <w:t>内阁批准绿色能源走廊第三阶段方案，配套部署50吉瓦时电池储能系统</w:t>
        </w:r>
      </w:hyperlink>
      <w:r>
        <w:rPr>
          <w:rFonts w:ascii="微软雅黑" w:hAnsi="微软雅黑" w:eastAsia="微软雅黑" w:cs="微软雅黑"/>
        </w:rPr>
      </w:r>
    </w:p>
    <w:p>
      <w:pPr>
        <w:spacing w:after="0" w:line="20" w:lineRule="exact"/>
      </w:pPr>
      <w:bookmarkStart w:id="4" w:name="source-9775"/>
      <w:bookmarkEnd w:id="4" w:name="source-9775"/>
    </w:p>
    <w:p>
      <w:pPr>
        <w:pStyle w:val="ListBullet"/>
      </w:pPr>
      <w:r>
        <w:rPr>
          <w:rFonts w:ascii="微软雅黑" w:hAnsi="微软雅黑" w:eastAsia="微软雅黑" w:cs="微软雅黑"/>
        </w:rPr>
        <w:t>[4] The Battery Magazine｜</w:t>
      </w:r>
      <w:hyperlink r:id="rId14">
        <w:r>
          <w:rPr>
            <w:rFonts w:ascii="微软雅黑" w:hAnsi="微软雅黑" w:eastAsia="微软雅黑" w:cs="微软雅黑"/>
            <w:color w:val="087E89"/>
          </w:rPr>
          <w:t>KPI Green Energy签署约束性要约 收购507.9兆瓦风电资产</w:t>
        </w:r>
      </w:hyperlink>
      <w:r>
        <w:rPr>
          <w:rFonts w:ascii="微软雅黑" w:hAnsi="微软雅黑" w:eastAsia="微软雅黑" w:cs="微软雅黑"/>
        </w:rPr>
      </w:r>
    </w:p>
    <w:p>
      <w:pPr>
        <w:spacing w:after="0" w:line="20" w:lineRule="exact"/>
      </w:pPr>
      <w:bookmarkStart w:id="5" w:name="source-10215"/>
      <w:bookmarkEnd w:id="5" w:name="source-10215"/>
    </w:p>
    <w:p>
      <w:pPr>
        <w:pStyle w:val="ListBullet"/>
      </w:pPr>
      <w:r>
        <w:rPr>
          <w:rFonts w:ascii="微软雅黑" w:hAnsi="微软雅黑" w:eastAsia="微软雅黑" w:cs="微软雅黑"/>
        </w:rPr>
        <w:t>[5] Business Day｜</w:t>
      </w:r>
      <w:hyperlink r:id="rId15">
        <w:r>
          <w:rPr>
            <w:rFonts w:ascii="微软雅黑" w:hAnsi="微软雅黑" w:eastAsia="微软雅黑" w:cs="微软雅黑"/>
            <w:color w:val="087E89"/>
          </w:rPr>
          <w:t>欧元区通胀因能源价格冲击超出预测</w:t>
        </w:r>
      </w:hyperlink>
      <w:r>
        <w:rPr>
          <w:rFonts w:ascii="微软雅黑" w:hAnsi="微软雅黑" w:eastAsia="微软雅黑" w:cs="微软雅黑"/>
        </w:rPr>
      </w:r>
    </w:p>
    <w:p>
      <w:pPr>
        <w:spacing w:after="0" w:line="20" w:lineRule="exact"/>
      </w:pPr>
      <w:bookmarkStart w:id="6" w:name="source-9813"/>
      <w:bookmarkEnd w:id="6" w:name="source-9813"/>
    </w:p>
    <w:p>
      <w:pPr>
        <w:pStyle w:val="ListBullet"/>
      </w:pPr>
      <w:r>
        <w:rPr>
          <w:rFonts w:ascii="微软雅黑" w:hAnsi="微软雅黑" w:eastAsia="微软雅黑" w:cs="微软雅黑"/>
        </w:rPr>
        <w:t>[6] 国家能源局｜</w:t>
      </w:r>
      <w:hyperlink r:id="rId16">
        <w:r>
          <w:rPr>
            <w:rFonts w:ascii="微软雅黑" w:hAnsi="微软雅黑" w:eastAsia="微软雅黑" w:cs="微软雅黑"/>
            <w:color w:val="087E89"/>
          </w:rPr>
          <w:t>国家能源局综合司关于公开征求《电力并网运行管理规定》（征求意见稿）意见的通知</w:t>
        </w:r>
      </w:hyperlink>
      <w:r>
        <w:rPr>
          <w:rFonts w:ascii="微软雅黑" w:hAnsi="微软雅黑" w:eastAsia="微软雅黑" w:cs="微软雅黑"/>
        </w:rPr>
      </w:r>
    </w:p>
    <w:p>
      <w:pPr>
        <w:spacing w:after="0" w:line="20" w:lineRule="exact"/>
      </w:pPr>
      <w:bookmarkStart w:id="7" w:name="source-9897"/>
      <w:bookmarkEnd w:id="7" w:name="source-9897"/>
    </w:p>
    <w:p>
      <w:pPr>
        <w:pStyle w:val="ListBullet"/>
      </w:pPr>
      <w:r>
        <w:rPr>
          <w:rFonts w:ascii="微软雅黑" w:hAnsi="微软雅黑" w:eastAsia="微软雅黑" w:cs="微软雅黑"/>
        </w:rPr>
        <w:t>[7] 北极星电力网｜</w:t>
      </w:r>
      <w:hyperlink r:id="rId17">
        <w:r>
          <w:rPr>
            <w:rFonts w:ascii="微软雅黑" w:hAnsi="微软雅黑" w:eastAsia="微软雅黑" w:cs="微软雅黑"/>
            <w:color w:val="087E89"/>
          </w:rPr>
          <w:t>国家能源局：《电力并网运行管理规定》（征求意见稿）征求意见</w:t>
        </w:r>
      </w:hyperlink>
      <w:r>
        <w:rPr>
          <w:rFonts w:ascii="微软雅黑" w:hAnsi="微软雅黑" w:eastAsia="微软雅黑" w:cs="微软雅黑"/>
        </w:rPr>
      </w:r>
    </w:p>
    <w:p>
      <w:pPr>
        <w:spacing w:after="0" w:line="20" w:lineRule="exact"/>
      </w:pPr>
      <w:bookmarkStart w:id="8" w:name="source-9733"/>
      <w:bookmarkEnd w:id="8" w:name="source-9733"/>
    </w:p>
    <w:p>
      <w:pPr>
        <w:pStyle w:val="ListBullet"/>
      </w:pPr>
      <w:r>
        <w:rPr>
          <w:rFonts w:ascii="微软雅黑" w:hAnsi="微软雅黑" w:eastAsia="微软雅黑" w:cs="微软雅黑"/>
        </w:rPr>
        <w:t>[8] Nuclear Engineering International｜</w:t>
      </w:r>
      <w:hyperlink r:id="rId18">
        <w:r>
          <w:rPr>
            <w:rFonts w:ascii="微软雅黑" w:hAnsi="微软雅黑" w:eastAsia="微软雅黑" w:cs="微软雅黑"/>
            <w:color w:val="087E89"/>
          </w:rPr>
          <w:t>美沙协议引发扩散担忧</w:t>
        </w:r>
      </w:hyperlink>
      <w:r>
        <w:rPr>
          <w:rFonts w:ascii="微软雅黑" w:hAnsi="微软雅黑" w:eastAsia="微软雅黑" w:cs="微软雅黑"/>
        </w:rPr>
      </w:r>
    </w:p>
    <w:p>
      <w:pPr>
        <w:spacing w:after="0" w:line="20" w:lineRule="exact"/>
      </w:pPr>
      <w:bookmarkStart w:id="9" w:name="source-9428"/>
      <w:bookmarkEnd w:id="9" w:name="source-9428"/>
    </w:p>
    <w:p>
      <w:pPr>
        <w:pStyle w:val="ListBullet"/>
      </w:pPr>
      <w:r>
        <w:rPr>
          <w:rFonts w:ascii="微软雅黑" w:hAnsi="微软雅黑" w:eastAsia="微软雅黑" w:cs="微软雅黑"/>
        </w:rPr>
        <w:t>[9] Anadolu Agency 能源频道｜</w:t>
      </w:r>
      <w:hyperlink r:id="rId19">
        <w:r>
          <w:rPr>
            <w:rFonts w:ascii="微软雅黑" w:hAnsi="微软雅黑" w:eastAsia="微软雅黑" w:cs="微软雅黑"/>
            <w:color w:val="087E89"/>
          </w:rPr>
          <w:t>壳牌做出最终投资决定，将加拿大LNG项目产能翻倍</w:t>
        </w:r>
      </w:hyperlink>
      <w:r>
        <w:rPr>
          <w:rFonts w:ascii="微软雅黑" w:hAnsi="微软雅黑" w:eastAsia="微软雅黑" w:cs="微软雅黑"/>
        </w:rPr>
      </w:r>
    </w:p>
    <w:p>
      <w:pPr>
        <w:spacing w:after="0" w:line="20" w:lineRule="exact"/>
      </w:pPr>
      <w:bookmarkStart w:id="10" w:name="source-10237"/>
      <w:bookmarkEnd w:id="10" w:name="source-10237"/>
    </w:p>
    <w:p>
      <w:pPr>
        <w:pStyle w:val="ListBullet"/>
      </w:pPr>
      <w:r>
        <w:rPr>
          <w:rFonts w:ascii="微软雅黑" w:hAnsi="微软雅黑" w:eastAsia="微软雅黑" w:cs="微软雅黑"/>
        </w:rPr>
        <w:t>[10] 中国新闻网｜</w:t>
      </w:r>
      <w:hyperlink r:id="rId20">
        <w:r>
          <w:rPr>
            <w:rFonts w:ascii="微软雅黑" w:hAnsi="微软雅黑" w:eastAsia="微软雅黑" w:cs="微软雅黑"/>
            <w:color w:val="087E89"/>
          </w:rPr>
          <w:t>机制化的确定性正在重塑中美经贸关系</w:t>
        </w:r>
      </w:hyperlink>
      <w:r>
        <w:rPr>
          <w:rFonts w:ascii="微软雅黑" w:hAnsi="微软雅黑" w:eastAsia="微软雅黑" w:cs="微软雅黑"/>
        </w:rPr>
      </w:r>
    </w:p>
    <w:p>
      <w:pPr>
        <w:spacing w:after="0" w:line="20" w:lineRule="exact"/>
      </w:pPr>
      <w:bookmarkStart w:id="11" w:name="source-10154"/>
      <w:bookmarkEnd w:id="11" w:name="source-10154"/>
    </w:p>
    <w:p>
      <w:pPr>
        <w:pStyle w:val="ListBullet"/>
      </w:pPr>
      <w:r>
        <w:rPr>
          <w:rFonts w:ascii="微软雅黑" w:hAnsi="微软雅黑" w:eastAsia="微软雅黑" w:cs="微软雅黑"/>
        </w:rPr>
        <w:t>[11] Mining Technology｜</w:t>
      </w:r>
      <w:hyperlink r:id="rId21">
        <w:r>
          <w:rPr>
            <w:rFonts w:ascii="微软雅黑" w:hAnsi="微软雅黑" w:eastAsia="微软雅黑" w:cs="微软雅黑"/>
            <w:color w:val="087E89"/>
          </w:rPr>
          <w:t>新南威尔士州有条件批准亨特谷煤炭矿继续运营</w:t>
        </w:r>
      </w:hyperlink>
      <w:r>
        <w:rPr>
          <w:rFonts w:ascii="微软雅黑" w:hAnsi="微软雅黑" w:eastAsia="微软雅黑" w:cs="微软雅黑"/>
        </w:rPr>
      </w:r>
    </w:p>
    <w:p>
      <w:pPr>
        <w:spacing w:after="0" w:line="20" w:lineRule="exact"/>
      </w:pPr>
      <w:bookmarkStart w:id="12" w:name="source-9280"/>
      <w:bookmarkEnd w:id="12" w:name="source-9280"/>
    </w:p>
    <w:p>
      <w:pPr>
        <w:pStyle w:val="ListBullet"/>
      </w:pPr>
      <w:r>
        <w:rPr>
          <w:rFonts w:ascii="微软雅黑" w:hAnsi="微软雅黑" w:eastAsia="微软雅黑" w:cs="微软雅黑"/>
        </w:rPr>
        <w:t>[12] 人民财讯等｜</w:t>
      </w:r>
      <w:hyperlink r:id="rId22">
        <w:r>
          <w:rPr>
            <w:rFonts w:ascii="微软雅黑" w:hAnsi="微软雅黑" w:eastAsia="微软雅黑" w:cs="微软雅黑"/>
            <w:color w:val="087E89"/>
          </w:rPr>
          <w:t>国家能源局：8月核发绿证3.54亿个 全国交易绿证6055万个</w:t>
        </w:r>
      </w:hyperlink>
      <w:r>
        <w:rPr>
          <w:rFonts w:ascii="微软雅黑" w:hAnsi="微软雅黑" w:eastAsia="微软雅黑" w:cs="微软雅黑"/>
        </w:rPr>
      </w:r>
    </w:p>
    <w:p>
      <w:pPr>
        <w:spacing w:after="0" w:line="20" w:lineRule="exact"/>
      </w:pPr>
      <w:bookmarkStart w:id="13" w:name="source-9262"/>
      <w:bookmarkEnd w:id="13" w:name="source-9262"/>
    </w:p>
    <w:p>
      <w:pPr>
        <w:pStyle w:val="ListBullet"/>
      </w:pPr>
      <w:r>
        <w:rPr>
          <w:rFonts w:ascii="微软雅黑" w:hAnsi="微软雅黑" w:eastAsia="微软雅黑" w:cs="微软雅黑"/>
        </w:rPr>
        <w:t>[13] Mysteel｜</w:t>
      </w:r>
      <w:hyperlink r:id="rId23">
        <w:r>
          <w:rPr>
            <w:rFonts w:ascii="微软雅黑" w:hAnsi="微软雅黑" w:eastAsia="微软雅黑" w:cs="微软雅黑"/>
            <w:color w:val="087E89"/>
          </w:rPr>
          <w:t>国家能源局：8月核发绿证3.54亿个，环比增长15.75%</w:t>
        </w:r>
      </w:hyperlink>
      <w:r>
        <w:rPr>
          <w:rFonts w:ascii="微软雅黑" w:hAnsi="微软雅黑" w:eastAsia="微软雅黑" w:cs="微软雅黑"/>
        </w:rPr>
      </w:r>
    </w:p>
    <w:p>
      <w:pPr>
        <w:spacing w:after="0" w:line="20" w:lineRule="exact"/>
      </w:pPr>
      <w:bookmarkStart w:id="14" w:name="source-9501"/>
      <w:bookmarkEnd w:id="14" w:name="source-9501"/>
    </w:p>
    <w:p>
      <w:pPr>
        <w:pStyle w:val="ListBullet"/>
      </w:pPr>
      <w:r>
        <w:rPr>
          <w:rFonts w:ascii="微软雅黑" w:hAnsi="微软雅黑" w:eastAsia="微软雅黑" w:cs="微软雅黑"/>
        </w:rPr>
        <w:t>[14] 人民财讯等｜</w:t>
      </w:r>
      <w:hyperlink r:id="rId24">
        <w:r>
          <w:rPr>
            <w:rFonts w:ascii="微软雅黑" w:hAnsi="微软雅黑" w:eastAsia="微软雅黑" w:cs="微软雅黑"/>
            <w:color w:val="087E89"/>
          </w:rPr>
          <w:t>中国广核、吉利等成立苍南第三核电公司</w:t>
        </w:r>
      </w:hyperlink>
      <w:r>
        <w:rPr>
          <w:rFonts w:ascii="微软雅黑" w:hAnsi="微软雅黑" w:eastAsia="微软雅黑" w:cs="微软雅黑"/>
        </w:rPr>
      </w:r>
    </w:p>
    <w:p>
      <w:pPr>
        <w:spacing w:after="0" w:line="20" w:lineRule="exact"/>
      </w:pPr>
      <w:bookmarkStart w:id="15" w:name="source-9444"/>
      <w:bookmarkEnd w:id="15" w:name="source-9444"/>
    </w:p>
    <w:p>
      <w:pPr>
        <w:pStyle w:val="ListBullet"/>
      </w:pPr>
      <w:r>
        <w:rPr>
          <w:rFonts w:ascii="微软雅黑" w:hAnsi="微软雅黑" w:eastAsia="微软雅黑" w:cs="微软雅黑"/>
        </w:rPr>
        <w:t>[15] 新浪财经｜</w:t>
      </w:r>
      <w:hyperlink r:id="rId25">
        <w:r>
          <w:rPr>
            <w:rFonts w:ascii="微软雅黑" w:hAnsi="微软雅黑" w:eastAsia="微软雅黑" w:cs="微软雅黑"/>
            <w:color w:val="087E89"/>
          </w:rPr>
          <w:t>特朗普重新考虑柴油禁令以压低国内油价</w:t>
        </w:r>
      </w:hyperlink>
      <w:r>
        <w:rPr>
          <w:rFonts w:ascii="微软雅黑" w:hAnsi="微软雅黑" w:eastAsia="微软雅黑" w:cs="微软雅黑"/>
        </w:rPr>
      </w:r>
    </w:p>
    <w:p>
      <w:pPr>
        <w:spacing w:after="0" w:line="20" w:lineRule="exact"/>
      </w:pPr>
      <w:bookmarkStart w:id="16" w:name="source-9239"/>
      <w:bookmarkEnd w:id="16" w:name="source-9239"/>
    </w:p>
    <w:p>
      <w:pPr>
        <w:pStyle w:val="ListBullet"/>
      </w:pPr>
      <w:r>
        <w:rPr>
          <w:rFonts w:ascii="微软雅黑" w:hAnsi="微软雅黑" w:eastAsia="微软雅黑" w:cs="微软雅黑"/>
        </w:rPr>
        <w:t>[16] 中财网｜</w:t>
      </w:r>
      <w:hyperlink r:id="rId26">
        <w:r>
          <w:rPr>
            <w:rFonts w:ascii="微软雅黑" w:hAnsi="微软雅黑" w:eastAsia="微软雅黑" w:cs="微软雅黑"/>
            <w:color w:val="087E89"/>
          </w:rPr>
          <w:t>煤炭供给收缩超预期 冬储接力支撑煤价</w:t>
        </w:r>
      </w:hyperlink>
      <w:r>
        <w:rPr>
          <w:rFonts w:ascii="微软雅黑" w:hAnsi="微软雅黑" w:eastAsia="微软雅黑" w:cs="微软雅黑"/>
        </w:rPr>
      </w:r>
    </w:p>
    <w:p>
      <w:pPr>
        <w:spacing w:after="0" w:line="20" w:lineRule="exact"/>
      </w:pPr>
      <w:bookmarkStart w:id="17" w:name="source-9899"/>
      <w:bookmarkEnd w:id="17" w:name="source-9899"/>
    </w:p>
    <w:p>
      <w:pPr>
        <w:pStyle w:val="ListBullet"/>
      </w:pPr>
      <w:r>
        <w:rPr>
          <w:rFonts w:ascii="微软雅黑" w:hAnsi="微软雅黑" w:eastAsia="微软雅黑" w:cs="微软雅黑"/>
        </w:rPr>
        <w:t>[17] 人民财讯等｜</w:t>
      </w:r>
      <w:hyperlink r:id="rId27">
        <w:r>
          <w:rPr>
            <w:rFonts w:ascii="微软雅黑" w:hAnsi="微软雅黑" w:eastAsia="微软雅黑" w:cs="微软雅黑"/>
            <w:color w:val="087E89"/>
          </w:rPr>
          <w:t>英国海事机构：多艘船只在霍尔木兹海峡遭袭</w:t>
        </w:r>
      </w:hyperlink>
      <w:r>
        <w:rPr>
          <w:rFonts w:ascii="微软雅黑" w:hAnsi="微软雅黑" w:eastAsia="微软雅黑" w:cs="微软雅黑"/>
        </w:rPr>
      </w:r>
    </w:p>
    <w:p>
      <w:pPr>
        <w:spacing w:after="0" w:line="20" w:lineRule="exact"/>
      </w:pPr>
      <w:bookmarkStart w:id="18" w:name="source-9183"/>
      <w:bookmarkEnd w:id="18" w:name="source-9183"/>
    </w:p>
    <w:p>
      <w:pPr>
        <w:pStyle w:val="ListBullet"/>
      </w:pPr>
      <w:r>
        <w:rPr>
          <w:rFonts w:ascii="微软雅黑" w:hAnsi="微软雅黑" w:eastAsia="微软雅黑" w:cs="微软雅黑"/>
        </w:rPr>
        <w:t>[18] 新浪财经｜</w:t>
      </w:r>
      <w:hyperlink r:id="rId28">
        <w:r>
          <w:rPr>
            <w:rFonts w:ascii="微软雅黑" w:hAnsi="微软雅黑" w:eastAsia="微软雅黑" w:cs="微软雅黑"/>
            <w:color w:val="087E89"/>
          </w:rPr>
          <w:t>霍尔木兹海峡大消息，又有船只遇袭！伊朗：波斯湾已无美国军舰，其已撤至入口500公里开外</w:t>
        </w:r>
      </w:hyperlink>
      <w:r>
        <w:rPr>
          <w:rFonts w:ascii="微软雅黑" w:hAnsi="微软雅黑" w:eastAsia="微软雅黑" w:cs="微软雅黑"/>
        </w:rPr>
      </w:r>
    </w:p>
    <w:p>
      <w:pPr>
        <w:spacing w:after="0" w:line="20" w:lineRule="exact"/>
      </w:pPr>
      <w:bookmarkStart w:id="19" w:name="source-9431"/>
      <w:bookmarkEnd w:id="19" w:name="source-9431"/>
    </w:p>
    <w:p>
      <w:pPr>
        <w:pStyle w:val="ListBullet"/>
      </w:pPr>
      <w:r>
        <w:rPr>
          <w:rFonts w:ascii="微软雅黑" w:hAnsi="微软雅黑" w:eastAsia="微软雅黑" w:cs="微软雅黑"/>
        </w:rPr>
        <w:t>[19] 国家能源局｜</w:t>
      </w:r>
      <w:hyperlink r:id="rId29">
        <w:r>
          <w:rPr>
            <w:rFonts w:ascii="微软雅黑" w:hAnsi="微软雅黑" w:eastAsia="微软雅黑" w:cs="微软雅黑"/>
            <w:color w:val="087E89"/>
          </w:rPr>
          <w:t>《新型电池产业发展“十五五”规划》发布</w:t>
        </w:r>
      </w:hyperlink>
      <w:r>
        <w:rPr>
          <w:rFonts w:ascii="微软雅黑" w:hAnsi="微软雅黑" w:eastAsia="微软雅黑" w:cs="微软雅黑"/>
        </w:rPr>
      </w:r>
    </w:p>
    <w:p>
      <w:pPr>
        <w:spacing w:after="0" w:line="20" w:lineRule="exact"/>
      </w:pPr>
      <w:bookmarkStart w:id="20" w:name="source-10231"/>
      <w:bookmarkEnd w:id="20" w:name="source-10231"/>
    </w:p>
    <w:p>
      <w:pPr>
        <w:pStyle w:val="ListBullet"/>
      </w:pPr>
      <w:r>
        <w:rPr>
          <w:rFonts w:ascii="微软雅黑" w:hAnsi="微软雅黑" w:eastAsia="微软雅黑" w:cs="微软雅黑"/>
        </w:rPr>
        <w:t>[20] 新浪财经｜</w:t>
      </w:r>
      <w:hyperlink r:id="rId30">
        <w:r>
          <w:rPr>
            <w:rFonts w:ascii="微软雅黑" w:hAnsi="微软雅黑" w:eastAsia="微软雅黑" w:cs="微软雅黑"/>
            <w:color w:val="087E89"/>
          </w:rPr>
          <w:t>分析师称：中东原油出口恢复至战前水平</w:t>
        </w:r>
      </w:hyperlink>
      <w:r>
        <w:rPr>
          <w:rFonts w:ascii="微软雅黑" w:hAnsi="微软雅黑" w:eastAsia="微软雅黑" w:cs="微软雅黑"/>
        </w:rPr>
      </w:r>
    </w:p>
    <w:p>
      <w:pPr>
        <w:spacing w:after="0" w:line="20" w:lineRule="exact"/>
      </w:pPr>
      <w:bookmarkStart w:id="21" w:name="source-9495"/>
      <w:bookmarkEnd w:id="21" w:name="source-9495"/>
    </w:p>
    <w:p>
      <w:pPr>
        <w:pStyle w:val="ListBullet"/>
      </w:pPr>
      <w:r>
        <w:rPr>
          <w:rFonts w:ascii="微软雅黑" w:hAnsi="微软雅黑" w:eastAsia="微软雅黑" w:cs="微软雅黑"/>
        </w:rPr>
        <w:t>[21] 新浪财经｜</w:t>
      </w:r>
      <w:hyperlink r:id="rId31">
        <w:r>
          <w:rPr>
            <w:rFonts w:ascii="微软雅黑" w:hAnsi="微软雅黑" w:eastAsia="微软雅黑" w:cs="微软雅黑"/>
            <w:color w:val="087E89"/>
          </w:rPr>
          <w:t>油市大消息！高盛、小摩双双研判：中东石油出口接近战前水平</w:t>
        </w:r>
      </w:hyperlink>
      <w:r>
        <w:rPr>
          <w:rFonts w:ascii="微软雅黑" w:hAnsi="微软雅黑" w:eastAsia="微软雅黑" w:cs="微软雅黑"/>
        </w:rPr>
      </w:r>
    </w:p>
    <w:p>
      <w:pPr>
        <w:spacing w:after="0" w:line="20" w:lineRule="exact"/>
      </w:pPr>
      <w:bookmarkStart w:id="22" w:name="source-9139"/>
      <w:bookmarkEnd w:id="22" w:name="source-9139"/>
    </w:p>
    <w:p>
      <w:pPr>
        <w:pStyle w:val="ListBullet"/>
      </w:pPr>
      <w:r>
        <w:rPr>
          <w:rFonts w:ascii="微软雅黑" w:hAnsi="微软雅黑" w:eastAsia="微软雅黑" w:cs="微软雅黑"/>
        </w:rPr>
        <w:t>[22] The Edge Malaysia等｜</w:t>
      </w:r>
      <w:hyperlink r:id="rId32">
        <w:r>
          <w:rPr>
            <w:rFonts w:ascii="微软雅黑" w:hAnsi="微软雅黑" w:eastAsia="微软雅黑" w:cs="微软雅黑"/>
            <w:color w:val="087E89"/>
          </w:rPr>
          <w:t>中东出口接近战前水平 油价维持跌势</w:t>
        </w:r>
      </w:hyperlink>
      <w:r>
        <w:rPr>
          <w:rFonts w:ascii="微软雅黑" w:hAnsi="微软雅黑" w:eastAsia="微软雅黑" w:cs="微软雅黑"/>
        </w:rPr>
      </w:r>
    </w:p>
    <w:p>
      <w:pPr>
        <w:spacing w:after="0" w:line="20" w:lineRule="exact"/>
      </w:pPr>
      <w:bookmarkStart w:id="23" w:name="source-10223"/>
      <w:bookmarkEnd w:id="23" w:name="source-10223"/>
    </w:p>
    <w:p>
      <w:pPr>
        <w:pStyle w:val="ListBullet"/>
      </w:pPr>
      <w:r>
        <w:rPr>
          <w:rFonts w:ascii="微软雅黑" w:hAnsi="微软雅黑" w:eastAsia="微软雅黑" w:cs="微软雅黑"/>
        </w:rPr>
        <w:t>[23] 人民财讯等｜</w:t>
      </w:r>
      <w:hyperlink r:id="rId33">
        <w:r>
          <w:rPr>
            <w:rFonts w:ascii="微软雅黑" w:hAnsi="微软雅黑" w:eastAsia="微软雅黑" w:cs="微软雅黑"/>
            <w:color w:val="087E89"/>
          </w:rPr>
          <w:t>报告显示中东原油出口9月回升</w:t>
        </w:r>
      </w:hyperlink>
      <w:r>
        <w:rPr>
          <w:rFonts w:ascii="微软雅黑" w:hAnsi="微软雅黑" w:eastAsia="微软雅黑" w:cs="微软雅黑"/>
        </w:rPr>
      </w:r>
    </w:p>
    <w:p>
      <w:pPr>
        <w:spacing w:after="0" w:line="20" w:lineRule="exact"/>
      </w:pPr>
      <w:bookmarkStart w:id="24" w:name="source-9533"/>
      <w:bookmarkEnd w:id="24" w:name="source-9533"/>
    </w:p>
    <w:p>
      <w:pPr>
        <w:pStyle w:val="ListBullet"/>
      </w:pPr>
      <w:r>
        <w:rPr>
          <w:rFonts w:ascii="微软雅黑" w:hAnsi="微软雅黑" w:eastAsia="微软雅黑" w:cs="微软雅黑"/>
        </w:rPr>
        <w:t>[24] 德国联邦议院｜</w:t>
      </w:r>
      <w:hyperlink r:id="rId34">
        <w:r>
          <w:rPr>
            <w:rFonts w:ascii="微软雅黑" w:hAnsi="微软雅黑" w:eastAsia="微软雅黑" w:cs="微软雅黑"/>
            <w:color w:val="087E89"/>
          </w:rPr>
          <w:t>联邦政府拟改革《海上风电法》</w:t>
        </w:r>
      </w:hyperlink>
      <w:r>
        <w:rPr>
          <w:rFonts w:ascii="微软雅黑" w:hAnsi="微软雅黑" w:eastAsia="微软雅黑" w:cs="微软雅黑"/>
        </w:rPr>
      </w:r>
    </w:p>
    <w:p>
      <w:pPr>
        <w:spacing w:after="0" w:line="20" w:lineRule="exact"/>
      </w:pPr>
      <w:bookmarkStart w:id="25" w:name="source-9427"/>
      <w:bookmarkEnd w:id="25" w:name="source-9427"/>
    </w:p>
    <w:p>
      <w:pPr>
        <w:pStyle w:val="ListBullet"/>
      </w:pPr>
      <w:r>
        <w:rPr>
          <w:rFonts w:ascii="微软雅黑" w:hAnsi="微软雅黑" w:eastAsia="微软雅黑" w:cs="微软雅黑"/>
        </w:rPr>
        <w:t>[25] Anadolu Agency 能源频道｜</w:t>
      </w:r>
      <w:hyperlink r:id="rId35">
        <w:r>
          <w:rPr>
            <w:rFonts w:ascii="微软雅黑" w:hAnsi="微软雅黑" w:eastAsia="微软雅黑" w:cs="微软雅黑"/>
            <w:color w:val="087E89"/>
          </w:rPr>
          <w:t>中国推动全球核电产量创纪录 其他地区发电量下滑</w:t>
        </w:r>
      </w:hyperlink>
      <w:r>
        <w:rPr>
          <w:rFonts w:ascii="微软雅黑" w:hAnsi="微软雅黑" w:eastAsia="微软雅黑" w:cs="微软雅黑"/>
        </w:rPr>
      </w:r>
    </w:p>
    <w:p>
      <w:pPr>
        <w:spacing w:after="0" w:line="20" w:lineRule="exact"/>
      </w:pPr>
      <w:bookmarkStart w:id="26" w:name="source-9384"/>
      <w:bookmarkEnd w:id="26" w:name="source-9384"/>
    </w:p>
    <w:p>
      <w:pPr>
        <w:pStyle w:val="ListBullet"/>
      </w:pPr>
      <w:r>
        <w:rPr>
          <w:rFonts w:ascii="微软雅黑" w:hAnsi="微软雅黑" w:eastAsia="微软雅黑" w:cs="微软雅黑"/>
        </w:rPr>
        <w:t>[26] 人民财讯等｜</w:t>
      </w:r>
      <w:hyperlink r:id="rId36">
        <w:r>
          <w:rPr>
            <w:rFonts w:ascii="微软雅黑" w:hAnsi="微软雅黑" w:eastAsia="微软雅黑" w:cs="微软雅黑"/>
            <w:color w:val="087E89"/>
          </w:rPr>
          <w:t>国家发展改革委向社会公开征求《电力市场风险 防控管理办法（公开征求意见稿）》意见</w:t>
        </w:r>
      </w:hyperlink>
      <w:r>
        <w:rPr>
          <w:rFonts w:ascii="微软雅黑" w:hAnsi="微软雅黑" w:eastAsia="微软雅黑" w:cs="微软雅黑"/>
        </w:rPr>
      </w:r>
    </w:p>
    <w:p>
      <w:pPr>
        <w:spacing w:after="0" w:line="20" w:lineRule="exact"/>
      </w:pPr>
      <w:bookmarkStart w:id="27" w:name="source-9489"/>
      <w:bookmarkEnd w:id="27" w:name="source-9489"/>
    </w:p>
    <w:p>
      <w:pPr>
        <w:pStyle w:val="ListBullet"/>
      </w:pPr>
      <w:r>
        <w:rPr>
          <w:rFonts w:ascii="微软雅黑" w:hAnsi="微软雅黑" w:eastAsia="微软雅黑" w:cs="微软雅黑"/>
        </w:rPr>
        <w:t>[27] 中国能源新闻网｜</w:t>
      </w:r>
      <w:hyperlink r:id="rId37">
        <w:r>
          <w:rPr>
            <w:rFonts w:ascii="微软雅黑" w:hAnsi="微软雅黑" w:eastAsia="微软雅黑" w:cs="微软雅黑"/>
            <w:color w:val="087E89"/>
          </w:rPr>
          <w:t>国家发展改革委关于向社会公开征求《电力市场风险防控管理办法（公开征求意见稿）》意见的公告</w:t>
        </w:r>
      </w:hyperlink>
      <w:r>
        <w:rPr>
          <w:rFonts w:ascii="微软雅黑" w:hAnsi="微软雅黑" w:eastAsia="微软雅黑" w:cs="微软雅黑"/>
        </w:rPr>
      </w:r>
    </w:p>
    <w:p>
      <w:pPr>
        <w:spacing w:after="0" w:line="20" w:lineRule="exact"/>
      </w:pPr>
      <w:bookmarkStart w:id="28" w:name="source-9561"/>
      <w:bookmarkEnd w:id="28" w:name="source-9561"/>
    </w:p>
    <w:p>
      <w:pPr>
        <w:pStyle w:val="ListBullet"/>
      </w:pPr>
      <w:r>
        <w:rPr>
          <w:rFonts w:ascii="微软雅黑" w:hAnsi="微软雅黑" w:eastAsia="微软雅黑" w:cs="微软雅黑"/>
        </w:rPr>
        <w:t>[28] 北极星电力网｜</w:t>
      </w:r>
      <w:hyperlink r:id="rId38">
        <w:r>
          <w:rPr>
            <w:rFonts w:ascii="微软雅黑" w:hAnsi="微软雅黑" w:eastAsia="微软雅黑" w:cs="微软雅黑"/>
            <w:color w:val="087E89"/>
          </w:rPr>
          <w:t>国家发展改革委发布《电力市场风险防控管理办法（公开征求意见稿）》</w:t>
        </w:r>
      </w:hyperlink>
      <w:r>
        <w:rPr>
          <w:rFonts w:ascii="微软雅黑" w:hAnsi="微软雅黑" w:eastAsia="微软雅黑" w:cs="微软雅黑"/>
        </w:rPr>
      </w:r>
    </w:p>
    <w:p>
      <w:pPr>
        <w:spacing w:after="0" w:line="20" w:lineRule="exact"/>
      </w:pPr>
      <w:bookmarkStart w:id="29" w:name="source-9777"/>
      <w:bookmarkEnd w:id="29" w:name="source-9777"/>
    </w:p>
    <w:p>
      <w:pPr>
        <w:pStyle w:val="ListBullet"/>
      </w:pPr>
      <w:r>
        <w:rPr>
          <w:rFonts w:ascii="微软雅黑" w:hAnsi="微软雅黑" w:eastAsia="微软雅黑" w:cs="微软雅黑"/>
        </w:rPr>
        <w:t>[29] Mysteel｜</w:t>
      </w:r>
      <w:hyperlink r:id="rId39">
        <w:r>
          <w:rPr>
            <w:rFonts w:ascii="微软雅黑" w:hAnsi="微软雅黑" w:eastAsia="微软雅黑" w:cs="微软雅黑"/>
            <w:color w:val="087E89"/>
          </w:rPr>
          <w:t>国家发改委就《电力市场风险防控管理办法》公开征求意见</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businessday.co.za/world/2026-09-30-russia-hits-ukraines-energy-grid-in-heavy-winter-attack/" TargetMode="External"/><Relationship Id="rId12" Type="http://schemas.openxmlformats.org/officeDocument/2006/relationships/hyperlink" Target="https://www.hydrocarbonengineering.com/refining/30092026/wood-mackenzie-us-considers-diesel-export-restrictions/" TargetMode="External"/><Relationship Id="rId13" Type="http://schemas.openxmlformats.org/officeDocument/2006/relationships/hyperlink" Target="https://www.thebatterymagazine.com/cabinet-approves-green-energy-corridor-phase-iii-with-bess/" TargetMode="External"/><Relationship Id="rId14" Type="http://schemas.openxmlformats.org/officeDocument/2006/relationships/hyperlink" Target="https://www.thebatterymagazine.com/kpi-green-energy-signs-binding-offer-for-507-9-mw-wind-assets/" TargetMode="External"/><Relationship Id="rId15" Type="http://schemas.openxmlformats.org/officeDocument/2006/relationships/hyperlink" Target="https://www.businessday.co.za/world/2026-09-30-eurozone-inflation-outpaces-forecasts-amid-energy-price-shocks/" TargetMode="External"/><Relationship Id="rId16" Type="http://schemas.openxmlformats.org/officeDocument/2006/relationships/hyperlink" Target="https://www.nea.gov.cn/20260930/43fede537ca048b1a6a51fe0970fb205/c.html" TargetMode="External"/><Relationship Id="rId17" Type="http://schemas.openxmlformats.org/officeDocument/2006/relationships/hyperlink" Target="https://www.bjx.com.cn/html/20260930/1515025.shtml" TargetMode="External"/><Relationship Id="rId18" Type="http://schemas.openxmlformats.org/officeDocument/2006/relationships/hyperlink" Target="https://www.neimagazine.com/news/us-saudi-deal-sparks-proliferation-fears/" TargetMode="External"/><Relationship Id="rId19" Type="http://schemas.openxmlformats.org/officeDocument/2006/relationships/hyperlink" Target="https://www.aa.com.tr/en/energy/natural-gas/shell-takes-final-investment-decision-to-double-lng-canada-capacity/59937" TargetMode="External"/><Relationship Id="rId20" Type="http://schemas.openxmlformats.org/officeDocument/2006/relationships/hyperlink" Target="https://www.chinanews.com.cn/cj/2026/09-30/10706558.shtml" TargetMode="External"/><Relationship Id="rId21" Type="http://schemas.openxmlformats.org/officeDocument/2006/relationships/hyperlink" Target="https://www.mining-technology.com/news/nsw-hvo-coal-mine-continuation-conditions/" TargetMode="External"/><Relationship Id="rId22" Type="http://schemas.openxmlformats.org/officeDocument/2006/relationships/hyperlink" Target="https://www.stcn.com/article/detail/4203694.html" TargetMode="External"/><Relationship Id="rId23" Type="http://schemas.openxmlformats.org/officeDocument/2006/relationships/hyperlink" Target="https://news.mysteel.com/a/26093010/17A018A7BB0FF165.html" TargetMode="External"/><Relationship Id="rId24" Type="http://schemas.openxmlformats.org/officeDocument/2006/relationships/hyperlink" Target="https://www.stcn.com/article/detail/4204131.html" TargetMode="External"/><Relationship Id="rId25" Type="http://schemas.openxmlformats.org/officeDocument/2006/relationships/hyperlink" Target="https://finance.sina.com.cn/stock/usstock/c/2026-09-30/doc-initqvax6953094.shtml" TargetMode="External"/><Relationship Id="rId26" Type="http://schemas.openxmlformats.org/officeDocument/2006/relationships/hyperlink" Target="https://industry.cfi.cn/p20260930000258.html" TargetMode="External"/><Relationship Id="rId27" Type="http://schemas.openxmlformats.org/officeDocument/2006/relationships/hyperlink" Target="https://www.stcn.com/article/detail/4204528.html" TargetMode="External"/><Relationship Id="rId28" Type="http://schemas.openxmlformats.org/officeDocument/2006/relationships/hyperlink" Target="https://finance.sina.com.cn/jjxw/2026-09-30/doc-initppiv6014760.shtml" TargetMode="External"/><Relationship Id="rId29" Type="http://schemas.openxmlformats.org/officeDocument/2006/relationships/hyperlink" Target="https://www.nea.gov.cn/20260930/5a63797bd7264163b6b0c482aa5e6ba9/c.html" TargetMode="External"/><Relationship Id="rId30" Type="http://schemas.openxmlformats.org/officeDocument/2006/relationships/hyperlink" Target="https://finance.sina.com.cn/stock/usstock/c/2026-09-30/doc-initrshv1816459.shtml" TargetMode="External"/><Relationship Id="rId31" Type="http://schemas.openxmlformats.org/officeDocument/2006/relationships/hyperlink" Target="https://finance.sina.com.cn/money/future/fmnews/2026-09-30/doc-initqvcf5803100.shtml" TargetMode="External"/><Relationship Id="rId32" Type="http://schemas.openxmlformats.org/officeDocument/2006/relationships/hyperlink" Target="https://theedgemalaysia.com/node/819872" TargetMode="External"/><Relationship Id="rId33" Type="http://schemas.openxmlformats.org/officeDocument/2006/relationships/hyperlink" Target="https://www.stcn.com/article/detail/4204717.html" TargetMode="External"/><Relationship Id="rId34" Type="http://schemas.openxmlformats.org/officeDocument/2006/relationships/hyperlink" Target="https://www.bundestag.de/presse/hib/kurzmeldungen-1221676" TargetMode="External"/><Relationship Id="rId35" Type="http://schemas.openxmlformats.org/officeDocument/2006/relationships/hyperlink" Target="https://www.aa.com.tr/en/energy/electricity/china-drives-record-global-nuclear-output-as-generation-elsewhere-falls/59936" TargetMode="External"/><Relationship Id="rId36" Type="http://schemas.openxmlformats.org/officeDocument/2006/relationships/hyperlink" Target="https://www.stcn.com/article/detail/4203739.html" TargetMode="External"/><Relationship Id="rId37" Type="http://schemas.openxmlformats.org/officeDocument/2006/relationships/hyperlink" Target="https://www.cpnn.com.cn/news/nytt/202609/t20260930_1918240.html" TargetMode="External"/><Relationship Id="rId38" Type="http://schemas.openxmlformats.org/officeDocument/2006/relationships/hyperlink" Target="https://www.bjx.com.cn/html/20260930/1514967.shtml" TargetMode="External"/><Relationship Id="rId39" Type="http://schemas.openxmlformats.org/officeDocument/2006/relationships/hyperlink" Target="https://news.mysteel.com/a/26093017/3F4D86B0A878E9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2026年9月30日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