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信息覆盖时段：2026-09-20 00:00 至 2026-09-21 00:00（不含），Asia/Shanghai。</w:t>
      </w:r>
    </w:p>
    <w:p>
      <w:pPr/>
      <w:r>
        <w:rPr>
          <w:rFonts w:ascii="微软雅黑" w:hAnsi="微软雅黑" w:eastAsia="微软雅黑" w:cs="微软雅黑"/>
        </w:rPr>
        <w:t>统计区间：2026-09-20 至 2026-09-21（结束日不含，北京时间）</w:t>
      </w:r>
    </w:p>
    <w:p>
      <w:pPr>
        <w:ind w:firstLine="420"/>
      </w:pPr>
      <w:r>
        <w:rPr>
          <w:rFonts w:ascii="微软雅黑" w:hAnsi="微软雅黑" w:eastAsia="微软雅黑" w:cs="微软雅黑"/>
        </w:rPr>
        <w:t>资料更新截止：2026-09-21 11:00（北京时间）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伊朗称霍尔木兹海峡将保持关闭至美方履约 </w:t>
      </w:r>
      <w:hyperlink w:anchor="source-44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435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沙特东西输油管道因袭击预防性关闭，全球海运石油受阻 </w:t>
      </w:r>
      <w:hyperlink w:anchor="source-427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国家能源局：8月全社会用电量再破万亿，负荷创新高 </w:t>
      </w:r>
      <w:hyperlink w:anchor="source-462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418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4192">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欧洲冬季批发电价同比上涨逾60% </w:t>
      </w:r>
      <w:hyperlink w:anchor="source-426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国际原子能机构：俄库尔斯克核电站冷却塔遭无人机击中 </w:t>
      </w:r>
      <w:hyperlink w:anchor="source-4255">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霍尔木兹海峡日均原油及石油产品运输量</w:t>
            </w:r>
          </w:p>
        </w:tc>
        <w:tc>
          <w:tcPr>
            <w:tcW w:type="dxa" w:w="2268"/>
          </w:tcPr>
          <w:p>
            <w:pPr>
              <w:spacing w:after="40"/>
            </w:pPr>
            <w:r>
              <w:rPr>
                <w:rFonts w:ascii="微软雅黑" w:hAnsi="微软雅黑" w:eastAsia="微软雅黑" w:cs="微软雅黑"/>
              </w:rPr>
              <w:t>约2000万桶</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427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部分航次新增运输和保险成本</w:t>
            </w:r>
          </w:p>
        </w:tc>
        <w:tc>
          <w:tcPr>
            <w:tcW w:type="dxa" w:w="2268"/>
          </w:tcPr>
          <w:p>
            <w:pPr>
              <w:spacing w:after="40"/>
            </w:pPr>
            <w:r>
              <w:rPr>
                <w:rFonts w:ascii="微软雅黑" w:hAnsi="微软雅黑" w:eastAsia="微软雅黑" w:cs="微软雅黑"/>
              </w:rPr>
              <w:t>1000万至2000万美元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27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2026年8月全社会用电量</w:t>
            </w:r>
          </w:p>
        </w:tc>
        <w:tc>
          <w:tcPr>
            <w:tcW w:type="dxa" w:w="2268"/>
          </w:tcPr>
          <w:p>
            <w:pPr>
              <w:spacing w:after="40"/>
            </w:pPr>
            <w:r>
              <w:rPr>
                <w:rFonts w:ascii="微软雅黑" w:hAnsi="微软雅黑" w:eastAsia="微软雅黑" w:cs="微软雅黑"/>
              </w:rPr>
              <w:t>10332亿千瓦时</w:t>
            </w:r>
          </w:p>
        </w:tc>
        <w:tc>
          <w:tcPr>
            <w:tcW w:type="dxa" w:w="2268"/>
          </w:tcPr>
          <w:p>
            <w:pPr>
              <w:spacing w:after="40"/>
            </w:pPr>
            <w:r>
              <w:rPr>
                <w:rFonts w:ascii="微软雅黑" w:hAnsi="微软雅黑" w:eastAsia="微软雅黑" w:cs="微软雅黑"/>
              </w:rPr>
              <w:t>2026-08</w:t>
            </w:r>
          </w:p>
        </w:tc>
        <w:tc>
          <w:tcPr>
            <w:tcW w:type="dxa" w:w="2268"/>
          </w:tcPr>
          <w:p>
            <w:pPr>
              <w:spacing w:after="40"/>
            </w:pPr>
            <w:r>
              <w:rPr>
                <w:rFonts w:ascii="微软雅黑" w:hAnsi="微软雅黑" w:eastAsia="微软雅黑" w:cs="微软雅黑"/>
              </w:rPr>
            </w:r>
            <w:hyperlink w:anchor="source-462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418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419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2026年8月全社会用电量同比</w:t>
            </w:r>
          </w:p>
        </w:tc>
        <w:tc>
          <w:tcPr>
            <w:tcW w:type="dxa" w:w="2268"/>
          </w:tcPr>
          <w:p>
            <w:pPr>
              <w:spacing w:after="40"/>
            </w:pPr>
            <w:r>
              <w:rPr>
                <w:rFonts w:ascii="微软雅黑" w:hAnsi="微软雅黑" w:eastAsia="微软雅黑" w:cs="微软雅黑"/>
              </w:rPr>
              <w:t>+1.7%</w:t>
            </w:r>
          </w:p>
        </w:tc>
        <w:tc>
          <w:tcPr>
            <w:tcW w:type="dxa" w:w="2268"/>
          </w:tcPr>
          <w:p>
            <w:pPr>
              <w:spacing w:after="40"/>
            </w:pPr>
            <w:r>
              <w:rPr>
                <w:rFonts w:ascii="微软雅黑" w:hAnsi="微软雅黑" w:eastAsia="微软雅黑" w:cs="微软雅黑"/>
              </w:rPr>
              <w:t>2026-08</w:t>
            </w:r>
          </w:p>
        </w:tc>
        <w:tc>
          <w:tcPr>
            <w:tcW w:type="dxa" w:w="2268"/>
          </w:tcPr>
          <w:p>
            <w:pPr>
              <w:spacing w:after="40"/>
            </w:pPr>
            <w:r>
              <w:rPr>
                <w:rFonts w:ascii="微软雅黑" w:hAnsi="微软雅黑" w:eastAsia="微软雅黑" w:cs="微软雅黑"/>
              </w:rPr>
            </w:r>
            <w:hyperlink w:anchor="source-462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418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419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2026年8月最高用电负荷</w:t>
            </w:r>
          </w:p>
        </w:tc>
        <w:tc>
          <w:tcPr>
            <w:tcW w:type="dxa" w:w="2268"/>
          </w:tcPr>
          <w:p>
            <w:pPr>
              <w:spacing w:after="40"/>
            </w:pPr>
            <w:r>
              <w:rPr>
                <w:rFonts w:ascii="微软雅黑" w:hAnsi="微软雅黑" w:eastAsia="微软雅黑" w:cs="微软雅黑"/>
              </w:rPr>
              <w:t>15.6亿千瓦</w:t>
            </w:r>
          </w:p>
        </w:tc>
        <w:tc>
          <w:tcPr>
            <w:tcW w:type="dxa" w:w="2268"/>
          </w:tcPr>
          <w:p>
            <w:pPr>
              <w:spacing w:after="40"/>
            </w:pPr>
            <w:r>
              <w:rPr>
                <w:rFonts w:ascii="微软雅黑" w:hAnsi="微软雅黑" w:eastAsia="微软雅黑" w:cs="微软雅黑"/>
              </w:rPr>
              <w:t>2026-08</w:t>
            </w:r>
          </w:p>
        </w:tc>
        <w:tc>
          <w:tcPr>
            <w:tcW w:type="dxa" w:w="2268"/>
          </w:tcPr>
          <w:p>
            <w:pPr>
              <w:spacing w:after="40"/>
            </w:pPr>
            <w:r>
              <w:rPr>
                <w:rFonts w:ascii="微软雅黑" w:hAnsi="微软雅黑" w:eastAsia="微软雅黑" w:cs="微软雅黑"/>
              </w:rPr>
            </w:r>
            <w:hyperlink w:anchor="source-462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418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419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德国明年1月批发电价</w:t>
            </w:r>
          </w:p>
        </w:tc>
        <w:tc>
          <w:tcPr>
            <w:tcW w:type="dxa" w:w="2268"/>
          </w:tcPr>
          <w:p>
            <w:pPr>
              <w:spacing w:after="40"/>
            </w:pPr>
            <w:r>
              <w:rPr>
                <w:rFonts w:ascii="微软雅黑" w:hAnsi="微软雅黑" w:eastAsia="微软雅黑" w:cs="微软雅黑"/>
              </w:rPr>
              <w:t>180欧元/兆瓦时以上</w:t>
            </w:r>
          </w:p>
        </w:tc>
        <w:tc>
          <w:tcPr>
            <w:tcW w:type="dxa" w:w="2268"/>
          </w:tcPr>
          <w:p>
            <w:pPr>
              <w:spacing w:after="40"/>
            </w:pPr>
            <w:r>
              <w:rPr>
                <w:rFonts w:ascii="微软雅黑" w:hAnsi="微软雅黑" w:eastAsia="微软雅黑" w:cs="微软雅黑"/>
              </w:rPr>
              <w:t>报道时</w:t>
            </w:r>
          </w:p>
        </w:tc>
        <w:tc>
          <w:tcPr>
            <w:tcW w:type="dxa" w:w="2268"/>
          </w:tcPr>
          <w:p>
            <w:pPr>
              <w:spacing w:after="40"/>
            </w:pPr>
            <w:r>
              <w:rPr>
                <w:rFonts w:ascii="微软雅黑" w:hAnsi="微软雅黑" w:eastAsia="微软雅黑" w:cs="微软雅黑"/>
              </w:rPr>
            </w:r>
            <w:hyperlink w:anchor="source-4262">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欧洲天然气基准价格</w:t>
            </w:r>
          </w:p>
        </w:tc>
        <w:tc>
          <w:tcPr>
            <w:tcW w:type="dxa" w:w="2268"/>
          </w:tcPr>
          <w:p>
            <w:pPr>
              <w:spacing w:after="40"/>
            </w:pPr>
            <w:r>
              <w:rPr>
                <w:rFonts w:ascii="微软雅黑" w:hAnsi="微软雅黑" w:eastAsia="微软雅黑" w:cs="微软雅黑"/>
              </w:rPr>
              <w:t>81欧元/兆瓦时</w:t>
            </w:r>
          </w:p>
        </w:tc>
        <w:tc>
          <w:tcPr>
            <w:tcW w:type="dxa" w:w="2268"/>
          </w:tcPr>
          <w:p>
            <w:pPr>
              <w:spacing w:after="40"/>
            </w:pPr>
            <w:r>
              <w:rPr>
                <w:rFonts w:ascii="微软雅黑" w:hAnsi="微软雅黑" w:eastAsia="微软雅黑" w:cs="微软雅黑"/>
              </w:rPr>
              <w:t>报道时</w:t>
            </w:r>
          </w:p>
        </w:tc>
        <w:tc>
          <w:tcPr>
            <w:tcW w:type="dxa" w:w="2268"/>
          </w:tcPr>
          <w:p>
            <w:pPr>
              <w:spacing w:after="40"/>
            </w:pPr>
            <w:r>
              <w:rPr>
                <w:rFonts w:ascii="微软雅黑" w:hAnsi="微软雅黑" w:eastAsia="微软雅黑" w:cs="微软雅黑"/>
              </w:rPr>
            </w:r>
            <w:hyperlink w:anchor="source-4262">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2030年非化石能源发电装机占比目标</w:t>
            </w:r>
          </w:p>
        </w:tc>
        <w:tc>
          <w:tcPr>
            <w:tcW w:type="dxa" w:w="2268"/>
          </w:tcPr>
          <w:p>
            <w:pPr>
              <w:spacing w:after="40"/>
            </w:pPr>
            <w:r>
              <w:rPr>
                <w:rFonts w:ascii="微软雅黑" w:hAnsi="微软雅黑" w:eastAsia="微软雅黑" w:cs="微软雅黑"/>
              </w:rPr>
              <w:t>65%</w:t>
            </w:r>
          </w:p>
        </w:tc>
        <w:tc>
          <w:tcPr>
            <w:tcW w:type="dxa" w:w="2268"/>
          </w:tcPr>
          <w:p>
            <w:pPr>
              <w:spacing w:after="40"/>
            </w:pPr>
            <w:r>
              <w:rPr>
                <w:rFonts w:ascii="微软雅黑" w:hAnsi="微软雅黑" w:eastAsia="微软雅黑" w:cs="微软雅黑"/>
              </w:rPr>
              <w:t>“十五五”规划</w:t>
            </w:r>
          </w:p>
        </w:tc>
        <w:tc>
          <w:tcPr>
            <w:tcW w:type="dxa" w:w="2268"/>
          </w:tcPr>
          <w:p>
            <w:pPr>
              <w:spacing w:after="40"/>
            </w:pPr>
            <w:r>
              <w:rPr>
                <w:rFonts w:ascii="微软雅黑" w:hAnsi="微软雅黑" w:eastAsia="微软雅黑" w:cs="微软雅黑"/>
              </w:rPr>
            </w:r>
            <w:hyperlink w:anchor="source-429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2030年非化石能源发电量占比目标</w:t>
            </w:r>
          </w:p>
        </w:tc>
        <w:tc>
          <w:tcPr>
            <w:tcW w:type="dxa" w:w="2268"/>
          </w:tcPr>
          <w:p>
            <w:pPr>
              <w:spacing w:after="40"/>
            </w:pPr>
            <w:r>
              <w:rPr>
                <w:rFonts w:ascii="微软雅黑" w:hAnsi="微软雅黑" w:eastAsia="微软雅黑" w:cs="微软雅黑"/>
              </w:rPr>
              <w:t>50%</w:t>
            </w:r>
          </w:p>
        </w:tc>
        <w:tc>
          <w:tcPr>
            <w:tcW w:type="dxa" w:w="2268"/>
          </w:tcPr>
          <w:p>
            <w:pPr>
              <w:spacing w:after="40"/>
            </w:pPr>
            <w:r>
              <w:rPr>
                <w:rFonts w:ascii="微软雅黑" w:hAnsi="微软雅黑" w:eastAsia="微软雅黑" w:cs="微软雅黑"/>
              </w:rPr>
              <w:t>“十五五”规划</w:t>
            </w:r>
          </w:p>
        </w:tc>
        <w:tc>
          <w:tcPr>
            <w:tcW w:type="dxa" w:w="2268"/>
          </w:tcPr>
          <w:p>
            <w:pPr>
              <w:spacing w:after="40"/>
            </w:pPr>
            <w:r>
              <w:rPr>
                <w:rFonts w:ascii="微软雅黑" w:hAnsi="微软雅黑" w:eastAsia="微软雅黑" w:cs="微软雅黑"/>
              </w:rPr>
            </w:r>
            <w:hyperlink w:anchor="source-429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国家电网经营区最高用电负荷</w:t>
            </w:r>
          </w:p>
        </w:tc>
        <w:tc>
          <w:tcPr>
            <w:tcW w:type="dxa" w:w="2268"/>
          </w:tcPr>
          <w:p>
            <w:pPr>
              <w:spacing w:after="40"/>
            </w:pPr>
            <w:r>
              <w:rPr>
                <w:rFonts w:ascii="微软雅黑" w:hAnsi="微软雅黑" w:eastAsia="微软雅黑" w:cs="微软雅黑"/>
              </w:rPr>
              <w:t>12.7亿千瓦</w:t>
            </w:r>
          </w:p>
        </w:tc>
        <w:tc>
          <w:tcPr>
            <w:tcW w:type="dxa" w:w="2268"/>
          </w:tcPr>
          <w:p>
            <w:pPr>
              <w:spacing w:after="40"/>
            </w:pPr>
            <w:r>
              <w:rPr>
                <w:rFonts w:ascii="微软雅黑" w:hAnsi="微软雅黑" w:eastAsia="微软雅黑" w:cs="微软雅黑"/>
              </w:rPr>
              <w:t>今夏</w:t>
            </w:r>
          </w:p>
        </w:tc>
        <w:tc>
          <w:tcPr>
            <w:tcW w:type="dxa" w:w="2268"/>
          </w:tcPr>
          <w:p>
            <w:pPr>
              <w:spacing w:after="40"/>
            </w:pPr>
            <w:r>
              <w:rPr>
                <w:rFonts w:ascii="微软雅黑" w:hAnsi="微软雅黑" w:eastAsia="微软雅黑" w:cs="微软雅黑"/>
              </w:rPr>
            </w:r>
            <w:hyperlink w:anchor="source-4297">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伊朗称霍尔木兹海峡将保持关闭至美方履约</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伊朗议长卡利巴夫表示，在伊朗合法权利未被承认、美方承诺未兑现之前，不会恢复谈判，也不会重新开放霍尔木兹海峡。他称伊朗已通过中间人明确向美方传达相关条件。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霍尔木兹海峡是全球最重要的石油和天然气运输水道之一，目前因美伊对峙处于关闭状态。卡利巴夫明确表示，在条件未满足且美方承诺未兑现前，海峡不可能重新开放，且无法恢复谈判前状态。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海峡持续关闭将影响经由该水道运输的全球石油和天然气供应。</w:t>
      </w:r>
    </w:p>
    <w:p>
      <w:pPr>
        <w:ind w:firstLine="420"/>
      </w:pPr>
      <w:r>
        <w:rPr>
          <w:rFonts w:ascii="微软雅黑" w:hAnsi="微软雅黑" w:eastAsia="微软雅黑" w:cs="微软雅黑"/>
        </w:rPr>
        <w:t>来源：</w:t>
      </w:r>
      <w:hyperlink w:anchor="source-44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435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美签署法案对进口俄油气第三国加征最高100%关税</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东时间9月18日，美方将《2026年格雷厄姆制裁俄罗斯和伊朗法案》签署成法。该法强化对俄制裁、延长对伊有关制裁，并明确可对进口俄罗斯石油或天然气的第三国加征最高100%的所谓“次级关税”。有评论认为，中方将是美方征税目标之一。</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案全面强化对俄制裁并延长对伊制裁条款，授权对购买俄罗斯石油或天然气的第三国加征最高100%关税。中国商务部回应称，中方一贯反对缺乏联合国授权和国际法依据的单边制裁及以涉及第三方为由的所谓次级制裁措施；中方将继续密切关注美方后续举措，并保留采取一切必要措施的权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该法案可能直接影响继续采购俄油气的第三方国家的对美贸易成本与能源采购安排。</w:t>
      </w:r>
    </w:p>
    <w:p>
      <w:pPr>
        <w:ind w:firstLine="420"/>
      </w:pPr>
      <w:r>
        <w:rPr>
          <w:rFonts w:ascii="微软雅黑" w:hAnsi="微软雅黑" w:eastAsia="微软雅黑" w:cs="微软雅黑"/>
        </w:rPr>
        <w:t>来源：</w:t>
      </w:r>
      <w:hyperlink w:anchor="source-4256">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4197">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3. 沙特东西输油管道因袭击预防性关闭，全球海运石油受阻</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沙特能源部11日宣布，在利雅得和麦地那地区遭袭后，东西输油管道被预防性关闭。船舶追踪数据显示，15日仅有4艘大宗商品运输船通过霍尔木兹海峡，远低于此前10天日均18艘的水平。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际能源署数据显示，2025年霍尔木兹海峡日均原油及石油产品运输量约2000万桶，约占全球海运石油贸易的四分之一，其中约80%运往亚洲。阿联酋国家石油公司董事保罗·布拉德肖表示，部分经该海峡船只的货物保险费用已升至货值5%至6%，额外战争风险保费最高可达货值的10%，部分航次新增运输和保险成本达1000万至2000万美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海峡通行量大幅萎缩，叠加保险和战争风险保费上升，显著抬高亚洲方向原油运输成本与供应风险。</w:t>
      </w:r>
    </w:p>
    <w:p>
      <w:pPr>
        <w:ind w:firstLine="420"/>
      </w:pPr>
      <w:r>
        <w:rPr>
          <w:rFonts w:ascii="微软雅黑" w:hAnsi="微软雅黑" w:eastAsia="微软雅黑" w:cs="微软雅黑"/>
        </w:rPr>
        <w:t>来源：</w:t>
      </w:r>
      <w:hyperlink w:anchor="source-4271">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欧美柴油价格创新高，美国柴油出口禁令议案被提出</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美国柴油零售价上周首次突破每加仑6美元，本周五进一步攀升至6.45美元，创历史新高。众议员Tim Burchett提出柴油出口禁令法案，参议院多数党领袖John Thune对该提议持开放态度。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过去十年波斯湾产油国与俄罗斯大规模扩产炼油，使中东柴油出口量在2017年至2025年间翻逾一番，该地区以19%的全球出口份额跃升为全球最大柴油出口地区。今年2月美以联合对伊朗打击后，霍尔木兹海峡通行受阻，科威特、阿联酋和伊拉克被迫大幅削减出口，胡塞武装袭击亦压缩了沙特阿美红海炼厂的出口；乌克兰对俄炼厂的无人机打击持续奏效，几乎使俄罗斯的出口陷于停滞。西方大型石油公司已近三十年未新建炼厂，2015年以来美国和欧洲已有逾十家炼厂相继关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海外炼能受限与欧美炼厂持续关闭叠加，推动美国柴油零售价创历史新高，并促使国会层面讨论柴油出口禁令。</w:t>
      </w:r>
    </w:p>
    <w:p>
      <w:pPr>
        <w:ind w:firstLine="420"/>
      </w:pPr>
      <w:r>
        <w:rPr>
          <w:rFonts w:ascii="微软雅黑" w:hAnsi="微软雅黑" w:eastAsia="微软雅黑" w:cs="微软雅黑"/>
        </w:rPr>
        <w:t>来源：</w:t>
      </w:r>
      <w:hyperlink w:anchor="source-4144">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5. 天然气公司完成全国“迎峰度夏”保供</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天然气公司宣布圆满完成全国范围“迎峰度夏”保供任务。7月至8月期间，公司发挥“全国一张网”资源调配优势，优化气源流向，精准匹配市场需求，并采取陆海联动、分类保供的差异化运营模式，统筹内陆LNG代加工与沿海接收站资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迎峰度夏”期间，公司累计向广东供应发电用气2.5亿立方米，单日供气峰值达1320万立方米；同时在LNG市场推行陆海联动、分类保供的差异化运营模式，统筹内陆LNG代加工与沿海接收站资源。此外，石化LNG首次应用于航天领域，助力长征十号乙火箭回收任务，形成“陆海空”多元加注新格局；公司还打造储气、船气、易气等产品矩阵，利用接收站、管道等窗口期开展增值业务。</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依托“全国一张网”调度与陆海联动机制，实现天然气及LNG在多场景下的稳定供应。</w:t>
      </w:r>
    </w:p>
    <w:p>
      <w:pPr>
        <w:ind w:firstLine="420"/>
      </w:pPr>
      <w:r>
        <w:rPr>
          <w:rFonts w:ascii="微软雅黑" w:hAnsi="微软雅黑" w:eastAsia="微软雅黑" w:cs="微软雅黑"/>
        </w:rPr>
        <w:t>来源：</w:t>
      </w:r>
      <w:hyperlink w:anchor="source-4136">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6. 国际原子能机构：俄库尔斯克核电站冷却塔遭无人机击中</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国际原子能机构9月18日表示，获悉俄罗斯库尔斯克核电站一个反应堆机组的冷却塔于17日被无人机击中。据称事发时机组正在运行，其运行状态未受影响，也未发生火灾。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际原子能机构称，据报告冷却塔遭无人机击中时，相关反应堆机组处于运行状态；机构方面表示机组的运行未受影响，现场也未发生火灾。机构未在通报中给出冷却塔受损程度或机组具体类型等细节。该事件发生在9月17日，由国际原子能机构于9月18日对外发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国际原子能机构总干事格罗西表示，针对核设施的任何袭击都是不可接受的，并重申各方应保持最大限度的军事克制，以防范核事故风险。</w:t>
      </w:r>
    </w:p>
    <w:p>
      <w:pPr>
        <w:ind w:firstLine="420"/>
      </w:pPr>
      <w:r>
        <w:rPr>
          <w:rFonts w:ascii="微软雅黑" w:hAnsi="微软雅黑" w:eastAsia="微软雅黑" w:cs="微软雅黑"/>
        </w:rPr>
        <w:t>来源：</w:t>
      </w:r>
      <w:hyperlink w:anchor="source-4255">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7. 欧洲冬季批发电价同比上涨逾60%</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德国明年1月批发电价已升至每兆瓦时180欧元以上，同比上涨逾60%；欧洲天然气基准价格升至每兆瓦时81欧元，同比上涨150%，市场机构对电价进一步上行发出警告。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欧洲天然气基准价格已升至每兆瓦时81欧元，同比上涨150%，高于欧洲央行设定的“逆风情景”水平。德国明年1月批发电价已升至每兆瓦时180欧元以上，较一年前上涨逾60%。Northlander Commodity Advisors预计，若冬季偏冷且中东供应仍受限制，欧洲批发电价可能在当前基础上再上涨最多50%。机构杰富瑞分析师预计，RWE、Engie和EDP Renewables等发电企业明年盈利可能比目前市场预期高约10%。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发电企业盈利预期被上调，反映批发电价走高对其收入端的支撑。</w:t>
      </w:r>
    </w:p>
    <w:p>
      <w:pPr>
        <w:ind w:firstLine="420"/>
      </w:pPr>
      <w:r>
        <w:rPr>
          <w:rFonts w:ascii="微软雅黑" w:hAnsi="微软雅黑" w:eastAsia="微软雅黑" w:cs="微软雅黑"/>
        </w:rPr>
        <w:t>来源：</w:t>
      </w:r>
      <w:hyperlink w:anchor="source-4262">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8. 亿纬锂能锁定2027—2031年206GWh电池供应协议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亿纬锂能子公司与Fluence签署2027—2031年期间206吉瓦时电池供应协议，首年锁定16吉瓦时交付量；机构认为公司在固态电池量产节奏中占据先发优势。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亿纬锂能子公司与Fluence签署2027—2031年206GWh电池供应协议，首年锁定16GWh交付量。8月国内动力电池装车量79.0GWh，同比增长26.3%，磷酸铁锂占比达85.6%。《电子信息制造业发展“十五五”规划》明确加码高安全锂电池、高比能固态电池、钠电池研发与产业化。机构研报认为亿纬锂能凭借技术储备和国际大客户绑定能力，在固态电池量产节奏中占据先发优势，订单可见度提升将强化盈利确定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锁定长周期大额订单提升订单可见度，被机构视为盈利确定性的支撑。</w:t>
      </w:r>
    </w:p>
    <w:p>
      <w:pPr>
        <w:ind w:firstLine="420"/>
      </w:pPr>
      <w:r>
        <w:rPr>
          <w:rFonts w:ascii="微软雅黑" w:hAnsi="微软雅黑" w:eastAsia="微软雅黑" w:cs="微软雅黑"/>
        </w:rPr>
        <w:t>来源：</w:t>
      </w:r>
      <w:hyperlink w:anchor="source-4336">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9. 丹麦启用欧盟首个规模化海底碳封存项目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9月18日，丹麦在北海启用“绿沙”碳捕集与封存设施，将二氧化碳注入海底储层。该项目由英力士集团牵头，是欧盟境内首个规模化封存项目，第一阶段商业运营每年最多封存40万吨二氧化碳。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绿沙”项目封存点位于距丹麦西海岸约250公里的废弃油田尼尼韦斯特下方海底，深达海床之下约1800米。二氧化碳主要来自丹麦境内生物甲烷工厂，经液化后由卡车运至埃斯比约港专用码头，再由欧盟首艘专用二氧化碳运输船运往海上。封存能力计划到2030年扩大至每年400万至800万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欧盟能源事务委员丹·约恩森表示，“绿沙”项目可使欧盟在保障生产、投资和就业秩序的同时，持续向低碳未来转型。</w:t>
      </w:r>
    </w:p>
    <w:p>
      <w:pPr>
        <w:ind w:firstLine="420"/>
      </w:pPr>
      <w:r>
        <w:rPr>
          <w:rFonts w:ascii="微软雅黑" w:hAnsi="微软雅黑" w:eastAsia="微软雅黑" w:cs="微软雅黑"/>
        </w:rPr>
        <w:t>来源：</w:t>
      </w:r>
      <w:hyperlink w:anchor="source-4270">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10. 马斯克特斯拉光伏工厂获德州学区委税收优惠</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当地时间9月15日，德州拉马尔联合独立学区(Lamar CISD)董事会全票通过针对特斯拉“Crystal Sun”项目的税收优惠协议。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优惠周期为2029年至2038年共十年，采用“应税价值限制”机制降低符合条件资产的财产税计算基数。文章另项报道显示，特斯拉设备清单覆盖硅锭制备、硅片切割、电池镀膜、金属化、丝网印刷、电池测试及自动化物流和洁净厂房配套，地面光伏技术路线锁定TOPCon，计划从中国设备厂商采购约29亿美元（约200亿元人民币）的电池和组件生产设备，计划2026年秋季前交付。</w:t>
      </w:r>
    </w:p>
    <w:p>
      <w:pPr>
        <w:ind w:firstLine="420"/>
      </w:pPr>
      <w:r>
        <w:rPr>
          <w:rFonts w:ascii="微软雅黑" w:hAnsi="微软雅黑" w:eastAsia="微软雅黑" w:cs="微软雅黑"/>
        </w:rPr>
        <w:t>来源：</w:t>
      </w:r>
      <w:hyperlink w:anchor="source-4214">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4177">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11. 特朗普表态“不会容忍阻碍AI发展”，AI政策立场再强化</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美国总统特朗普在Truth Social发文称，不会容忍任何阻碍或扼杀AI产业增长的行为，并将“珍视、帮助并守护”该产业的发展；同日表述美国不能在与中国的科技竞赛中落败。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特朗普称，AI产业唯一的“护栏”是一位“强大且聪明”的总统。报道同时援引民调显示，美国民众普遍反对在其社区建设支撑AI运行的高耗能数据中心；前Anthropic研究人员Jacob Coxon公开表示，AI研发者“真诚地相信该技术可能在十年内终结人类”。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总统公开表态为AI产业定调，强调行政保护与对华竞争并存，与数据中心选址社区阻力、AI安全担忧形成张力。</w:t>
      </w:r>
    </w:p>
    <w:p>
      <w:pPr>
        <w:ind w:firstLine="420"/>
      </w:pPr>
      <w:r>
        <w:rPr>
          <w:rFonts w:ascii="微软雅黑" w:hAnsi="微软雅黑" w:eastAsia="微软雅黑" w:cs="微软雅黑"/>
        </w:rPr>
        <w:t>来源：</w:t>
      </w:r>
      <w:hyperlink w:anchor="source-4149">
        <w:r>
          <w:rPr>
            <w:rFonts w:ascii="微软雅黑" w:hAnsi="微软雅黑" w:eastAsia="微软雅黑" w:cs="微软雅黑"/>
            <w:color w:val="087E89"/>
          </w:rPr>
          <w:t>16</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三部门联合要求产地煤矿复产并释放储备产能</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发改委、国家能源局、矿山安监局联合发文，要求产地煤矿复产并释放储备产能。山西省发布晋能源煤技发〔2026〕136号红头文件，规定自9月起评估合格的煤矿月度产能允许超产。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件由发改委、国家能源局、矿山安监局三部门联合下发，聚焦产地煤矿复产和储备产能释放。山西省配套出台晋能源煤技发〔2026〕136号文件，明确从9月起评估合格的煤矿月度产能允许超产。报道同时提到政策已传导至期货与现货端：焦煤期货跌停，蒙煤流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政策落地后焦煤期货跌停，蒙煤出现流拍，反映市场对供应释放的预期。</w:t>
      </w:r>
    </w:p>
    <w:p>
      <w:pPr>
        <w:ind w:firstLine="420"/>
      </w:pPr>
      <w:r>
        <w:rPr>
          <w:rFonts w:ascii="微软雅黑" w:hAnsi="微软雅黑" w:eastAsia="微软雅黑" w:cs="微软雅黑"/>
        </w:rPr>
        <w:t>来源：</w:t>
      </w:r>
      <w:hyperlink w:anchor="source-4224">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13. 中国石油首台液力透平直驱泵在大庆油田投运</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中国石油集团首台液力透平直驱泵在大庆油田徐深9天然气净化厂三期工程投入运行。该技术将高压富胺液的压力能直接转化为泵送动力，用于高含碳天然气净化处理。</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设备应用于大庆油田徐深9天然气净化厂三期工程，将高压富胺液压力能直接转化为泵送动力，简化设备结构并减少运行故障点位。该装置综合能耗下降30%以上，年节约燃料天然气400万立方米。来源称该技术为高含碳天然气净化处理提供节能降碳新路径，并提高系统运行的可靠性与安全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装置综合能耗下降30%以上，年节约燃料天然气400万立方米，可为高含碳天然气净化处理提供节能降碳新路径，并提升系统可靠性与安全性。</w:t>
      </w:r>
    </w:p>
    <w:p>
      <w:pPr>
        <w:ind w:firstLine="420"/>
      </w:pPr>
      <w:r>
        <w:rPr>
          <w:rFonts w:ascii="微软雅黑" w:hAnsi="微软雅黑" w:eastAsia="微软雅黑" w:cs="微软雅黑"/>
        </w:rPr>
        <w:t>来源：</w:t>
      </w:r>
      <w:hyperlink w:anchor="source-4208">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14. 山西非常规天然气前8月产量创历史同期新高</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山西省今年前8个月非常规天然气累计产量达133.2亿立方米，创历史同期新高；其中8月当月产量16.8亿立方米，同比增长7.7%。</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山西省非常规天然气预测总资源量约20万亿立方米，占全国天然气预测资源总量的8%。"十四五"期间，山西累计建成6个10亿立方米级大型气田，包括全国最大中浅层煤层气田、最大深部煤层气田及全省首个大型整装致密气田。当地提出力争到"十五五"末全省非常规天然气年产量突破300亿立方米。</w:t>
      </w:r>
    </w:p>
    <w:p>
      <w:pPr>
        <w:ind w:firstLine="420"/>
      </w:pPr>
      <w:r>
        <w:rPr>
          <w:rFonts w:ascii="微软雅黑" w:hAnsi="微软雅黑" w:eastAsia="微软雅黑" w:cs="微软雅黑"/>
        </w:rPr>
        <w:t>来源：</w:t>
      </w:r>
      <w:hyperlink w:anchor="source-4234">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15. 山西允许合格煤矿小幅超产消化剩余核定产能</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山西省能源局、山西省应急管理厅、国家矿山安全监察局山西局联合印发晋能源煤技发〔2026〕136号文件，开展煤矿稳产稳供安全评估。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件落实国家发改办能源〔2026〕666号文件要求，旨在保障煤炭安全稳产稳供、增加供应、满足社会用能需求。评估合格煤矿在2026年12月底前剩余月份单月产量不得高于设计（核定）产能的1/12组织生产，前提是守住安全生产底线、全部隐患完成治理、2026年超能力生产违法行为已完成行政处罚处置。评估对象为山西省内实际产量已超过设计（核定）生产能力的煤矿，煤与瓦斯突出煤矿不纳入本次评估；10月、11月实际产量将超核定能力的煤矿，各市须提前组织评估上报。</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文件允许在2026年12月底前剩余月份内，合格煤矿将单月产量用至设计（核定）产能的1/12，预期可在守住安全底线前提下增加山西省煤炭供应。</w:t>
      </w:r>
    </w:p>
    <w:p>
      <w:pPr>
        <w:ind w:firstLine="420"/>
      </w:pPr>
      <w:r>
        <w:rPr>
          <w:rFonts w:ascii="微软雅黑" w:hAnsi="微软雅黑" w:eastAsia="微软雅黑" w:cs="微软雅黑"/>
        </w:rPr>
        <w:t>来源：</w:t>
      </w:r>
      <w:hyperlink w:anchor="source-4248">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16. 三部门联合部署煤炭安全稳产保供工作</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国家发展改革委、国家能源局、国家矿山安监局联合印发通知，部署煤炭稳产保供工作，要求各产煤省（区）和煤炭企业在确保安全前提下，做好煤炭稳产保供。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提出推进煤矿复产达产，加快联合试运转煤矿验收，推动煤炭产量平稳回升；要求抓好电煤中长期合同签订履约，发挥进口补充调剂作用，推进煤炭接续产能建设。有关部门将加强统筹协调，适时释放煤炭产能储备，全力稳定煤炭生产供应，促进市场平稳运行。</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通知要求适时释放煤炭产能储备，并促进市场平稳运行，预期对煤炭供应形成支撑。</w:t>
      </w:r>
    </w:p>
    <w:p>
      <w:pPr>
        <w:ind w:firstLine="420"/>
      </w:pPr>
      <w:r>
        <w:rPr>
          <w:rFonts w:ascii="微软雅黑" w:hAnsi="微软雅黑" w:eastAsia="微软雅黑" w:cs="微软雅黑"/>
        </w:rPr>
        <w:t>来源：</w:t>
      </w:r>
      <w:hyperlink w:anchor="source-4247">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17. 新型电力系统“十五五”规划装机结构图景期演化</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《新型电力系统建设“十五五”规划》提出，到2030年非化石能源发电装机占比达到65%、发电量占比达到50%。国家电网预计“十五五”期间新投产跨区直流15回，跨省区输电能力达到5亿千瓦。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明确非化石能源发电装机与发电量占比目标。国家电网预计“十五五”期间新投产跨区直流15回，跨省区输电能力提升至5亿千瓦，跨区电力互济能力较“十四五”末扩大两倍以上。今夏国家电网经营区用电负荷两度刷新纪录，达12.7亿千瓦，全国用电负荷4次刷新历史极值。</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跨区互济能力规划较“十四五”末扩大两倍以上。</w:t>
      </w:r>
    </w:p>
    <w:p>
      <w:pPr>
        <w:ind w:firstLine="420"/>
      </w:pPr>
      <w:r>
        <w:rPr>
          <w:rFonts w:ascii="微软雅黑" w:hAnsi="微软雅黑" w:eastAsia="微软雅黑" w:cs="微软雅黑"/>
        </w:rPr>
        <w:t>来源：</w:t>
      </w:r>
      <w:hyperlink w:anchor="source-429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18. 宁德时代拟在雅安投建锂盐生产基地</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宁德时代拟在四川雅安投资14亿元，新建锂盐生产基地，规划年产碳酸锂约4万吨、磷酸二氢锂约3万吨，并副产元明粉约13万吨。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建设单位为宁德时代（雅安）新材料科技有限公司，成立于2026年8月20日，注册资本4亿元，由宁德时代全资持股。项目环评由雅安经济技术开发区管理委员会发布第一次公示，环评单位为信息产业电子第十一设计研究院科技工程股份有限公司。项目将购置国际领先的碳酸锂、磷酸二氢锂制造生产装备及配套设备，并建设相应生产厂房与配套附属设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项目仍处环评公示阶段，后续审批、建设和投产时间尚不确定，对锂盐市场供需的实际影响有待观察。</w:t>
      </w:r>
    </w:p>
    <w:p>
      <w:pPr>
        <w:ind w:firstLine="420"/>
      </w:pPr>
      <w:r>
        <w:rPr>
          <w:rFonts w:ascii="微软雅黑" w:hAnsi="微软雅黑" w:eastAsia="微软雅黑" w:cs="微软雅黑"/>
        </w:rPr>
        <w:t>来源：</w:t>
      </w:r>
      <w:hyperlink w:anchor="source-4298">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19. 国家能源局：8月全社会用电量再破万亿，负荷创新高</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国家能源局数据显示，2026年8月全社会用电量为10332亿千瓦时，同比增长1.7%，单月用电量再次突破万亿千瓦时；当月最高用电负荷达15.6亿千瓦，创历史新高。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8月全社会用电量10332亿千瓦时，同比增长1.7%，单月再破万亿。当月最高用电负荷15.6亿千瓦，创历史新高，较上年最大负荷高4969万千瓦；全月有7天最高负荷超过上年最大负荷。1—8月全社会累计用电量71730亿千瓦时，同比增长4.3%。</w:t>
      </w:r>
    </w:p>
    <w:p>
      <w:pPr>
        <w:ind w:firstLine="420"/>
      </w:pPr>
      <w:r>
        <w:rPr>
          <w:rFonts w:ascii="微软雅黑" w:hAnsi="微软雅黑" w:eastAsia="微软雅黑" w:cs="微软雅黑"/>
        </w:rPr>
        <w:t>来源：</w:t>
      </w:r>
      <w:hyperlink w:anchor="source-462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418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4192">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20. 我国绿色甲醇产能达38万吨/年，成本与产量仍是瓶颈</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报道援引行业人士披露，截至2025年底我国已建成绿色燃料总产能约800万吨/年油当量，其中绿色甲醇产能达38万吨/年。</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2025年底，我国已建成绿色燃料总产能约800万吨/年油当量，其中绿色甲醇产能达38万吨/年。业内人士指出，当前绿色甲醇生产成本约每吨4000元，售价可达每吨1000美元左右；产量不足且成本高企仍被认为是制约应用的主要原因。</w:t>
      </w:r>
    </w:p>
    <w:p>
      <w:pPr>
        <w:ind w:firstLine="420"/>
      </w:pPr>
      <w:r>
        <w:rPr>
          <w:rFonts w:ascii="微软雅黑" w:hAnsi="微软雅黑" w:eastAsia="微软雅黑" w:cs="微软雅黑"/>
        </w:rPr>
        <w:t>来源：</w:t>
      </w:r>
      <w:hyperlink w:anchor="source-4299">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美方对伊朗所列条件的回应以及海峡通航状态的恢复时点。 </w:t>
      </w:r>
      <w:hyperlink w:anchor="source-44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435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管道何时恢复运行及霍尔木兹海峡通行能否恢复正常尚未明确。 </w:t>
      </w:r>
      <w:hyperlink w:anchor="source-427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城乡居民生活用电1883亿千瓦时，同比下降4.0%，原因被归结为台风、强降雨较2025年同期增多致空调用电减少，后续气候因素仍待观察。 </w:t>
      </w:r>
      <w:hyperlink w:anchor="source-462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418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4192">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中东冲突导致霍尔木兹海峡关闭、卡塔尔供应受阻的持续性以及冬季气温偏冷与否，将影响欧洲批发电价是否进一步上行及上行幅度。 </w:t>
      </w:r>
      <w:hyperlink w:anchor="source-426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事件对冷却塔结构完整性及机组安全的实际影响尚待国际原子能机构进一步核查，相关方对袭击方的认定及军事响应亦待观察。 </w:t>
      </w:r>
      <w:hyperlink w:anchor="source-4255">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规划目标为2030年节点，具体工程进度与投资节奏待后续披露。 </w:t>
      </w:r>
      <w:hyperlink w:anchor="source-4297">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243 篇文章，形成 147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pStyle w:val="Heading2"/>
      </w:pPr>
      <w:r>
        <w:rPr>
          <w:rFonts w:ascii="微软雅黑" w:hAnsi="微软雅黑" w:eastAsia="微软雅黑" w:cs="微软雅黑"/>
        </w:rPr>
        <w:t>资料来源</w:t>
      </w:r>
    </w:p>
    <w:p>
      <w:pPr>
        <w:spacing w:after="0" w:line="20" w:lineRule="exact"/>
      </w:pPr>
      <w:bookmarkStart w:id="1" w:name="source-4415"/>
      <w:bookmarkEnd w:id="1" w:name="source-4415"/>
    </w:p>
    <w:p>
      <w:pPr>
        <w:pStyle w:val="ListBullet"/>
      </w:pPr>
      <w:r>
        <w:rPr>
          <w:rFonts w:ascii="微软雅黑" w:hAnsi="微软雅黑" w:eastAsia="微软雅黑" w:cs="微软雅黑"/>
        </w:rPr>
        <w:t>[1] Vanguard News｜</w:t>
      </w:r>
      <w:hyperlink r:id="rId11">
        <w:r>
          <w:rPr>
            <w:rFonts w:ascii="微软雅黑" w:hAnsi="微软雅黑" w:eastAsia="微软雅黑" w:cs="微软雅黑"/>
            <w:color w:val="087E89"/>
          </w:rPr>
          <w:t>伊朗称已向美国传达重开霍尔木兹海峡的条件</w:t>
        </w:r>
      </w:hyperlink>
      <w:r>
        <w:rPr>
          <w:rFonts w:ascii="微软雅黑" w:hAnsi="微软雅黑" w:eastAsia="微软雅黑" w:cs="微软雅黑"/>
        </w:rPr>
      </w:r>
    </w:p>
    <w:p>
      <w:pPr>
        <w:spacing w:after="0" w:line="20" w:lineRule="exact"/>
      </w:pPr>
      <w:bookmarkStart w:id="2" w:name="source-4350"/>
      <w:bookmarkEnd w:id="2" w:name="source-4350"/>
    </w:p>
    <w:p>
      <w:pPr>
        <w:pStyle w:val="ListBullet"/>
      </w:pPr>
      <w:r>
        <w:rPr>
          <w:rFonts w:ascii="微软雅黑" w:hAnsi="微软雅黑" w:eastAsia="微软雅黑" w:cs="微软雅黑"/>
        </w:rPr>
        <w:t>[2] Anadolu Agency｜</w:t>
      </w:r>
      <w:hyperlink r:id="rId12">
        <w:r>
          <w:rPr>
            <w:rFonts w:ascii="微软雅黑" w:hAnsi="微软雅黑" w:eastAsia="微软雅黑" w:cs="微软雅黑"/>
            <w:color w:val="087E89"/>
          </w:rPr>
          <w:t>伊朗表示霍尔木兹海峡将保持关闭，直到美国履行承诺</w:t>
        </w:r>
      </w:hyperlink>
      <w:r>
        <w:rPr>
          <w:rFonts w:ascii="微软雅黑" w:hAnsi="微软雅黑" w:eastAsia="微软雅黑" w:cs="微软雅黑"/>
        </w:rPr>
      </w:r>
    </w:p>
    <w:p>
      <w:pPr>
        <w:spacing w:after="0" w:line="20" w:lineRule="exact"/>
      </w:pPr>
      <w:bookmarkStart w:id="3" w:name="source-4271"/>
      <w:bookmarkEnd w:id="3" w:name="source-4271"/>
    </w:p>
    <w:p>
      <w:pPr>
        <w:pStyle w:val="ListBullet"/>
      </w:pPr>
      <w:r>
        <w:rPr>
          <w:rFonts w:ascii="微软雅黑" w:hAnsi="微软雅黑" w:eastAsia="微软雅黑" w:cs="微软雅黑"/>
        </w:rPr>
        <w:t>[3] 中国能源新闻网｜</w:t>
      </w:r>
      <w:hyperlink r:id="rId13">
        <w:r>
          <w:rPr>
            <w:rFonts w:ascii="微软雅黑" w:hAnsi="微软雅黑" w:eastAsia="微软雅黑" w:cs="微软雅黑"/>
            <w:color w:val="087E89"/>
          </w:rPr>
          <w:t>沙特石油出口“双通道”承压 全球能源市场再起波澜</w:t>
        </w:r>
      </w:hyperlink>
      <w:r>
        <w:rPr>
          <w:rFonts w:ascii="微软雅黑" w:hAnsi="微软雅黑" w:eastAsia="微软雅黑" w:cs="微软雅黑"/>
        </w:rPr>
      </w:r>
    </w:p>
    <w:p>
      <w:pPr>
        <w:spacing w:after="0" w:line="20" w:lineRule="exact"/>
      </w:pPr>
      <w:bookmarkStart w:id="4" w:name="source-4623"/>
      <w:bookmarkEnd w:id="4" w:name="source-4623"/>
    </w:p>
    <w:p>
      <w:pPr>
        <w:pStyle w:val="ListBullet"/>
      </w:pPr>
      <w:r>
        <w:rPr>
          <w:rFonts w:ascii="微软雅黑" w:hAnsi="微软雅黑" w:eastAsia="微软雅黑" w:cs="微软雅黑"/>
        </w:rPr>
        <w:t>[4] 山西省能源局｜</w:t>
      </w:r>
      <w:hyperlink r:id="rId14">
        <w:r>
          <w:rPr>
            <w:rFonts w:ascii="微软雅黑" w:hAnsi="微软雅黑" w:eastAsia="微软雅黑" w:cs="微软雅黑"/>
            <w:color w:val="087E89"/>
          </w:rPr>
          <w:t>国家能源局：8月份全社会用电量再破万亿</w:t>
        </w:r>
      </w:hyperlink>
      <w:r>
        <w:rPr>
          <w:rFonts w:ascii="微软雅黑" w:hAnsi="微软雅黑" w:eastAsia="微软雅黑" w:cs="微软雅黑"/>
        </w:rPr>
      </w:r>
    </w:p>
    <w:p>
      <w:pPr>
        <w:spacing w:after="0" w:line="20" w:lineRule="exact"/>
      </w:pPr>
      <w:bookmarkStart w:id="5" w:name="source-4184"/>
      <w:bookmarkEnd w:id="5" w:name="source-4184"/>
    </w:p>
    <w:p>
      <w:pPr>
        <w:pStyle w:val="ListBullet"/>
      </w:pPr>
      <w:r>
        <w:rPr>
          <w:rFonts w:ascii="微软雅黑" w:hAnsi="微软雅黑" w:eastAsia="微软雅黑" w:cs="微软雅黑"/>
        </w:rPr>
        <w:t>[5] 中国能源新闻网｜</w:t>
      </w:r>
      <w:hyperlink r:id="rId15">
        <w:r>
          <w:rPr>
            <w:rFonts w:ascii="微软雅黑" w:hAnsi="微软雅黑" w:eastAsia="微软雅黑" w:cs="微软雅黑"/>
            <w:color w:val="087E89"/>
          </w:rPr>
          <w:t>国家能源局：8月份全社会用电量再破万亿</w:t>
        </w:r>
      </w:hyperlink>
      <w:r>
        <w:rPr>
          <w:rFonts w:ascii="微软雅黑" w:hAnsi="微软雅黑" w:eastAsia="微软雅黑" w:cs="微软雅黑"/>
        </w:rPr>
      </w:r>
    </w:p>
    <w:p>
      <w:pPr>
        <w:spacing w:after="0" w:line="20" w:lineRule="exact"/>
      </w:pPr>
      <w:bookmarkStart w:id="6" w:name="source-4192"/>
      <w:bookmarkEnd w:id="6" w:name="source-4192"/>
    </w:p>
    <w:p>
      <w:pPr>
        <w:pStyle w:val="ListBullet"/>
      </w:pPr>
      <w:r>
        <w:rPr>
          <w:rFonts w:ascii="微软雅黑" w:hAnsi="微软雅黑" w:eastAsia="微软雅黑" w:cs="微软雅黑"/>
        </w:rPr>
        <w:t>[6] 央视新闻等｜</w:t>
      </w:r>
      <w:hyperlink r:id="rId16">
        <w:r>
          <w:rPr>
            <w:rFonts w:ascii="微软雅黑" w:hAnsi="微软雅黑" w:eastAsia="微软雅黑" w:cs="微软雅黑"/>
            <w:color w:val="087E89"/>
          </w:rPr>
          <w:t>国家能源局：8月份全社会用电量再破万亿，负荷创历史新高</w:t>
        </w:r>
      </w:hyperlink>
      <w:r>
        <w:rPr>
          <w:rFonts w:ascii="微软雅黑" w:hAnsi="微软雅黑" w:eastAsia="微软雅黑" w:cs="微软雅黑"/>
        </w:rPr>
      </w:r>
    </w:p>
    <w:p>
      <w:pPr>
        <w:spacing w:after="0" w:line="20" w:lineRule="exact"/>
      </w:pPr>
      <w:bookmarkStart w:id="7" w:name="source-4262"/>
      <w:bookmarkEnd w:id="7" w:name="source-4262"/>
    </w:p>
    <w:p>
      <w:pPr>
        <w:pStyle w:val="ListBullet"/>
      </w:pPr>
      <w:r>
        <w:rPr>
          <w:rFonts w:ascii="微软雅黑" w:hAnsi="微软雅黑" w:eastAsia="微软雅黑" w:cs="微软雅黑"/>
        </w:rPr>
        <w:t>[7] SHMET（上海金属网）｜</w:t>
      </w:r>
      <w:hyperlink r:id="rId17">
        <w:r>
          <w:rPr>
            <w:rFonts w:ascii="微软雅黑" w:hAnsi="微软雅黑" w:eastAsia="微软雅黑" w:cs="微软雅黑"/>
            <w:color w:val="087E89"/>
          </w:rPr>
          <w:t>欧洲冬季电价暴涨60%，能源冲击重回通胀主线</w:t>
        </w:r>
      </w:hyperlink>
      <w:r>
        <w:rPr>
          <w:rFonts w:ascii="微软雅黑" w:hAnsi="微软雅黑" w:eastAsia="微软雅黑" w:cs="微软雅黑"/>
        </w:rPr>
      </w:r>
    </w:p>
    <w:p>
      <w:pPr>
        <w:spacing w:after="0" w:line="20" w:lineRule="exact"/>
      </w:pPr>
      <w:bookmarkStart w:id="8" w:name="source-4255"/>
      <w:bookmarkEnd w:id="8" w:name="source-4255"/>
    </w:p>
    <w:p>
      <w:pPr>
        <w:pStyle w:val="ListBullet"/>
      </w:pPr>
      <w:r>
        <w:rPr>
          <w:rFonts w:ascii="微软雅黑" w:hAnsi="微软雅黑" w:eastAsia="微软雅黑" w:cs="微软雅黑"/>
        </w:rPr>
        <w:t>[8] 中国能源新闻网｜</w:t>
      </w:r>
      <w:hyperlink r:id="rId18">
        <w:r>
          <w:rPr>
            <w:rFonts w:ascii="微软雅黑" w:hAnsi="微软雅黑" w:eastAsia="微软雅黑" w:cs="微软雅黑"/>
            <w:color w:val="087E89"/>
          </w:rPr>
          <w:t>国际原子能机构：俄罗斯一核电站冷却塔被无人机击中</w:t>
        </w:r>
      </w:hyperlink>
      <w:r>
        <w:rPr>
          <w:rFonts w:ascii="微软雅黑" w:hAnsi="微软雅黑" w:eastAsia="微软雅黑" w:cs="微软雅黑"/>
        </w:rPr>
      </w:r>
    </w:p>
    <w:p>
      <w:pPr>
        <w:spacing w:after="0" w:line="20" w:lineRule="exact"/>
      </w:pPr>
      <w:bookmarkStart w:id="9" w:name="source-4297"/>
      <w:bookmarkEnd w:id="9" w:name="source-4297"/>
    </w:p>
    <w:p>
      <w:pPr>
        <w:pStyle w:val="ListBullet"/>
      </w:pPr>
      <w:r>
        <w:rPr>
          <w:rFonts w:ascii="微软雅黑" w:hAnsi="微软雅黑" w:eastAsia="微软雅黑" w:cs="微软雅黑"/>
        </w:rPr>
        <w:t>[9] 中国能源新闻网｜</w:t>
      </w:r>
      <w:hyperlink r:id="rId19">
        <w:r>
          <w:rPr>
            <w:rFonts w:ascii="微软雅黑" w:hAnsi="微软雅黑" w:eastAsia="微软雅黑" w:cs="微软雅黑"/>
            <w:color w:val="087E89"/>
          </w:rPr>
          <w:t>国家电网加快构建新型电力系统</w:t>
        </w:r>
      </w:hyperlink>
      <w:r>
        <w:rPr>
          <w:rFonts w:ascii="微软雅黑" w:hAnsi="微软雅黑" w:eastAsia="微软雅黑" w:cs="微软雅黑"/>
        </w:rPr>
      </w:r>
    </w:p>
    <w:p>
      <w:pPr>
        <w:spacing w:after="0" w:line="20" w:lineRule="exact"/>
      </w:pPr>
      <w:bookmarkStart w:id="10" w:name="source-4270"/>
      <w:bookmarkEnd w:id="10" w:name="source-4270"/>
    </w:p>
    <w:p>
      <w:pPr>
        <w:pStyle w:val="ListBullet"/>
      </w:pPr>
      <w:r>
        <w:rPr>
          <w:rFonts w:ascii="微软雅黑" w:hAnsi="微软雅黑" w:eastAsia="微软雅黑" w:cs="微软雅黑"/>
        </w:rPr>
        <w:t>[10] 中国能源新闻网｜</w:t>
      </w:r>
      <w:hyperlink r:id="rId20">
        <w:r>
          <w:rPr>
            <w:rFonts w:ascii="微软雅黑" w:hAnsi="微软雅黑" w:eastAsia="微软雅黑" w:cs="微软雅黑"/>
            <w:color w:val="087E89"/>
          </w:rPr>
          <w:t>欧盟首个规模化碳储存设施在丹麦启用</w:t>
        </w:r>
      </w:hyperlink>
      <w:r>
        <w:rPr>
          <w:rFonts w:ascii="微软雅黑" w:hAnsi="微软雅黑" w:eastAsia="微软雅黑" w:cs="微软雅黑"/>
        </w:rPr>
      </w:r>
    </w:p>
    <w:p>
      <w:pPr>
        <w:spacing w:after="0" w:line="20" w:lineRule="exact"/>
      </w:pPr>
      <w:bookmarkStart w:id="11" w:name="source-4234"/>
      <w:bookmarkEnd w:id="11" w:name="source-4234"/>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山西非常规天然气前8月产量创新高</w:t>
        </w:r>
      </w:hyperlink>
      <w:r>
        <w:rPr>
          <w:rFonts w:ascii="微软雅黑" w:hAnsi="微软雅黑" w:eastAsia="微软雅黑" w:cs="微软雅黑"/>
        </w:rPr>
      </w:r>
    </w:p>
    <w:p>
      <w:pPr>
        <w:spacing w:after="0" w:line="20" w:lineRule="exact"/>
      </w:pPr>
      <w:bookmarkStart w:id="12" w:name="source-4298"/>
      <w:bookmarkEnd w:id="12" w:name="source-4298"/>
    </w:p>
    <w:p>
      <w:pPr>
        <w:pStyle w:val="ListBullet"/>
      </w:pPr>
      <w:r>
        <w:rPr>
          <w:rFonts w:ascii="微软雅黑" w:hAnsi="微软雅黑" w:eastAsia="微软雅黑" w:cs="微软雅黑"/>
        </w:rPr>
        <w:t>[12] 中国能源新闻网｜</w:t>
      </w:r>
      <w:hyperlink r:id="rId22">
        <w:r>
          <w:rPr>
            <w:rFonts w:ascii="微软雅黑" w:hAnsi="微软雅黑" w:eastAsia="微软雅黑" w:cs="微软雅黑"/>
            <w:color w:val="087E89"/>
          </w:rPr>
          <w:t>宁德时代拟在雅安新建4万吨碳酸锂年产能</w:t>
        </w:r>
      </w:hyperlink>
      <w:r>
        <w:rPr>
          <w:rFonts w:ascii="微软雅黑" w:hAnsi="微软雅黑" w:eastAsia="微软雅黑" w:cs="微软雅黑"/>
        </w:rPr>
      </w:r>
    </w:p>
    <w:p>
      <w:pPr>
        <w:spacing w:after="0" w:line="20" w:lineRule="exact"/>
      </w:pPr>
      <w:bookmarkStart w:id="13" w:name="source-4248"/>
      <w:bookmarkEnd w:id="13" w:name="source-4248"/>
    </w:p>
    <w:p>
      <w:pPr>
        <w:pStyle w:val="ListBullet"/>
      </w:pPr>
      <w:r>
        <w:rPr>
          <w:rFonts w:ascii="微软雅黑" w:hAnsi="微软雅黑" w:eastAsia="微软雅黑" w:cs="微软雅黑"/>
        </w:rPr>
        <w:t>[13] 中国能源网｜</w:t>
      </w:r>
      <w:hyperlink r:id="rId23">
        <w:r>
          <w:rPr>
            <w:rFonts w:ascii="微软雅黑" w:hAnsi="微软雅黑" w:eastAsia="微软雅黑" w:cs="微软雅黑"/>
            <w:color w:val="087E89"/>
          </w:rPr>
          <w:t>允许小幅超产!山西合格煤矿请“把月度核定产能用满”</w:t>
        </w:r>
      </w:hyperlink>
      <w:r>
        <w:rPr>
          <w:rFonts w:ascii="微软雅黑" w:hAnsi="微软雅黑" w:eastAsia="微软雅黑" w:cs="微软雅黑"/>
        </w:rPr>
      </w:r>
    </w:p>
    <w:p>
      <w:pPr>
        <w:spacing w:after="0" w:line="20" w:lineRule="exact"/>
      </w:pPr>
      <w:bookmarkStart w:id="14" w:name="source-4224"/>
      <w:bookmarkEnd w:id="14" w:name="source-4224"/>
    </w:p>
    <w:p>
      <w:pPr>
        <w:pStyle w:val="ListBullet"/>
      </w:pPr>
      <w:r>
        <w:rPr>
          <w:rFonts w:ascii="微软雅黑" w:hAnsi="微软雅黑" w:eastAsia="微软雅黑" w:cs="微软雅黑"/>
        </w:rPr>
        <w:t>[14] 中国能源网｜</w:t>
      </w:r>
      <w:hyperlink r:id="rId24">
        <w:r>
          <w:rPr>
            <w:rFonts w:ascii="微软雅黑" w:hAnsi="微软雅黑" w:eastAsia="微软雅黑" w:cs="微软雅黑"/>
            <w:color w:val="087E89"/>
          </w:rPr>
          <w:t>出大事了!煤市风向突变!煤价能“管不住”吗?</w:t>
        </w:r>
      </w:hyperlink>
      <w:r>
        <w:rPr>
          <w:rFonts w:ascii="微软雅黑" w:hAnsi="微软雅黑" w:eastAsia="微软雅黑" w:cs="微软雅黑"/>
        </w:rPr>
      </w:r>
    </w:p>
    <w:p>
      <w:pPr>
        <w:spacing w:after="0" w:line="20" w:lineRule="exact"/>
      </w:pPr>
      <w:bookmarkStart w:id="15" w:name="source-4208"/>
      <w:bookmarkEnd w:id="15" w:name="source-4208"/>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中国石油集团首台液力透平直驱泵投运</w:t>
        </w:r>
      </w:hyperlink>
      <w:r>
        <w:rPr>
          <w:rFonts w:ascii="微软雅黑" w:hAnsi="微软雅黑" w:eastAsia="微软雅黑" w:cs="微软雅黑"/>
        </w:rPr>
      </w:r>
    </w:p>
    <w:p>
      <w:pPr>
        <w:spacing w:after="0" w:line="20" w:lineRule="exact"/>
      </w:pPr>
      <w:bookmarkStart w:id="16" w:name="source-4149"/>
      <w:bookmarkEnd w:id="16" w:name="source-4149"/>
    </w:p>
    <w:p>
      <w:pPr>
        <w:pStyle w:val="ListBullet"/>
      </w:pPr>
      <w:r>
        <w:rPr>
          <w:rFonts w:ascii="微软雅黑" w:hAnsi="微软雅黑" w:eastAsia="微软雅黑" w:cs="微软雅黑"/>
        </w:rPr>
        <w:t>[16] Vanguard News｜</w:t>
      </w:r>
      <w:hyperlink r:id="rId26">
        <w:r>
          <w:rPr>
            <w:rFonts w:ascii="微软雅黑" w:hAnsi="微软雅黑" w:eastAsia="微软雅黑" w:cs="微软雅黑"/>
            <w:color w:val="087E89"/>
          </w:rPr>
          <w:t>我不会容忍阻碍人工智能发展的企图——特朗普</w:t>
        </w:r>
      </w:hyperlink>
      <w:r>
        <w:rPr>
          <w:rFonts w:ascii="微软雅黑" w:hAnsi="微软雅黑" w:eastAsia="微软雅黑" w:cs="微软雅黑"/>
        </w:rPr>
      </w:r>
    </w:p>
    <w:p>
      <w:pPr>
        <w:spacing w:after="0" w:line="20" w:lineRule="exact"/>
      </w:pPr>
      <w:bookmarkStart w:id="17" w:name="source-4136"/>
      <w:bookmarkEnd w:id="17" w:name="source-4136"/>
    </w:p>
    <w:p>
      <w:pPr>
        <w:pStyle w:val="ListBullet"/>
      </w:pPr>
      <w:r>
        <w:rPr>
          <w:rFonts w:ascii="微软雅黑" w:hAnsi="微软雅黑" w:eastAsia="微软雅黑" w:cs="微软雅黑"/>
        </w:rPr>
        <w:t>[17] 上海石油天然气交易中心｜</w:t>
      </w:r>
      <w:hyperlink r:id="rId27">
        <w:r>
          <w:rPr>
            <w:rFonts w:ascii="微软雅黑" w:hAnsi="微软雅黑" w:eastAsia="微软雅黑" w:cs="微软雅黑"/>
            <w:color w:val="087E89"/>
          </w:rPr>
          <w:t>统筹用好“全国一张网”优化气源流向</w:t>
        </w:r>
      </w:hyperlink>
      <w:r>
        <w:rPr>
          <w:rFonts w:ascii="微软雅黑" w:hAnsi="微软雅黑" w:eastAsia="微软雅黑" w:cs="微软雅黑"/>
        </w:rPr>
      </w:r>
    </w:p>
    <w:p>
      <w:pPr>
        <w:spacing w:after="0" w:line="20" w:lineRule="exact"/>
      </w:pPr>
      <w:bookmarkStart w:id="18" w:name="source-4144"/>
      <w:bookmarkEnd w:id="18" w:name="source-4144"/>
    </w:p>
    <w:p>
      <w:pPr>
        <w:pStyle w:val="ListBullet"/>
      </w:pPr>
      <w:r>
        <w:rPr>
          <w:rFonts w:ascii="微软雅黑" w:hAnsi="微软雅黑" w:eastAsia="微软雅黑" w:cs="微软雅黑"/>
        </w:rPr>
        <w:t>[18] 智通财经｜</w:t>
      </w:r>
      <w:hyperlink r:id="rId28">
        <w:r>
          <w:rPr>
            <w:rFonts w:ascii="微软雅黑" w:hAnsi="微软雅黑" w:eastAsia="微软雅黑" w:cs="微软雅黑"/>
            <w:color w:val="087E89"/>
          </w:rPr>
          <w:t>“炼油”成为全球能源瓶颈，美国距离“出口禁令”不远了？</w:t>
        </w:r>
      </w:hyperlink>
      <w:r>
        <w:rPr>
          <w:rFonts w:ascii="微软雅黑" w:hAnsi="微软雅黑" w:eastAsia="微软雅黑" w:cs="微软雅黑"/>
        </w:rPr>
      </w:r>
    </w:p>
    <w:p>
      <w:pPr>
        <w:spacing w:after="0" w:line="20" w:lineRule="exact"/>
      </w:pPr>
      <w:bookmarkStart w:id="19" w:name="source-4256"/>
      <w:bookmarkEnd w:id="19" w:name="source-4256"/>
    </w:p>
    <w:p>
      <w:pPr>
        <w:pStyle w:val="ListBullet"/>
      </w:pPr>
      <w:r>
        <w:rPr>
          <w:rFonts w:ascii="微软雅黑" w:hAnsi="微软雅黑" w:eastAsia="微软雅黑" w:cs="微软雅黑"/>
        </w:rPr>
        <w:t>[19] 中国能源新闻网｜</w:t>
      </w:r>
      <w:hyperlink r:id="rId29">
        <w:r>
          <w:rPr>
            <w:rFonts w:ascii="微软雅黑" w:hAnsi="微软雅黑" w:eastAsia="微软雅黑" w:cs="微软雅黑"/>
            <w:color w:val="087E89"/>
          </w:rPr>
          <w:t>商务部回应美对进口俄石油或天然气第三国加征关税</w:t>
        </w:r>
      </w:hyperlink>
      <w:r>
        <w:rPr>
          <w:rFonts w:ascii="微软雅黑" w:hAnsi="微软雅黑" w:eastAsia="微软雅黑" w:cs="微软雅黑"/>
        </w:rPr>
      </w:r>
    </w:p>
    <w:p>
      <w:pPr>
        <w:spacing w:after="0" w:line="20" w:lineRule="exact"/>
      </w:pPr>
      <w:bookmarkStart w:id="20" w:name="source-4197"/>
      <w:bookmarkEnd w:id="20" w:name="source-4197"/>
    </w:p>
    <w:p>
      <w:pPr>
        <w:pStyle w:val="ListBullet"/>
      </w:pPr>
      <w:r>
        <w:rPr>
          <w:rFonts w:ascii="微软雅黑" w:hAnsi="微软雅黑" w:eastAsia="微软雅黑" w:cs="微软雅黑"/>
        </w:rPr>
        <w:t>[20] 中国能源网｜</w:t>
      </w:r>
      <w:hyperlink r:id="rId30">
        <w:r>
          <w:rPr>
            <w:rFonts w:ascii="微软雅黑" w:hAnsi="微软雅黑" w:eastAsia="微软雅黑" w:cs="微软雅黑"/>
            <w:color w:val="087E89"/>
          </w:rPr>
          <w:t>商务部回应美对进口俄石油或天然气第三国加征关税</w:t>
        </w:r>
      </w:hyperlink>
      <w:r>
        <w:rPr>
          <w:rFonts w:ascii="微软雅黑" w:hAnsi="微软雅黑" w:eastAsia="微软雅黑" w:cs="微软雅黑"/>
        </w:rPr>
      </w:r>
    </w:p>
    <w:p>
      <w:pPr>
        <w:spacing w:after="0" w:line="20" w:lineRule="exact"/>
      </w:pPr>
      <w:bookmarkStart w:id="21" w:name="source-4299"/>
      <w:bookmarkEnd w:id="21" w:name="source-4299"/>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绿色甲醇有了“中国标尺”</w:t>
        </w:r>
      </w:hyperlink>
      <w:r>
        <w:rPr>
          <w:rFonts w:ascii="微软雅黑" w:hAnsi="微软雅黑" w:eastAsia="微软雅黑" w:cs="微软雅黑"/>
        </w:rPr>
      </w:r>
    </w:p>
    <w:p>
      <w:pPr>
        <w:spacing w:after="0" w:line="20" w:lineRule="exact"/>
      </w:pPr>
      <w:bookmarkStart w:id="22" w:name="source-4214"/>
      <w:bookmarkEnd w:id="22" w:name="source-4214"/>
    </w:p>
    <w:p>
      <w:pPr>
        <w:pStyle w:val="ListBullet"/>
      </w:pPr>
      <w:r>
        <w:rPr>
          <w:rFonts w:ascii="微软雅黑" w:hAnsi="微软雅黑" w:eastAsia="微软雅黑" w:cs="微软雅黑"/>
        </w:rPr>
        <w:t>[22] Solarbe(光伏网)｜</w:t>
      </w:r>
      <w:hyperlink r:id="rId32">
        <w:r>
          <w:rPr>
            <w:rFonts w:ascii="微软雅黑" w:hAnsi="微软雅黑" w:eastAsia="微软雅黑" w:cs="微软雅黑"/>
            <w:color w:val="087E89"/>
          </w:rPr>
          <w:t>马斯克特斯拉光伏工厂又过一关！</w:t>
        </w:r>
      </w:hyperlink>
      <w:r>
        <w:rPr>
          <w:rFonts w:ascii="微软雅黑" w:hAnsi="微软雅黑" w:eastAsia="微软雅黑" w:cs="微软雅黑"/>
        </w:rPr>
      </w:r>
    </w:p>
    <w:p>
      <w:pPr>
        <w:spacing w:after="0" w:line="20" w:lineRule="exact"/>
      </w:pPr>
      <w:bookmarkStart w:id="23" w:name="source-4177"/>
      <w:bookmarkEnd w:id="23" w:name="source-4177"/>
    </w:p>
    <w:p>
      <w:pPr>
        <w:pStyle w:val="ListBullet"/>
      </w:pPr>
      <w:r>
        <w:rPr>
          <w:rFonts w:ascii="微软雅黑" w:hAnsi="微软雅黑" w:eastAsia="微软雅黑" w:cs="微软雅黑"/>
        </w:rPr>
        <w:t>[23] 中国能源网｜</w:t>
      </w:r>
      <w:hyperlink r:id="rId33">
        <w:r>
          <w:rPr>
            <w:rFonts w:ascii="微软雅黑" w:hAnsi="微软雅黑" w:eastAsia="微软雅黑" w:cs="微软雅黑"/>
            <w:color w:val="087E89"/>
          </w:rPr>
          <w:t>马斯克特斯拉光伏工厂又过一关!</w:t>
        </w:r>
      </w:hyperlink>
      <w:r>
        <w:rPr>
          <w:rFonts w:ascii="微软雅黑" w:hAnsi="微软雅黑" w:eastAsia="微软雅黑" w:cs="微软雅黑"/>
        </w:rPr>
      </w:r>
    </w:p>
    <w:p>
      <w:pPr>
        <w:spacing w:after="0" w:line="20" w:lineRule="exact"/>
      </w:pPr>
      <w:bookmarkStart w:id="24" w:name="source-4336"/>
      <w:bookmarkEnd w:id="24" w:name="source-4336"/>
    </w:p>
    <w:p>
      <w:pPr>
        <w:pStyle w:val="ListBullet"/>
      </w:pPr>
      <w:r>
        <w:rPr>
          <w:rFonts w:ascii="微软雅黑" w:hAnsi="微软雅黑" w:eastAsia="微软雅黑" w:cs="微软雅黑"/>
        </w:rPr>
        <w:t>[24] 中财网｜</w:t>
      </w:r>
      <w:hyperlink r:id="rId34">
        <w:r>
          <w:rPr>
            <w:rFonts w:ascii="微软雅黑" w:hAnsi="微软雅黑" w:eastAsia="微软雅黑" w:cs="微软雅黑"/>
            <w:color w:val="087E89"/>
          </w:rPr>
          <w:t>固态电池加速产业化 亿纬锂能获206GWh大单</w:t>
        </w:r>
      </w:hyperlink>
      <w:r>
        <w:rPr>
          <w:rFonts w:ascii="微软雅黑" w:hAnsi="微软雅黑" w:eastAsia="微软雅黑" w:cs="微软雅黑"/>
        </w:rPr>
      </w:r>
    </w:p>
    <w:p>
      <w:pPr>
        <w:spacing w:after="0" w:line="20" w:lineRule="exact"/>
      </w:pPr>
      <w:bookmarkStart w:id="25" w:name="source-4247"/>
      <w:bookmarkEnd w:id="25" w:name="source-4247"/>
    </w:p>
    <w:p>
      <w:pPr>
        <w:pStyle w:val="ListBullet"/>
      </w:pPr>
      <w:r>
        <w:rPr>
          <w:rFonts w:ascii="微软雅黑" w:hAnsi="微软雅黑" w:eastAsia="微软雅黑" w:cs="微软雅黑"/>
        </w:rPr>
        <w:t>[25] 中国能源网｜</w:t>
      </w:r>
      <w:hyperlink r:id="rId35">
        <w:r>
          <w:rPr>
            <w:rFonts w:ascii="微软雅黑" w:hAnsi="微软雅黑" w:eastAsia="微软雅黑" w:cs="微软雅黑"/>
            <w:color w:val="087E89"/>
          </w:rPr>
          <w:t>国家有关部门部署煤炭安全稳产保供工作</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vanguardngr.com/2026/09/iran-says-conveyed-conditions-to-us-for-reopening-hormuz/" TargetMode="External"/><Relationship Id="rId12" Type="http://schemas.openxmlformats.org/officeDocument/2006/relationships/hyperlink" Target="https://www.aa.com.tr/en/energy/oil/iran-says-strait-of-hormuz-to-remain-closed-until-us-fulfills-commitments/59719" TargetMode="External"/><Relationship Id="rId13" Type="http://schemas.openxmlformats.org/officeDocument/2006/relationships/hyperlink" Target="https://www.cpnn.com.cn/news/gj/202609/t20260920_1916430.html" TargetMode="External"/><Relationship Id="rId14" Type="http://schemas.openxmlformats.org/officeDocument/2006/relationships/hyperlink" Target="https://nyj.shanxi.gov.cn/xwzx/xyxw/202609/t20260921_10224331.shtml" TargetMode="External"/><Relationship Id="rId15" Type="http://schemas.openxmlformats.org/officeDocument/2006/relationships/hyperlink" Target="https://www.cpnn.com.cn/news/nytt/202609/t20260920_1916411.html" TargetMode="External"/><Relationship Id="rId16" Type="http://schemas.openxmlformats.org/officeDocument/2006/relationships/hyperlink" Target="https://news.cctv.com/2026/09/20/ARTIbaISlNwfCXtUIzdOF7mT260920.shtml" TargetMode="External"/><Relationship Id="rId17" Type="http://schemas.openxmlformats.org/officeDocument/2006/relationships/hyperlink" Target="https://api.shmet.com/api/rest/news/v2/getNewsById?newsId=925091" TargetMode="External"/><Relationship Id="rId18" Type="http://schemas.openxmlformats.org/officeDocument/2006/relationships/hyperlink" Target="https://www.cpnn.com.cn/news/gj/202609/t20260920_1916344.html" TargetMode="External"/><Relationship Id="rId19" Type="http://schemas.openxmlformats.org/officeDocument/2006/relationships/hyperlink" Target="https://www.cpnn.com.cn/news/xwtt/202609/t20260920_1916438.html" TargetMode="External"/><Relationship Id="rId20" Type="http://schemas.openxmlformats.org/officeDocument/2006/relationships/hyperlink" Target="https://www.cpnn.com.cn/news/gj/202609/t20260920_1916431.html" TargetMode="External"/><Relationship Id="rId21" Type="http://schemas.openxmlformats.org/officeDocument/2006/relationships/hyperlink" Target="https://www.cpnn.com.cn/news/dfny/202609/t20260920_1916341.html" TargetMode="External"/><Relationship Id="rId22" Type="http://schemas.openxmlformats.org/officeDocument/2006/relationships/hyperlink" Target="https://www.cpnn.com.cn/news/hg/202609/t20260918_1916250.html" TargetMode="External"/><Relationship Id="rId23" Type="http://schemas.openxmlformats.org/officeDocument/2006/relationships/hyperlink" Target="https://www.china5e.com/news/news-1209497-1.html" TargetMode="External"/><Relationship Id="rId24" Type="http://schemas.openxmlformats.org/officeDocument/2006/relationships/hyperlink" Target="https://www.china5e.com/news/news-1209498-1.html" TargetMode="External"/><Relationship Id="rId25" Type="http://schemas.openxmlformats.org/officeDocument/2006/relationships/hyperlink" Target="https://www.cpnn.com.cn/news/nyqy/202609/t20260920_1916387.html" TargetMode="External"/><Relationship Id="rId26" Type="http://schemas.openxmlformats.org/officeDocument/2006/relationships/hyperlink" Target="https://www.vanguardngr.com/2026/09/i-wont-tolerate-attempts-to-slow-ai-growth-trump/" TargetMode="External"/><Relationship Id="rId27" Type="http://schemas.openxmlformats.org/officeDocument/2006/relationships/hyperlink" Target="https://www.shpgx.com/html/xyzx/20260920/9934.html" TargetMode="External"/><Relationship Id="rId28" Type="http://schemas.openxmlformats.org/officeDocument/2006/relationships/hyperlink" Target="https://www.zhitongcaijing.com/content/detail/1498361.html" TargetMode="External"/><Relationship Id="rId29" Type="http://schemas.openxmlformats.org/officeDocument/2006/relationships/hyperlink" Target="https://www.cpnn.com.cn/news/gj/202609/t20260920_1916343.html" TargetMode="External"/><Relationship Id="rId30" Type="http://schemas.openxmlformats.org/officeDocument/2006/relationships/hyperlink" Target="https://www.china5e.com/news/news-1209478-1.html" TargetMode="External"/><Relationship Id="rId31" Type="http://schemas.openxmlformats.org/officeDocument/2006/relationships/hyperlink" Target="https://www.cpnn.com.cn/news/hg/202609/t20260920_1916440.html" TargetMode="External"/><Relationship Id="rId32" Type="http://schemas.openxmlformats.org/officeDocument/2006/relationships/hyperlink" Target="https://news.solarbe.com/202609/20/50029380.html" TargetMode="External"/><Relationship Id="rId33" Type="http://schemas.openxmlformats.org/officeDocument/2006/relationships/hyperlink" Target="https://www.china5e.com/news/news-1209479-1.html" TargetMode="External"/><Relationship Id="rId34" Type="http://schemas.openxmlformats.org/officeDocument/2006/relationships/hyperlink" Target="https://industry.cfi.cn/p20260920000235.html" TargetMode="External"/><Relationship Id="rId35" Type="http://schemas.openxmlformats.org/officeDocument/2006/relationships/hyperlink" Target="https://www.china5e.com/news/news-120949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2026年9月20日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