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信息覆盖时段：2026-10-21 00:00 至 2026-10-22 00:00（不含），Asia/Shanghai。</w:t>
      </w:r>
    </w:p>
    <w:p>
      <w:pPr/>
      <w:r>
        <w:rPr>
          <w:rFonts w:ascii="微软雅黑" w:hAnsi="微软雅黑" w:eastAsia="微软雅黑" w:cs="微软雅黑"/>
        </w:rPr>
        <w:t>统计区间：2026-10-21 至 2026-10-22（结束日不含，北京时间）</w:t>
      </w:r>
    </w:p>
    <w:p>
      <w:pPr>
        <w:ind w:firstLine="420"/>
      </w:pPr>
      <w:r>
        <w:rPr>
          <w:rFonts w:ascii="微软雅黑" w:hAnsi="微软雅黑" w:eastAsia="微软雅黑" w:cs="微软雅黑"/>
        </w:rPr>
        <w:t>资料更新截止：2026-10-22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英国批准Jackdaw气田，预计峰值时提升国内天然气产量约6% </w:t>
      </w:r>
      <w:hyperlink w:anchor="source-2508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465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国家能源局印发实施意见推动煤电与新能源融合发展 </w:t>
      </w:r>
      <w:hyperlink w:anchor="source-2475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749">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474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474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智库报告：欧盟今冬面临高达140亿立方米天然气供应缺口 </w:t>
      </w:r>
      <w:hyperlink w:anchor="source-24661">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IEA准备协调进一步释放应急储备，警告柴油紧张或持续至2027年 </w:t>
      </w:r>
      <w:hyperlink w:anchor="source-24334">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4528">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全球动力煤价格突破三年最高纪录达154.6美元/吨 </w:t>
      </w:r>
      <w:hyperlink w:anchor="source-25177">
        <w:r>
          <w:rPr>
            <w:rFonts w:ascii="微软雅黑" w:hAnsi="微软雅黑" w:eastAsia="微软雅黑" w:cs="微软雅黑"/>
            <w:color w:val="087E89"/>
          </w:rPr>
          <w:t>10</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英国Jackdaw气田峰值时英国国内天然气产量提升幅度</w:t>
            </w:r>
          </w:p>
        </w:tc>
        <w:tc>
          <w:tcPr>
            <w:tcW w:type="dxa" w:w="2268"/>
          </w:tcPr>
          <w:p>
            <w:pPr>
              <w:spacing w:after="40"/>
            </w:pPr>
            <w:r>
              <w:rPr>
                <w:rFonts w:ascii="微软雅黑" w:hAnsi="微软雅黑" w:eastAsia="微软雅黑" w:cs="微软雅黑"/>
              </w:rPr>
              <w:t>约6%</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508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4655">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英国Jackdaw气田2027年平均产量</w:t>
            </w:r>
          </w:p>
        </w:tc>
        <w:tc>
          <w:tcPr>
            <w:tcW w:type="dxa" w:w="2268"/>
          </w:tcPr>
          <w:p>
            <w:pPr>
              <w:spacing w:after="40"/>
            </w:pPr>
            <w:r>
              <w:rPr>
                <w:rFonts w:ascii="微软雅黑" w:hAnsi="微软雅黑" w:eastAsia="微软雅黑" w:cs="微软雅黑"/>
              </w:rPr>
              <w:t>约140 MMcfd</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508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4655">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英国Jackdaw气田按当前价格的税收贡献</w:t>
            </w:r>
          </w:p>
        </w:tc>
        <w:tc>
          <w:tcPr>
            <w:tcW w:type="dxa" w:w="2268"/>
          </w:tcPr>
          <w:p>
            <w:pPr>
              <w:spacing w:after="40"/>
            </w:pPr>
            <w:r>
              <w:rPr>
                <w:rFonts w:ascii="微软雅黑" w:hAnsi="微软雅黑" w:eastAsia="微软雅黑" w:cs="微软雅黑"/>
              </w:rPr>
              <w:t>约15亿英镑</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508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4655">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预计“十五五”期间煤电与新能源融合发展新能源规模</w:t>
            </w:r>
          </w:p>
        </w:tc>
        <w:tc>
          <w:tcPr>
            <w:tcW w:type="dxa" w:w="2268"/>
          </w:tcPr>
          <w:p>
            <w:pPr>
              <w:spacing w:after="40"/>
            </w:pPr>
            <w:r>
              <w:rPr>
                <w:rFonts w:ascii="微软雅黑" w:hAnsi="微软雅黑" w:eastAsia="微软雅黑" w:cs="微软雅黑"/>
              </w:rPr>
              <w:t>超过2亿千瓦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475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749">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474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4747">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预计融合发展年二氧化碳减排量</w:t>
            </w:r>
          </w:p>
        </w:tc>
        <w:tc>
          <w:tcPr>
            <w:tcW w:type="dxa" w:w="2268"/>
          </w:tcPr>
          <w:p>
            <w:pPr>
              <w:spacing w:after="40"/>
            </w:pPr>
            <w:r>
              <w:rPr>
                <w:rFonts w:ascii="微软雅黑" w:hAnsi="微软雅黑" w:eastAsia="微软雅黑" w:cs="微软雅黑"/>
              </w:rPr>
              <w:t>1.3亿吨以上</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475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749">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474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4747">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荷兰TTF天然气期货价格</w:t>
            </w:r>
          </w:p>
        </w:tc>
        <w:tc>
          <w:tcPr>
            <w:tcW w:type="dxa" w:w="2268"/>
          </w:tcPr>
          <w:p>
            <w:pPr>
              <w:spacing w:after="40"/>
            </w:pPr>
            <w:r>
              <w:rPr>
                <w:rFonts w:ascii="微软雅黑" w:hAnsi="微软雅黑" w:eastAsia="微软雅黑" w:cs="微软雅黑"/>
              </w:rPr>
              <w:t>突破每兆瓦时86欧元</w:t>
            </w:r>
          </w:p>
        </w:tc>
        <w:tc>
          <w:tcPr>
            <w:tcW w:type="dxa" w:w="2268"/>
          </w:tcPr>
          <w:p>
            <w:pPr>
              <w:spacing w:after="40"/>
            </w:pPr>
            <w:r>
              <w:rPr>
                <w:rFonts w:ascii="微软雅黑" w:hAnsi="微软雅黑" w:eastAsia="微软雅黑" w:cs="微软雅黑"/>
              </w:rPr>
              <w:t>10月13日</w:t>
            </w:r>
          </w:p>
        </w:tc>
        <w:tc>
          <w:tcPr>
            <w:tcW w:type="dxa" w:w="2268"/>
          </w:tcPr>
          <w:p>
            <w:pPr>
              <w:spacing w:after="40"/>
            </w:pPr>
            <w:r>
              <w:rPr>
                <w:rFonts w:ascii="微软雅黑" w:hAnsi="微软雅黑" w:eastAsia="微软雅黑" w:cs="微软雅黑"/>
              </w:rPr>
            </w:r>
            <w:hyperlink w:anchor="source-24661">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IEEFA预计欧盟今冬天然气供应缺口</w:t>
            </w:r>
          </w:p>
        </w:tc>
        <w:tc>
          <w:tcPr>
            <w:tcW w:type="dxa" w:w="2268"/>
          </w:tcPr>
          <w:p>
            <w:pPr>
              <w:spacing w:after="40"/>
            </w:pPr>
            <w:r>
              <w:rPr>
                <w:rFonts w:ascii="微软雅黑" w:hAnsi="微软雅黑" w:eastAsia="微软雅黑" w:cs="微软雅黑"/>
              </w:rPr>
              <w:t>高达140亿立方米，约占欧盟总需求7%</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4661">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ICE纽卡斯尔动力煤期货次月到期交割合约收盘价</w:t>
            </w:r>
          </w:p>
        </w:tc>
        <w:tc>
          <w:tcPr>
            <w:tcW w:type="dxa" w:w="2268"/>
          </w:tcPr>
          <w:p>
            <w:pPr>
              <w:spacing w:after="40"/>
            </w:pPr>
            <w:r>
              <w:rPr>
                <w:rFonts w:ascii="微软雅黑" w:hAnsi="微软雅黑" w:eastAsia="微软雅黑" w:cs="微软雅黑"/>
              </w:rPr>
              <w:t>154.6美元/吨</w:t>
            </w:r>
          </w:p>
        </w:tc>
        <w:tc>
          <w:tcPr>
            <w:tcW w:type="dxa" w:w="2268"/>
          </w:tcPr>
          <w:p>
            <w:pPr>
              <w:spacing w:after="40"/>
            </w:pPr>
            <w:r>
              <w:rPr>
                <w:rFonts w:ascii="微软雅黑" w:hAnsi="微软雅黑" w:eastAsia="微软雅黑" w:cs="微软雅黑"/>
              </w:rPr>
              <w:t>2026-10-16</w:t>
            </w:r>
          </w:p>
        </w:tc>
        <w:tc>
          <w:tcPr>
            <w:tcW w:type="dxa" w:w="2268"/>
          </w:tcPr>
          <w:p>
            <w:pPr>
              <w:spacing w:after="40"/>
            </w:pPr>
            <w:r>
              <w:rPr>
                <w:rFonts w:ascii="微软雅黑" w:hAnsi="微软雅黑" w:eastAsia="微软雅黑" w:cs="微软雅黑"/>
              </w:rPr>
            </w:r>
            <w:hyperlink w:anchor="source-25177">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中国在运和核准在建核电机组装机规模全球排名</w:t>
            </w:r>
          </w:p>
        </w:tc>
        <w:tc>
          <w:tcPr>
            <w:tcW w:type="dxa" w:w="2268"/>
          </w:tcPr>
          <w:p>
            <w:pPr>
              <w:spacing w:after="40"/>
            </w:pPr>
            <w:r>
              <w:rPr>
                <w:rFonts w:ascii="微软雅黑" w:hAnsi="微软雅黑" w:eastAsia="微软雅黑" w:cs="微软雅黑"/>
              </w:rPr>
              <w:t>世界第一</w:t>
            </w:r>
          </w:p>
        </w:tc>
        <w:tc>
          <w:tcPr>
            <w:tcW w:type="dxa" w:w="2268"/>
          </w:tcPr>
          <w:p>
            <w:pPr>
              <w:spacing w:after="40"/>
            </w:pPr>
            <w:r>
              <w:rPr>
                <w:rFonts w:ascii="微软雅黑" w:hAnsi="微软雅黑" w:eastAsia="微软雅黑" w:cs="微软雅黑"/>
              </w:rPr>
              <w:t>2026年</w:t>
            </w:r>
          </w:p>
        </w:tc>
        <w:tc>
          <w:tcPr>
            <w:tcW w:type="dxa" w:w="2268"/>
          </w:tcPr>
          <w:p>
            <w:pPr>
              <w:spacing w:after="40"/>
            </w:pPr>
            <w:r>
              <w:rPr>
                <w:rFonts w:ascii="微软雅黑" w:hAnsi="微软雅黑" w:eastAsia="微软雅黑" w:cs="微软雅黑"/>
              </w:rPr>
            </w:r>
            <w:hyperlink w:anchor="source-24888">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中国全国原煤产量（当月）</w:t>
            </w:r>
          </w:p>
        </w:tc>
        <w:tc>
          <w:tcPr>
            <w:tcW w:type="dxa" w:w="2268"/>
          </w:tcPr>
          <w:p>
            <w:pPr>
              <w:spacing w:after="40"/>
            </w:pPr>
            <w:r>
              <w:rPr>
                <w:rFonts w:ascii="微软雅黑" w:hAnsi="微软雅黑" w:eastAsia="微软雅黑" w:cs="微软雅黑"/>
              </w:rPr>
              <w:t>38153万吨，同比下降6.8%，环比增长6.4%</w:t>
            </w:r>
          </w:p>
        </w:tc>
        <w:tc>
          <w:tcPr>
            <w:tcW w:type="dxa" w:w="2268"/>
          </w:tcPr>
          <w:p>
            <w:pPr>
              <w:spacing w:after="40"/>
            </w:pPr>
            <w:r>
              <w:rPr>
                <w:rFonts w:ascii="微软雅黑" w:hAnsi="微软雅黑" w:eastAsia="微软雅黑" w:cs="微软雅黑"/>
              </w:rPr>
              <w:t>2026年9月</w:t>
            </w:r>
          </w:p>
        </w:tc>
        <w:tc>
          <w:tcPr>
            <w:tcW w:type="dxa" w:w="2268"/>
          </w:tcPr>
          <w:p>
            <w:pPr>
              <w:spacing w:after="40"/>
            </w:pPr>
            <w:r>
              <w:rPr>
                <w:rFonts w:ascii="微软雅黑" w:hAnsi="微软雅黑" w:eastAsia="微软雅黑" w:cs="微软雅黑"/>
              </w:rPr>
            </w:r>
            <w:hyperlink w:anchor="source-25178">
              <w:r>
                <w:rPr>
                  <w:rFonts w:ascii="微软雅黑" w:hAnsi="微软雅黑" w:eastAsia="微软雅黑" w:cs="微软雅黑"/>
                  <w:color w:val="087E89"/>
                </w:rPr>
                <w:t>13</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英国批准Jackdaw气田，预计峰值时提升国内天然气产量约6%</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英国政府批准北海Jackdaw气田生产，预计使英国国内天然气产量在峰值时提高约6%，本月内预计首次产气。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能源大臣同意NSTA为已获许可的Jackdaw气田颁发天然气生产同意，本月内预计首次产气。气田位于阿伯丁以东225公里（140英里），储量约68 MMboe，项目寿命最长11年，预计为英国经济增加约29亿英镑，创造27个新直接岗位并保住273个现有岗位。Wood Mackenzie估计九年气田寿命内排放24 MtCO₂e；若用美国LNG替代其天然气，净范围1和2排放将增加3.5 MtCO₂e。政府表示批准不阻碍碳预算或2050年净零目标，并宣布设立初始注资20亿英镑的能源财富基金。</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Wood Mackenzie估计2027年该气田约占英国大陆架天然气供应的6%；价格走高可将项目IRR从9%提升至14%以上。</w:t>
      </w:r>
    </w:p>
    <w:p>
      <w:pPr>
        <w:ind w:firstLine="420"/>
      </w:pPr>
      <w:r>
        <w:rPr>
          <w:rFonts w:ascii="微软雅黑" w:hAnsi="微软雅黑" w:eastAsia="微软雅黑" w:cs="微软雅黑"/>
        </w:rPr>
        <w:t>来源：</w:t>
      </w:r>
      <w:hyperlink w:anchor="source-2508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4655">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2. 美国战略石油储备降至44年来最低，霍尔木兹海峡油轮遇袭推高油价</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美国战略石油储备原油储量降至2.827亿桶，为44年来最低水平；霍尔木兹海峡航运持续遇袭，交易员评估中东能源供应风险，布伦特原油早盘报每桶110.40美元。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当地时间20日美国能源部数据显示，美国战略石油储备计划原油储量降至2.827亿桶，为44年来最低水平；美以伊冲突2月28日爆发前为4.154亿桶。能源部3月11日声明称将在约120天内释放1.72亿桶战略储备以应对油价上涨。伊朗革命卫队20日称两艘“违规”油轮在霍尔木兹海峡触碰水雷后起火；据路透社，船舶追踪机构Kpler称此前两周内已报告至少18起船舶遇袭事件。</w:t>
      </w:r>
    </w:p>
    <w:p>
      <w:pPr>
        <w:ind w:firstLine="420"/>
      </w:pPr>
      <w:r>
        <w:rPr>
          <w:rFonts w:ascii="微软雅黑" w:hAnsi="微软雅黑" w:eastAsia="微软雅黑" w:cs="微软雅黑"/>
        </w:rPr>
        <w:t>来源：</w:t>
      </w:r>
      <w:hyperlink w:anchor="source-24410">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24627">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3. IEA准备协调进一步释放应急储备，警告柴油紧张或持续至2027年</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国际能源署执行署长Fatih Birol表示，因全球燃料市场持续承压、柴油价格继续上涨，如情况需要，该机构准备协调成员国进一步释放应急石油储备，当务之急是加快执行已获批的释放超过2000万桶柴油方案。</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国际能源署执行署长Fatih Birol周二表示，如情况需要，该机构准备协调成员国进一步释放应急石油储备，当务之急是加快执行此前已获批的方案，释放超过2000万桶柴油；释放时间取决于成员国决定及市场动态。在释放4亿桶原油及石油产品的特别计划下，约80%的承诺量已投放市场。Birol警告，在全球柴油供应持续紧张的情况下，他看不到2027年恢复正常状况的可靠迹象。IEA预计2026年全球石油供应下降5.8 mb/d至100.7 mb/d，2027年回升7.7 mb/d；预计2027年全球石油消费回升2 mb/d，但仍比2025年水平低620 kb/d，即0.6%。</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Brent原油升破每桶111美元，柴油价格在供应受限担忧下维持高位；IEA基本维持2026年剩余时间供应展望不变。</w:t>
      </w:r>
    </w:p>
    <w:p>
      <w:pPr>
        <w:ind w:firstLine="420"/>
      </w:pPr>
      <w:r>
        <w:rPr>
          <w:rFonts w:ascii="微软雅黑" w:hAnsi="微软雅黑" w:eastAsia="微软雅黑" w:cs="微软雅黑"/>
        </w:rPr>
        <w:t>来源：</w:t>
      </w:r>
      <w:hyperlink w:anchor="source-24334">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4528">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4. 欧盟峰会聚焦能源价格，欧洲天然气与柴油成本大幅攀升</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当地时间10月15日至16日欧盟峰会在布鲁塞尔举行，能源价格是最紧迫议题之一；冯德莱恩称自2月底以来欧洲天然气价格上涨约140%，柴油价格翻倍，进口化石燃料支出额外增加约1000亿欧元。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盟委员会主席冯德莱恩在欧洲议会表示，自今年2月底以来欧洲天然气价格上涨约140%，柴油价格翻倍，进口化石燃料支出额外增加约1000亿欧元。10月13日荷兰所有权转让中心天然气期货价格突破每兆瓦时86欧元，升至2022年12月以来最高；欧洲储气率73.75%，明显低于往年同期，德国仅约58.7%。欧盟平均柴油售价达创纪录的每升2.24欧元（冲突前1.59欧元），12个成员国柴油价格创历史新高。能源经济和金融分析研究所报告显示，今年冬天欧盟将面临高达140亿立方米天然气供应缺口，约占总需求7%。2026年9月欧元区通胀率升至3.8%，能源价格同比上涨18.8%。</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能源价格直接推动9月欧元区整体通胀率升至3.8%，钢铁、化工等高耗能产业受到明显冲击。</w:t>
      </w:r>
    </w:p>
    <w:p>
      <w:pPr>
        <w:ind w:firstLine="420"/>
      </w:pPr>
      <w:r>
        <w:rPr>
          <w:rFonts w:ascii="微软雅黑" w:hAnsi="微软雅黑" w:eastAsia="微软雅黑" w:cs="微软雅黑"/>
        </w:rPr>
        <w:t>来源：</w:t>
      </w:r>
      <w:hyperlink w:anchor="source-24920">
        <w:r>
          <w:rPr>
            <w:rFonts w:ascii="微软雅黑" w:hAnsi="微软雅黑" w:eastAsia="微软雅黑" w:cs="微软雅黑"/>
            <w:color w:val="087E89"/>
          </w:rPr>
          <w:t>27</w:t>
        </w:r>
      </w:hyperlink>
      <w:r>
        <w:rPr>
          <w:rFonts w:ascii="微软雅黑" w:hAnsi="微软雅黑" w:eastAsia="微软雅黑" w:cs="微软雅黑"/>
        </w:rPr>
        <w:t xml:space="preserve"> </w:t>
      </w:r>
      <w:hyperlink w:anchor="source-25164">
        <w:r>
          <w:rPr>
            <w:rFonts w:ascii="微软雅黑" w:hAnsi="微软雅黑" w:eastAsia="微软雅黑" w:cs="微软雅黑"/>
            <w:color w:val="087E89"/>
          </w:rPr>
          <w:t>28</w:t>
        </w:r>
      </w:hyperlink>
      <w:r>
        <w:rPr>
          <w:rFonts w:ascii="微软雅黑" w:hAnsi="微软雅黑" w:eastAsia="微软雅黑" w:cs="微软雅黑"/>
        </w:rPr>
      </w:r>
    </w:p>
    <w:p>
      <w:pPr>
        <w:pStyle w:val="Heading3"/>
      </w:pPr>
      <w:r>
        <w:rPr>
          <w:rFonts w:ascii="微软雅黑" w:hAnsi="微软雅黑" w:eastAsia="微软雅黑" w:cs="微软雅黑"/>
        </w:rPr>
        <w:t>5. 智库报告：欧盟今冬面临高达140亿立方米天然气供应缺口</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欧洲天然气价格创2022年12月以来新高，库存明显低于往年同期，智库报告显示欧盟今冬面临高达140亿立方米天然气供应缺口。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当地时间10月13日，TTF天然气期货价格突破每兆瓦时86欧元，创2022年12月以来最高水平。欧洲天然气储存设施库存水平为73.75%，明显低于往年同期，其中德国储气率仅约58.7%。美国智库IEEFA报告显示，今年冬天欧盟将面临高达140亿立方米天然气供应缺口，约占欧盟总需求7%，相当于超过1000万户欧洲家庭的能源需求。</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欧盟针对进口俄罗斯液化天然气的全面禁令将于2027年年初生效，届时欧洲天然气进口量将进一步减少约70亿立方米；若从美国进口LNG弥补缺口，按当前价格将额外支出约30亿欧元，较去年成本增加12%。</w:t>
      </w:r>
    </w:p>
    <w:p>
      <w:pPr>
        <w:ind w:firstLine="420"/>
      </w:pPr>
      <w:r>
        <w:rPr>
          <w:rFonts w:ascii="微软雅黑" w:hAnsi="微软雅黑" w:eastAsia="微软雅黑" w:cs="微软雅黑"/>
        </w:rPr>
        <w:t>来源：</w:t>
      </w:r>
      <w:hyperlink w:anchor="source-24661">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6. 欧洲天然气基准价格近4年来首次突破90欧元</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10月20日，荷兰TTF天然气11月期货价格盘中突破每兆瓦时90欧元，创2022年12月以来新高，为欧洲天然气基准价格近4年来首次突破90欧元。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20日，荷兰所有权转让中心（TTF）天然气11月期货价格盘中突破每兆瓦时90欧元，创2022年12月以来新高，较中东战事爆发前的约32欧元大幅上涨。欧洲天然气基础设施协会数据显示，截至10月19日，欧盟天然气储存设施储气量约占总容量的74.6%，显著低于往年同期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市场分析认为，中东战事导致海湾地区液化天然气出口持续受阻，叠加能源运输安全风险高企，全球天然气供应紧张状况持续；随着冬季供暖季临近，欧洲补充库存压力加大，欧洲与亚洲两大进口市场需求增加恐进一步推高价格。</w:t>
      </w:r>
    </w:p>
    <w:p>
      <w:pPr>
        <w:ind w:firstLine="420"/>
      </w:pPr>
      <w:r>
        <w:rPr>
          <w:rFonts w:ascii="微软雅黑" w:hAnsi="微软雅黑" w:eastAsia="微软雅黑" w:cs="微软雅黑"/>
        </w:rPr>
        <w:t>来源：</w:t>
      </w:r>
      <w:hyperlink w:anchor="source-24615">
        <w:r>
          <w:rPr>
            <w:rFonts w:ascii="微软雅黑" w:hAnsi="微软雅黑" w:eastAsia="微软雅黑" w:cs="微软雅黑"/>
            <w:color w:val="087E89"/>
          </w:rPr>
          <w:t>25</w:t>
        </w:r>
      </w:hyperlink>
      <w:r>
        <w:rPr>
          <w:rFonts w:ascii="微软雅黑" w:hAnsi="微软雅黑" w:eastAsia="微软雅黑" w:cs="微软雅黑"/>
        </w:rPr>
        <w:t xml:space="preserve"> </w:t>
      </w:r>
      <w:hyperlink w:anchor="source-24341">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7. 全球动力煤价格突破三年最高纪录达154.6美元/吨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受中东战争导致的电力能源来源转换等多因素影响，上周全球动力煤价格上涨突破三年来的最高纪录。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路孚特(Refinitiv)数据显示，上周五(2026年10月16日)，ICE纽卡斯尔动力煤期货次月到期交割合约收盘录得154.6美元/吨，较前一交易日上涨1.14%，按周对比上涨2.72%，为自2023年9月以来三年的最高价格水平。上涨主要由天然气价格上涨以及印度尼西亚供应短缺引发；由于目前煤炭价格比液化天然气便宜约80%，亚洲和欧洲买家在冬季来临前增加了进口。</w:t>
      </w:r>
    </w:p>
    <w:p>
      <w:pPr>
        <w:ind w:firstLine="420"/>
      </w:pPr>
      <w:r>
        <w:rPr>
          <w:rFonts w:ascii="微软雅黑" w:hAnsi="微软雅黑" w:eastAsia="微软雅黑" w:cs="微软雅黑"/>
        </w:rPr>
        <w:t>来源：</w:t>
      </w:r>
      <w:hyperlink w:anchor="source-25177">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8. X-energy与AEP签署协议推进印第安纳州960 MWe小型堆项目</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美国核能公司X-energy与美国电力公司（AEP）签署联合开发协议（JDA），推进拟建于印第安纳州、总装机960 MWe的Xe-100小型模块化反应堆项目的可行性工作。</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正评估落地于AEP子公司印第安纳-密歇根电力公司位于印第安纳州沙利文县已退役的Breed发电站棕地厂址，可复用现有并网基础设施。亚马逊为早期可行性研究提供资金，并拟以长期购电协议（PPA）作为主要购电方，以满足其数据中心用电需求；亚马逊前期开发资本按里程碑分批拨付，以降低监管与许可风险直至作出最终投资决定，印第安纳可研初始出资具体金额严格保密。该项目是X-energy约11.5 GWe商业项目管线（订单总计144台反应堆）中的第四个项目。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在退役煤电厂址建设可复用现有并网基础设施；亚马逊拟以长期购电协议作为主要购电方。</w:t>
      </w:r>
    </w:p>
    <w:p>
      <w:pPr>
        <w:ind w:firstLine="420"/>
      </w:pPr>
      <w:r>
        <w:rPr>
          <w:rFonts w:ascii="微软雅黑" w:hAnsi="微软雅黑" w:eastAsia="微软雅黑" w:cs="微软雅黑"/>
        </w:rPr>
        <w:t>来源：</w:t>
      </w:r>
      <w:hyperlink w:anchor="source-25148">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9. 乌克兰全境实施工业限电，12个州发生断电</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受俄军对乌境内能源设施大规模袭击影响，乌克兰国家电力公司10月20日上午宣布，乌全境开始实施工业限电，以预防受损电力设施过载。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乌克兰国家电力公司10月20日上午宣布，因受此前俄军空袭影响，乌全境开始实施工业限电。截至20日早上，乌境内共有12个州发生断电。为预防受损电力设施过载，当天将限制乌全境工业用电，部分州将实施全面轮流停电。泽连斯基19日称，18日晚至19日凌晨俄军对乌境内能源设施发动大规模弹道导弹和无人机袭击，导致28处变电站和关键能源基础设施受损，至少55万户家庭断电。</w:t>
      </w:r>
    </w:p>
    <w:p>
      <w:pPr>
        <w:ind w:firstLine="420"/>
      </w:pPr>
      <w:r>
        <w:rPr>
          <w:rFonts w:ascii="微软雅黑" w:hAnsi="微软雅黑" w:eastAsia="微软雅黑" w:cs="微软雅黑"/>
        </w:rPr>
        <w:t>来源：</w:t>
      </w:r>
      <w:hyperlink w:anchor="source-24616">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10. EBRD牵头为埃及1.2吉瓦光伏及600兆瓦时储能项目安排贷款</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欧洲复兴开发银行（EBRD）正为Nefer Menya for Renewable Energy安排最高2.65亿美元贷款，用于在埃及明亚开发1.2 GW光伏电站和600 MWh电池储能系统。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EBRD贷款包括1.6亿美元自有资金A类贷款、约旦银行7500万美元B类贷款，以及气候投资基金清洁技术基金在“全球储能计划”下最多3000万美元优惠融资；德国DEG、荷兰开发银行FMO和法国Proparco共同融资，整体债务包规模最高5.66亿美元。EBRD项目披露文件将电站规模列为1,000 MW（AC），项目总投资7.64亿美元。电力将依据25年购电协议出售给埃及输电公司。</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该项目支持埃及“水、粮食与能源互联计划”（NWFE）的能源支柱，该计划目标是新增10 GW私营部门可再生能源并退役5 GW低效化石燃料发电。</w:t>
      </w:r>
    </w:p>
    <w:p>
      <w:pPr>
        <w:ind w:firstLine="420"/>
      </w:pPr>
      <w:r>
        <w:rPr>
          <w:rFonts w:ascii="微软雅黑" w:hAnsi="微软雅黑" w:eastAsia="微软雅黑" w:cs="微软雅黑"/>
        </w:rPr>
        <w:t>来源：</w:t>
      </w:r>
      <w:hyperlink w:anchor="source-25020">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11. 印尼林火烟霾威胁棕榈油传粉昆虫 或压缩油脂供应</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印尼油棕研究所（IOPRI）警告，林火烟霾和日照减少干扰为油棕传粉的象甲活动，可能压缩棕榈油产量并影响油脂供应。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尼油棕研究所（IOPRI）表示，印尼林火造成的浓烟和日照减少会干扰象甲在雄花与雌花之间传递花粉的活动。此类干扰此前曾与开花结实比例下降最多20%相关联，并可能再次压缩油脂供应。在2015年区域烟霾危机期间，IOPRI观测到花果发育比例下降5%至20%。印尼正经历十余年来最严重的火灾季，烟霾已干扰日常生活、农业活动和交通；强厄尔尼诺延长了干旱条件并加剧危机。作为全球最大种植国，印尼正将更多植物油投入生物燃料，压缩食品及其他用途供应。</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IOPRI担忧对棕榈油单产的不利影响将在明年开始显现；美国农业部预测2026-2027年度棕榈油库存将降至九年低点。</w:t>
      </w:r>
    </w:p>
    <w:p>
      <w:pPr>
        <w:ind w:firstLine="420"/>
      </w:pPr>
      <w:r>
        <w:rPr>
          <w:rFonts w:ascii="微软雅黑" w:hAnsi="微软雅黑" w:eastAsia="微软雅黑" w:cs="微软雅黑"/>
        </w:rPr>
        <w:t>来源：</w:t>
      </w:r>
      <w:hyperlink w:anchor="source-24656">
        <w:r>
          <w:rPr>
            <w:rFonts w:ascii="微软雅黑" w:hAnsi="微软雅黑" w:eastAsia="微软雅黑" w:cs="微软雅黑"/>
            <w:color w:val="087E89"/>
          </w:rPr>
          <w:t>18</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2025年中国碳强度较2020年降低17.7%</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21日，生态环境部副部长李高在国务院新闻办公室新闻发布会上表示，我国应对气候变化工作取得显著成效，逐步探索出具有中国特色的绿色低碳发展之路，并发布《中国应对气候变化的政策与行动2026年度报告》。</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21日，生态环境部副部长李高在国务院新闻办公室新闻发布会上表示，我国应对气候变化工作取得显著成效，逐步探索出具有中国特色的绿色低碳发展之路。当天发布的《中国应对气候变化的政策与行动2026年度报告》显示，2025年我国单位国内生产总值二氧化碳排放较2020年降低17.7%；非化石能源消费占能源消费总量的比重达到21.7%；风电、太阳能发电装机合计18.4亿千瓦；森林蓄积量达209.88亿立方米。</w:t>
      </w:r>
    </w:p>
    <w:p>
      <w:pPr>
        <w:ind w:firstLine="420"/>
      </w:pPr>
      <w:r>
        <w:rPr>
          <w:rFonts w:ascii="微软雅黑" w:hAnsi="微软雅黑" w:eastAsia="微软雅黑" w:cs="微软雅黑"/>
        </w:rPr>
        <w:t>来源：</w:t>
      </w:r>
      <w:hyperlink w:anchor="source-24496">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13. 吉林油田建成亚洲最大全流程CCUS-EOR示范项目并打造产业集群</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吉林油田开展CCUS全产业链技术攻关，建成国内首个、亚洲最大的全产业链、全流程CCUS-EOR示范项目，填补国内CCUS全流程工业化应用空白，着力打造CCUS产业集群。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吉林油田建成国内首个、亚洲最大的全产业链、全流程CCUS-EOR示范项目，组建中国石油集团CCUS重点实验室，并建成提高油气采收率全国重点实验室。核心区块提高采收率25%，相当于又发现了一个同等规模的新油田。吉林油田已拥有自主知识产权的全产业链10项CCUS技术系列，形成设计、研发、试验、运维、培训一体化技术服务能力，并建立专门培训基地培养CCUS业务人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核心区块提高采收率25%，相当于又发现了一个同等规模的新油田，为传统油田可持续发展提供了“吉林样本”。</w:t>
      </w:r>
    </w:p>
    <w:p>
      <w:pPr>
        <w:ind w:firstLine="420"/>
      </w:pPr>
      <w:r>
        <w:rPr>
          <w:rFonts w:ascii="微软雅黑" w:hAnsi="微软雅黑" w:eastAsia="微软雅黑" w:cs="微软雅黑"/>
        </w:rPr>
        <w:t>来源：</w:t>
      </w:r>
      <w:hyperlink w:anchor="source-24497">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14. 川渝印发美丽中国先行区建设实施方案，明确2027年、2030年目标</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四川省人民政府、重庆市人民政府联合印发《川渝地区美丽中国先行区建设实施方案》（川府发〔2026〕22号），明确2027年、2030年阶段性建设目标。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文件日期为2026年10月13日，明确2027年、2030年阶段性建设目标。方案以水电和新能源为双主体推动水风光储一体化开发，提升绿色氢能供给能力，加快建设世界级优质清洁能源基地；推进抽水蓄能、新型储能等项目建设，支持虚拟电厂、智能微电网、绿电直连发展；推动疆电（南疆）送电川渝特高压直流工程、川渝1000千伏特高压交流加强工程建设，构建成渝负荷中心特高压环网。方案重点实施气田增储上产，布局西南地区百亿立方米级天然气储气库群，共建川渝千亿方国家油气生产基地。方案提出，到2027年可再生能源发电装机占电力总装机比重达到75%；积极融入全国碳排放权交易市场和全国温室气体自愿减排交易市场，稳步扩大碳市场覆盖范围，并开展新能源汽车及动力电池、光伏产品、电子电器等碳足迹标识认证试点。</w:t>
      </w:r>
    </w:p>
    <w:p>
      <w:pPr>
        <w:ind w:firstLine="420"/>
      </w:pPr>
      <w:r>
        <w:rPr>
          <w:rFonts w:ascii="微软雅黑" w:hAnsi="微软雅黑" w:eastAsia="微软雅黑" w:cs="微软雅黑"/>
        </w:rPr>
        <w:t>来源：</w:t>
      </w:r>
      <w:hyperlink w:anchor="source-24899">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15. 9月原煤产量环比明显修复 进口同比降幅扩大</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2026年9月全国原煤产量38153万吨，同比下降6.8%但环比增长6.4%，日均产量升至1284万吨；进口煤炭4336.87万吨，同比下降5.73%，环比增长3.03%。供应端同比降幅收窄、环比修复，支撑煤价重心上移。</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统计局数据显示，2026年9月全国原煤产量38153万吨，同比下降6.8%，降幅比8月收窄0.9个百分点，环比增长6.4%；日均产量1284万吨，较8月增加117万吨，增幅10.03%。1-9月累计原煤产量34.49亿吨，同比下降3.5%。海关数据显示，9月进口煤炭4336.87万吨，同比下降5.73%，降幅较8月扩大4.22个百分点，环比增长3.03%；1-9月进口35354.32万吨，同比增长2.2%，累计进口金额312.48亿美元，同比增长23.0%。</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供应端持续偏紧支撑煤价重心上移，但10月供应增量预期抬升叠加需求趋弱，煤价上行趋势或将受到明显压制。</w:t>
      </w:r>
    </w:p>
    <w:p>
      <w:pPr>
        <w:ind w:firstLine="420"/>
      </w:pPr>
      <w:r>
        <w:rPr>
          <w:rFonts w:ascii="微软雅黑" w:hAnsi="微软雅黑" w:eastAsia="微软雅黑" w:cs="微软雅黑"/>
        </w:rPr>
        <w:t>来源：</w:t>
      </w:r>
      <w:hyperlink w:anchor="source-25178">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16. 中国在运和核准在建核电机组装机规模跃居世界第一</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生态环境部表示，中国在运和核准在建的核电机组装机规模已跃居世界第一，成为我国应对气候变化工作成效的重要体现。</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生态环境部介绍，中国在运和核准在建的核电机组装机规模已跃居世界第一。同期披露的其他应对气候变化成效包括：2026年上半年全国可再生能源装机达24.55亿千瓦，占全国发电总装机的60.7%；7月底光伏发电装机容量历史性超过煤电，成为第一大电源；今年颁布的生态环境法典设立应对气候变化专章；中国建成全球规模最大的碳排放权交易市场，全国温室气体自愿减排交易市场加速扩容发展。</w:t>
      </w:r>
    </w:p>
    <w:p>
      <w:pPr>
        <w:ind w:firstLine="420"/>
      </w:pPr>
      <w:r>
        <w:rPr>
          <w:rFonts w:ascii="微软雅黑" w:hAnsi="微软雅黑" w:eastAsia="微软雅黑" w:cs="微软雅黑"/>
        </w:rPr>
        <w:t>来源：</w:t>
      </w:r>
      <w:hyperlink w:anchor="source-24888">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17. 国家能源局印发实施意见推动煤电与新能源融合发展</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近日印发《关于推动煤电与新能源融合发展的实施意见》，明确五类融合场景模式、技术条件和政策机制，目标到“十五五”末融合场景模式成熟应用，融合项目年度碳排放水平较改造建设前显著降低。</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实施意见》紧扣煤电节能降碳和新能源消纳两大目标，提出五类场景模式：近区公用煤电机组协同送出消纳、公用热电联产机组清洁供热、海上风电接入沿海公用煤电机组协同送出、自备煤电机组打捆利用、煤电厂自身用能绿色替代。对近区公用煤电协同送出、海上风电协同送出、自备煤电打捆利用三类场景，鼓励年度碳排放较融合前降低5%以上，力争降低10%以上。原则上新能源场址边缘距煤电厂址直线距离不超过100公里，新能源须实现“可观、可测、可调、可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预计“十五五”期间融合发展新能源规模将超过2亿千瓦，降低年二氧化碳排放量1.3亿吨以上；融合项目新能源弃电不纳入统计，支持参与电力、碳市场交易。</w:t>
      </w:r>
    </w:p>
    <w:p>
      <w:pPr>
        <w:ind w:firstLine="420"/>
      </w:pPr>
      <w:r>
        <w:rPr>
          <w:rFonts w:ascii="微软雅黑" w:hAnsi="微软雅黑" w:eastAsia="微软雅黑" w:cs="微软雅黑"/>
        </w:rPr>
        <w:t>来源：</w:t>
      </w:r>
      <w:hyperlink w:anchor="source-2475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749">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474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4747">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18. 煤电灵活性改造超4.85亿千瓦 传统改造路线调节能力提升空间有限</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国家能源局有关负责同志就《实施意见》答记者问指出，融合政策旨在依托公用煤电机组推进融合，缓解新能源并网压力，统筹实现保供与降碳双重目标。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2026年8月，我国在运煤电发电量约占各类电源总发电量的一半，具备较大绿电替代空间；公用煤电机组装机占比接近九成。当前煤电平均调峰深度达40%左右，“十四五”期间全国累计完成煤电灵活性改造4.85亿千瓦，进一步压低机组最小技术出力的改造成本将明显抬升。新能源近三年年均新增装机达3.6亿千瓦，2026年上半年风电、光伏发电利用率分别为90.9%和91.4%，同比下降2.3和2.6个百分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传统煤电本体改造路线已难以进一步提升调节能力，融合模式以增量调节能力支撑增量新能源。</w:t>
      </w:r>
    </w:p>
    <w:p>
      <w:pPr>
        <w:ind w:firstLine="420"/>
      </w:pPr>
      <w:r>
        <w:rPr>
          <w:rFonts w:ascii="微软雅黑" w:hAnsi="微软雅黑" w:eastAsia="微软雅黑" w:cs="微软雅黑"/>
        </w:rPr>
        <w:t>来源：</w:t>
      </w:r>
      <w:hyperlink w:anchor="source-2474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4746">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19. 光伏技术出口管控与行业规范调整：效率门槛提高</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光伏制造行业规范条件《征求意见稿》对现有及新建、改扩建企业产品的平均光电转换效率提出更高门槛，同时光伏技术出口管控引发行业关注。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征求意见稿》明确现有光伏制造企业及项目产品的平均光电转换效率分别不低于25.3%、25.3%和25.6%（TOPCon、HJT、XBC），新建和改扩建企业及项目产品则分别要求不低于26.2%、26.0%和26.6%。光伏领域包括多晶硅制造、硅片制造、电池制造相关12项技术，技术管理范围也包含承载相关技术的关键和核心设备。</w:t>
      </w:r>
    </w:p>
    <w:p>
      <w:pPr>
        <w:ind w:firstLine="420"/>
      </w:pPr>
      <w:r>
        <w:rPr>
          <w:rFonts w:ascii="微软雅黑" w:hAnsi="微软雅黑" w:eastAsia="微软雅黑" w:cs="微软雅黑"/>
        </w:rPr>
        <w:t>来源：</w:t>
      </w:r>
      <w:hyperlink w:anchor="source-25163">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20. 磷酸铁锂又现“大订单”，高端产品供需紧张、价格回升</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龙蟠科技控股子公司南京锂源与吉曜通行签署大额磷酸铁锂正极材料销售协议，高端产品供需紧张，行业价格明显回升。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8日，龙蟠科技公告披露，控股子公司南京锂源与吉曜通行签署协议，2026年至2030年期间合计向其销售37.86万至56.78万吨磷酸铁锂正极材料。今年10月中旬磷酸铁锂（动力型）市场主流价格为4.5万—5.0万元/吨，均价4.75万元/吨，较2025年6月的3万元/吨低点上涨约60%，此前被压缩的行业利润空间得到修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磷酸铁锂价格较低点上涨约60%，此前被压缩的行业利润空间得到修复。</w:t>
      </w:r>
    </w:p>
    <w:p>
      <w:pPr>
        <w:ind w:firstLine="420"/>
      </w:pPr>
      <w:r>
        <w:rPr>
          <w:rFonts w:ascii="微软雅黑" w:hAnsi="微软雅黑" w:eastAsia="微软雅黑" w:cs="微软雅黑"/>
        </w:rPr>
        <w:t>来源：</w:t>
      </w:r>
      <w:hyperlink w:anchor="source-24972">
        <w:r>
          <w:rPr>
            <w:rFonts w:ascii="微软雅黑" w:hAnsi="微软雅黑" w:eastAsia="微软雅黑" w:cs="微软雅黑"/>
            <w:color w:val="087E89"/>
          </w:rPr>
          <w:t>20</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下一个监管焦点是Rosebank项目，Adura等机构敦促政府尽快批准；INEOS呼吁在预算中修改能源利润税。 </w:t>
      </w:r>
      <w:hyperlink w:anchor="source-25082">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4655">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融合项目须与公用电网形成清晰的物理界面与责任界面并公平承担相关费用，新能源规模须与煤电机组改造提升的调节能力匹配，相关标准规范仍待完善。 </w:t>
      </w:r>
      <w:hyperlink w:anchor="source-2475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4749">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4748">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474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储备释放时间取决于成员国决定及市场动态；柴油供应紧张能否在2027年缓解尚无可靠迹象。 </w:t>
      </w:r>
      <w:hyperlink w:anchor="source-24334">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24528">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部分州将实施全面轮流停电，停电范围与持续时间尚待观察。 </w:t>
      </w:r>
      <w:hyperlink w:anchor="source-24616">
        <w:r>
          <w:rPr>
            <w:rFonts w:ascii="微软雅黑" w:hAnsi="微软雅黑" w:eastAsia="微软雅黑" w:cs="微软雅黑"/>
            <w:color w:val="087E89"/>
          </w:rPr>
          <w:t>12</w:t>
        </w:r>
      </w:hyperlink>
      <w:r>
        <w:rPr>
          <w:rFonts w:ascii="微软雅黑" w:hAnsi="微软雅黑" w:eastAsia="微软雅黑" w:cs="微软雅黑"/>
        </w:rPr>
      </w:r>
    </w:p>
    <w:p>
      <w:pPr>
        <w:pStyle w:val="ListBullet"/>
      </w:pPr>
      <w:r>
        <w:rPr>
          <w:rFonts w:ascii="微软雅黑" w:hAnsi="微软雅黑" w:eastAsia="微软雅黑" w:cs="微软雅黑"/>
        </w:rPr>
        <w:t xml:space="preserve">安检高压、煤矿隐蔽工作面关闭退出及外包人员清退等因素下同比仍呈降势，后续产量恢复情况待观察。 </w:t>
      </w:r>
      <w:hyperlink w:anchor="source-25178">
        <w:r>
          <w:rPr>
            <w:rFonts w:ascii="微软雅黑" w:hAnsi="微软雅黑" w:eastAsia="微软雅黑" w:cs="微软雅黑"/>
            <w:color w:val="087E89"/>
          </w:rPr>
          <w:t>13</w:t>
        </w:r>
      </w:hyperlink>
      <w:r>
        <w:rPr>
          <w:rFonts w:ascii="微软雅黑" w:hAnsi="微软雅黑" w:eastAsia="微软雅黑" w:cs="微软雅黑"/>
        </w:rPr>
      </w:r>
    </w:p>
    <w:p>
      <w:pPr>
        <w:pStyle w:val="ListBullet"/>
      </w:pPr>
      <w:r>
        <w:rPr>
          <w:rFonts w:ascii="微软雅黑" w:hAnsi="微软雅黑" w:eastAsia="微软雅黑" w:cs="微软雅黑"/>
        </w:rPr>
        <w:t xml:space="preserve">《征求意见稿》尚处征求意见阶段，最终落地要求待明确。 </w:t>
      </w:r>
      <w:hyperlink w:anchor="source-25163">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419 篇文章，形成 399 篇有效能源材料；正文引用 28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4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5082"/>
      <w:bookmarkEnd w:id="1" w:name="source-25082"/>
    </w:p>
    <w:p>
      <w:pPr>
        <w:pStyle w:val="ListBullet"/>
      </w:pPr>
      <w:r>
        <w:rPr>
          <w:rFonts w:ascii="微软雅黑" w:hAnsi="微软雅黑" w:eastAsia="微软雅黑" w:cs="微软雅黑"/>
        </w:rPr>
        <w:t>[1] World Oil｜</w:t>
      </w:r>
      <w:hyperlink r:id="rId11">
        <w:r>
          <w:rPr>
            <w:rFonts w:ascii="微软雅黑" w:hAnsi="微软雅黑" w:eastAsia="微软雅黑" w:cs="微软雅黑"/>
            <w:color w:val="087E89"/>
          </w:rPr>
          <w:t>英国批准Jackdaw气田，本月内预计首次产气</w:t>
        </w:r>
      </w:hyperlink>
      <w:r>
        <w:rPr>
          <w:rFonts w:ascii="微软雅黑" w:hAnsi="微软雅黑" w:eastAsia="微软雅黑" w:cs="微软雅黑"/>
        </w:rPr>
      </w:r>
    </w:p>
    <w:p>
      <w:pPr>
        <w:spacing w:after="0" w:line="20" w:lineRule="exact"/>
      </w:pPr>
      <w:bookmarkStart w:id="2" w:name="source-24655"/>
      <w:bookmarkEnd w:id="2" w:name="source-24655"/>
    </w:p>
    <w:p>
      <w:pPr>
        <w:pStyle w:val="ListBullet"/>
      </w:pPr>
      <w:r>
        <w:rPr>
          <w:rFonts w:ascii="微软雅黑" w:hAnsi="微软雅黑" w:eastAsia="微软雅黑" w:cs="微软雅黑"/>
        </w:rPr>
        <w:t>[2] 英国政府｜</w:t>
      </w:r>
      <w:hyperlink r:id="rId12">
        <w:r>
          <w:rPr>
            <w:rFonts w:ascii="微软雅黑" w:hAnsi="微软雅黑" w:eastAsia="微软雅黑" w:cs="微软雅黑"/>
            <w:color w:val="087E89"/>
          </w:rPr>
          <w:t>Jackdaw气田获得绿灯</w:t>
        </w:r>
      </w:hyperlink>
      <w:r>
        <w:rPr>
          <w:rFonts w:ascii="微软雅黑" w:hAnsi="微软雅黑" w:eastAsia="微软雅黑" w:cs="微软雅黑"/>
        </w:rPr>
      </w:r>
    </w:p>
    <w:p>
      <w:pPr>
        <w:spacing w:after="0" w:line="20" w:lineRule="exact"/>
      </w:pPr>
      <w:bookmarkStart w:id="3" w:name="source-24750"/>
      <w:bookmarkEnd w:id="3" w:name="source-24750"/>
    </w:p>
    <w:p>
      <w:pPr>
        <w:pStyle w:val="ListBullet"/>
      </w:pPr>
      <w:r>
        <w:rPr>
          <w:rFonts w:ascii="微软雅黑" w:hAnsi="微软雅黑" w:eastAsia="微软雅黑" w:cs="微软雅黑"/>
        </w:rPr>
        <w:t>[3] 国家能源局｜</w:t>
      </w:r>
      <w:hyperlink r:id="rId13">
        <w:r>
          <w:rPr>
            <w:rFonts w:ascii="微软雅黑" w:hAnsi="微软雅黑" w:eastAsia="微软雅黑" w:cs="微软雅黑"/>
            <w:color w:val="087E89"/>
          </w:rPr>
          <w:t>推动煤电与新能源融合发展 以系统协同促进绿色低碳转型</w:t>
        </w:r>
      </w:hyperlink>
      <w:r>
        <w:rPr>
          <w:rFonts w:ascii="微软雅黑" w:hAnsi="微软雅黑" w:eastAsia="微软雅黑" w:cs="微软雅黑"/>
        </w:rPr>
      </w:r>
    </w:p>
    <w:p>
      <w:pPr>
        <w:spacing w:after="0" w:line="20" w:lineRule="exact"/>
      </w:pPr>
      <w:bookmarkStart w:id="4" w:name="source-24749"/>
      <w:bookmarkEnd w:id="4" w:name="source-24749"/>
    </w:p>
    <w:p>
      <w:pPr>
        <w:pStyle w:val="ListBullet"/>
      </w:pPr>
      <w:r>
        <w:rPr>
          <w:rFonts w:ascii="微软雅黑" w:hAnsi="微软雅黑" w:eastAsia="微软雅黑" w:cs="微软雅黑"/>
        </w:rPr>
        <w:t>[4] 国家能源局｜</w:t>
      </w:r>
      <w:hyperlink r:id="rId14">
        <w:r>
          <w:rPr>
            <w:rFonts w:ascii="微软雅黑" w:hAnsi="微软雅黑" w:eastAsia="微软雅黑" w:cs="微软雅黑"/>
            <w:color w:val="087E89"/>
          </w:rPr>
          <w:t>推动煤电与新能源融合发展 拓展新能源开发消纳空间</w:t>
        </w:r>
      </w:hyperlink>
      <w:r>
        <w:rPr>
          <w:rFonts w:ascii="微软雅黑" w:hAnsi="微软雅黑" w:eastAsia="微软雅黑" w:cs="微软雅黑"/>
        </w:rPr>
      </w:r>
    </w:p>
    <w:p>
      <w:pPr>
        <w:spacing w:after="0" w:line="20" w:lineRule="exact"/>
      </w:pPr>
      <w:bookmarkStart w:id="5" w:name="source-24748"/>
      <w:bookmarkEnd w:id="5" w:name="source-24748"/>
    </w:p>
    <w:p>
      <w:pPr>
        <w:pStyle w:val="ListBullet"/>
      </w:pPr>
      <w:r>
        <w:rPr>
          <w:rFonts w:ascii="微软雅黑" w:hAnsi="微软雅黑" w:eastAsia="微软雅黑" w:cs="微软雅黑"/>
        </w:rPr>
        <w:t>[5] 国家能源局｜</w:t>
      </w:r>
      <w:hyperlink r:id="rId15">
        <w:r>
          <w:rPr>
            <w:rFonts w:ascii="微软雅黑" w:hAnsi="微软雅黑" w:eastAsia="微软雅黑" w:cs="微软雅黑"/>
            <w:color w:val="087E89"/>
          </w:rPr>
          <w:t>加快煤电与新能源融合发展 助推电力行业绿色低碳转型</w:t>
        </w:r>
      </w:hyperlink>
      <w:r>
        <w:rPr>
          <w:rFonts w:ascii="微软雅黑" w:hAnsi="微软雅黑" w:eastAsia="微软雅黑" w:cs="微软雅黑"/>
        </w:rPr>
      </w:r>
    </w:p>
    <w:p>
      <w:pPr>
        <w:spacing w:after="0" w:line="20" w:lineRule="exact"/>
      </w:pPr>
      <w:bookmarkStart w:id="6" w:name="source-24747"/>
      <w:bookmarkEnd w:id="6" w:name="source-24747"/>
    </w:p>
    <w:p>
      <w:pPr>
        <w:pStyle w:val="ListBullet"/>
      </w:pPr>
      <w:r>
        <w:rPr>
          <w:rFonts w:ascii="微软雅黑" w:hAnsi="微软雅黑" w:eastAsia="微软雅黑" w:cs="微软雅黑"/>
        </w:rPr>
        <w:t>[6] 国家能源局｜</w:t>
      </w:r>
      <w:hyperlink r:id="rId16">
        <w:r>
          <w:rPr>
            <w:rFonts w:ascii="微软雅黑" w:hAnsi="微软雅黑" w:eastAsia="微软雅黑" w:cs="微软雅黑"/>
            <w:color w:val="087E89"/>
          </w:rPr>
          <w:t>国家能源局有关负责同志就《关于推动煤电与新能源融合发展的实施意见》答记者问</w:t>
        </w:r>
      </w:hyperlink>
      <w:r>
        <w:rPr>
          <w:rFonts w:ascii="微软雅黑" w:hAnsi="微软雅黑" w:eastAsia="微软雅黑" w:cs="微软雅黑"/>
        </w:rPr>
      </w:r>
    </w:p>
    <w:p>
      <w:pPr>
        <w:spacing w:after="0" w:line="20" w:lineRule="exact"/>
      </w:pPr>
      <w:bookmarkStart w:id="7" w:name="source-24661"/>
      <w:bookmarkEnd w:id="7" w:name="source-24661"/>
    </w:p>
    <w:p>
      <w:pPr>
        <w:pStyle w:val="ListBullet"/>
      </w:pPr>
      <w:r>
        <w:rPr>
          <w:rFonts w:ascii="微软雅黑" w:hAnsi="微软雅黑" w:eastAsia="微软雅黑" w:cs="微软雅黑"/>
        </w:rPr>
        <w:t>[7] 人民日报｜</w:t>
      </w:r>
      <w:hyperlink r:id="rId17">
        <w:r>
          <w:rPr>
            <w:rFonts w:ascii="微软雅黑" w:hAnsi="微软雅黑" w:eastAsia="微软雅黑" w:cs="微软雅黑"/>
            <w:color w:val="087E89"/>
          </w:rPr>
          <w:t>凛冬将至，欧洲再临“能源关”（环球热点）</w:t>
        </w:r>
      </w:hyperlink>
      <w:r>
        <w:rPr>
          <w:rFonts w:ascii="微软雅黑" w:hAnsi="微软雅黑" w:eastAsia="微软雅黑" w:cs="微软雅黑"/>
        </w:rPr>
      </w:r>
    </w:p>
    <w:p>
      <w:pPr>
        <w:spacing w:after="0" w:line="20" w:lineRule="exact"/>
      </w:pPr>
      <w:bookmarkStart w:id="8" w:name="source-24334"/>
      <w:bookmarkEnd w:id="8" w:name="source-24334"/>
    </w:p>
    <w:p>
      <w:pPr>
        <w:pStyle w:val="ListBullet"/>
      </w:pPr>
      <w:r>
        <w:rPr>
          <w:rFonts w:ascii="微软雅黑" w:hAnsi="微软雅黑" w:eastAsia="微软雅黑" w:cs="微软雅黑"/>
        </w:rPr>
        <w:t>[8] 叙利亚通讯社｜</w:t>
      </w:r>
      <w:hyperlink r:id="rId18">
        <w:r>
          <w:rPr>
            <w:rFonts w:ascii="微软雅黑" w:hAnsi="微软雅黑" w:eastAsia="微软雅黑" w:cs="微软雅黑"/>
            <w:color w:val="087E89"/>
          </w:rPr>
          <w:t>国际能源署准备协调进一步释放紧急石油储备</w:t>
        </w:r>
      </w:hyperlink>
      <w:r>
        <w:rPr>
          <w:rFonts w:ascii="微软雅黑" w:hAnsi="微软雅黑" w:eastAsia="微软雅黑" w:cs="微软雅黑"/>
        </w:rPr>
      </w:r>
    </w:p>
    <w:p>
      <w:pPr>
        <w:spacing w:after="0" w:line="20" w:lineRule="exact"/>
      </w:pPr>
      <w:bookmarkStart w:id="9" w:name="source-24528"/>
      <w:bookmarkEnd w:id="9" w:name="source-24528"/>
    </w:p>
    <w:p>
      <w:pPr>
        <w:pStyle w:val="ListBullet"/>
      </w:pPr>
      <w:r>
        <w:rPr>
          <w:rFonts w:ascii="微软雅黑" w:hAnsi="微软雅黑" w:eastAsia="微软雅黑" w:cs="微软雅黑"/>
        </w:rPr>
        <w:t>[9] Green Building Africa｜</w:t>
      </w:r>
      <w:hyperlink r:id="rId19">
        <w:r>
          <w:rPr>
            <w:rFonts w:ascii="微软雅黑" w:hAnsi="微软雅黑" w:eastAsia="微软雅黑" w:cs="微软雅黑"/>
            <w:color w:val="087E89"/>
          </w:rPr>
          <w:t>IEA警告柴油供应紧张或持续至2027年，石油市场依然脆弱</w:t>
        </w:r>
      </w:hyperlink>
      <w:r>
        <w:rPr>
          <w:rFonts w:ascii="微软雅黑" w:hAnsi="微软雅黑" w:eastAsia="微软雅黑" w:cs="微软雅黑"/>
        </w:rPr>
      </w:r>
    </w:p>
    <w:p>
      <w:pPr>
        <w:spacing w:after="0" w:line="20" w:lineRule="exact"/>
      </w:pPr>
      <w:bookmarkStart w:id="10" w:name="source-25177"/>
      <w:bookmarkEnd w:id="10" w:name="source-25177"/>
    </w:p>
    <w:p>
      <w:pPr>
        <w:pStyle w:val="ListBullet"/>
      </w:pPr>
      <w:r>
        <w:rPr>
          <w:rFonts w:ascii="微软雅黑" w:hAnsi="微软雅黑" w:eastAsia="微软雅黑" w:cs="微软雅黑"/>
        </w:rPr>
        <w:t>[10] 中国能源网｜</w:t>
      </w:r>
      <w:hyperlink r:id="rId20">
        <w:r>
          <w:rPr>
            <w:rFonts w:ascii="微软雅黑" w:hAnsi="微软雅黑" w:eastAsia="微软雅黑" w:cs="微软雅黑"/>
            <w:color w:val="087E89"/>
          </w:rPr>
          <w:t>创新高!全球动力煤价格上涨达到每吨154.6美元</w:t>
        </w:r>
      </w:hyperlink>
      <w:r>
        <w:rPr>
          <w:rFonts w:ascii="微软雅黑" w:hAnsi="微软雅黑" w:eastAsia="微软雅黑" w:cs="微软雅黑"/>
        </w:rPr>
      </w:r>
    </w:p>
    <w:p>
      <w:pPr>
        <w:spacing w:after="0" w:line="20" w:lineRule="exact"/>
      </w:pPr>
      <w:bookmarkStart w:id="11" w:name="source-24888"/>
      <w:bookmarkEnd w:id="11" w:name="source-24888"/>
    </w:p>
    <w:p>
      <w:pPr>
        <w:pStyle w:val="ListBullet"/>
      </w:pPr>
      <w:r>
        <w:rPr>
          <w:rFonts w:ascii="微软雅黑" w:hAnsi="微软雅黑" w:eastAsia="微软雅黑" w:cs="微软雅黑"/>
        </w:rPr>
        <w:t>[11] 中国新闻网｜</w:t>
      </w:r>
      <w:hyperlink r:id="rId21">
        <w:r>
          <w:rPr>
            <w:rFonts w:ascii="微软雅黑" w:hAnsi="微软雅黑" w:eastAsia="微软雅黑" w:cs="微软雅黑"/>
            <w:color w:val="087E89"/>
          </w:rPr>
          <w:t>生态环境部：我国应对气候变化成效显著</w:t>
        </w:r>
      </w:hyperlink>
      <w:r>
        <w:rPr>
          <w:rFonts w:ascii="微软雅黑" w:hAnsi="微软雅黑" w:eastAsia="微软雅黑" w:cs="微软雅黑"/>
        </w:rPr>
      </w:r>
    </w:p>
    <w:p>
      <w:pPr>
        <w:spacing w:after="0" w:line="20" w:lineRule="exact"/>
      </w:pPr>
      <w:bookmarkStart w:id="12" w:name="source-24616"/>
      <w:bookmarkEnd w:id="12" w:name="source-24616"/>
    </w:p>
    <w:p>
      <w:pPr>
        <w:pStyle w:val="ListBullet"/>
      </w:pPr>
      <w:r>
        <w:rPr>
          <w:rFonts w:ascii="微软雅黑" w:hAnsi="微软雅黑" w:eastAsia="微软雅黑" w:cs="微软雅黑"/>
        </w:rPr>
        <w:t>[12] 中国能源新闻网｜</w:t>
      </w:r>
      <w:hyperlink r:id="rId22">
        <w:r>
          <w:rPr>
            <w:rFonts w:ascii="微软雅黑" w:hAnsi="微软雅黑" w:eastAsia="微软雅黑" w:cs="微软雅黑"/>
            <w:color w:val="087E89"/>
          </w:rPr>
          <w:t>乌克兰国家电力公司宣布全境开始工业限电</w:t>
        </w:r>
      </w:hyperlink>
      <w:r>
        <w:rPr>
          <w:rFonts w:ascii="微软雅黑" w:hAnsi="微软雅黑" w:eastAsia="微软雅黑" w:cs="微软雅黑"/>
        </w:rPr>
      </w:r>
    </w:p>
    <w:p>
      <w:pPr>
        <w:spacing w:after="0" w:line="20" w:lineRule="exact"/>
      </w:pPr>
      <w:bookmarkStart w:id="13" w:name="source-25178"/>
      <w:bookmarkEnd w:id="13" w:name="source-25178"/>
    </w:p>
    <w:p>
      <w:pPr>
        <w:pStyle w:val="ListBullet"/>
      </w:pPr>
      <w:r>
        <w:rPr>
          <w:rFonts w:ascii="微软雅黑" w:hAnsi="微软雅黑" w:eastAsia="微软雅黑" w:cs="微软雅黑"/>
        </w:rPr>
        <w:t>[13] 中国能源网｜</w:t>
      </w:r>
      <w:hyperlink r:id="rId23">
        <w:r>
          <w:rPr>
            <w:rFonts w:ascii="微软雅黑" w:hAnsi="微软雅黑" w:eastAsia="微软雅黑" w:cs="微软雅黑"/>
            <w:color w:val="087E89"/>
          </w:rPr>
          <w:t>9月煤炭供需数据简析：产量显著改善 火电环比大幅下降</w:t>
        </w:r>
      </w:hyperlink>
      <w:r>
        <w:rPr>
          <w:rFonts w:ascii="微软雅黑" w:hAnsi="微软雅黑" w:eastAsia="微软雅黑" w:cs="微软雅黑"/>
        </w:rPr>
      </w:r>
    </w:p>
    <w:p>
      <w:pPr>
        <w:spacing w:after="0" w:line="20" w:lineRule="exact"/>
      </w:pPr>
      <w:bookmarkStart w:id="14" w:name="source-25163"/>
      <w:bookmarkEnd w:id="14" w:name="source-25163"/>
    </w:p>
    <w:p>
      <w:pPr>
        <w:pStyle w:val="ListBullet"/>
      </w:pPr>
      <w:r>
        <w:rPr>
          <w:rFonts w:ascii="微软雅黑" w:hAnsi="微软雅黑" w:eastAsia="微软雅黑" w:cs="微软雅黑"/>
        </w:rPr>
        <w:t>[14] 中国能源新闻网｜</w:t>
      </w:r>
      <w:hyperlink r:id="rId24">
        <w:r>
          <w:rPr>
            <w:rFonts w:ascii="微软雅黑" w:hAnsi="微软雅黑" w:eastAsia="微软雅黑" w:cs="微软雅黑"/>
            <w:color w:val="087E89"/>
          </w:rPr>
          <w:t>中能观察丨如何看待光伏技术出口管控、行业规范调整?</w:t>
        </w:r>
      </w:hyperlink>
      <w:r>
        <w:rPr>
          <w:rFonts w:ascii="微软雅黑" w:hAnsi="微软雅黑" w:eastAsia="微软雅黑" w:cs="微软雅黑"/>
        </w:rPr>
      </w:r>
    </w:p>
    <w:p>
      <w:pPr>
        <w:spacing w:after="0" w:line="20" w:lineRule="exact"/>
      </w:pPr>
      <w:bookmarkStart w:id="15" w:name="source-25148"/>
      <w:bookmarkEnd w:id="15" w:name="source-25148"/>
    </w:p>
    <w:p>
      <w:pPr>
        <w:pStyle w:val="ListBullet"/>
      </w:pPr>
      <w:r>
        <w:rPr>
          <w:rFonts w:ascii="微软雅黑" w:hAnsi="微软雅黑" w:eastAsia="微软雅黑" w:cs="微软雅黑"/>
        </w:rPr>
        <w:t>[15] Nuclear Engineering International｜</w:t>
      </w:r>
      <w:hyperlink r:id="rId25">
        <w:r>
          <w:rPr>
            <w:rFonts w:ascii="微软雅黑" w:hAnsi="微软雅黑" w:eastAsia="微软雅黑" w:cs="微软雅黑"/>
            <w:color w:val="087E89"/>
          </w:rPr>
          <w:t>X-energy与AEP评估印第安纳州小型模块化反应堆</w:t>
        </w:r>
      </w:hyperlink>
      <w:r>
        <w:rPr>
          <w:rFonts w:ascii="微软雅黑" w:hAnsi="微软雅黑" w:eastAsia="微软雅黑" w:cs="微软雅黑"/>
        </w:rPr>
      </w:r>
    </w:p>
    <w:p>
      <w:pPr>
        <w:spacing w:after="0" w:line="20" w:lineRule="exact"/>
      </w:pPr>
      <w:bookmarkStart w:id="16" w:name="source-25020"/>
      <w:bookmarkEnd w:id="16" w:name="source-25020"/>
    </w:p>
    <w:p>
      <w:pPr>
        <w:pStyle w:val="ListBullet"/>
      </w:pPr>
      <w:r>
        <w:rPr>
          <w:rFonts w:ascii="微软雅黑" w:hAnsi="微软雅黑" w:eastAsia="微软雅黑" w:cs="微软雅黑"/>
        </w:rPr>
        <w:t>[16] 光伏杂志国际版｜</w:t>
      </w:r>
      <w:hyperlink r:id="rId26">
        <w:r>
          <w:rPr>
            <w:rFonts w:ascii="微软雅黑" w:hAnsi="微软雅黑" w:eastAsia="微软雅黑" w:cs="微软雅黑"/>
            <w:color w:val="087E89"/>
          </w:rPr>
          <w:t>欧洲复兴开发银行牵头的贷款方为埃及1.2吉瓦太阳能、600兆瓦时储存项目提供支持</w:t>
        </w:r>
      </w:hyperlink>
      <w:r>
        <w:rPr>
          <w:rFonts w:ascii="微软雅黑" w:hAnsi="微软雅黑" w:eastAsia="微软雅黑" w:cs="微软雅黑"/>
        </w:rPr>
      </w:r>
    </w:p>
    <w:p>
      <w:pPr>
        <w:spacing w:after="0" w:line="20" w:lineRule="exact"/>
      </w:pPr>
      <w:bookmarkStart w:id="17" w:name="source-24899"/>
      <w:bookmarkEnd w:id="17" w:name="source-24899"/>
    </w:p>
    <w:p>
      <w:pPr>
        <w:pStyle w:val="ListBullet"/>
      </w:pPr>
      <w:r>
        <w:rPr>
          <w:rFonts w:ascii="微软雅黑" w:hAnsi="微软雅黑" w:eastAsia="微软雅黑" w:cs="微软雅黑"/>
        </w:rPr>
        <w:t>[17] 中国能源新闻网｜</w:t>
      </w:r>
      <w:hyperlink r:id="rId27">
        <w:r>
          <w:rPr>
            <w:rFonts w:ascii="微软雅黑" w:hAnsi="微软雅黑" w:eastAsia="微软雅黑" w:cs="微软雅黑"/>
            <w:color w:val="087E89"/>
          </w:rPr>
          <w:t>川渝印发美丽中国先行区建设实施方案</w:t>
        </w:r>
      </w:hyperlink>
      <w:r>
        <w:rPr>
          <w:rFonts w:ascii="微软雅黑" w:hAnsi="微软雅黑" w:eastAsia="微软雅黑" w:cs="微软雅黑"/>
        </w:rPr>
      </w:r>
    </w:p>
    <w:p>
      <w:pPr>
        <w:spacing w:after="0" w:line="20" w:lineRule="exact"/>
      </w:pPr>
      <w:bookmarkStart w:id="18" w:name="source-24656"/>
      <w:bookmarkEnd w:id="18" w:name="source-24656"/>
    </w:p>
    <w:p>
      <w:pPr>
        <w:pStyle w:val="ListBullet"/>
      </w:pPr>
      <w:r>
        <w:rPr>
          <w:rFonts w:ascii="微软雅黑" w:hAnsi="微软雅黑" w:eastAsia="微软雅黑" w:cs="微软雅黑"/>
        </w:rPr>
        <w:t>[18] The Edge Malaysia等｜</w:t>
      </w:r>
      <w:hyperlink r:id="rId28">
        <w:r>
          <w:rPr>
            <w:rFonts w:ascii="微软雅黑" w:hAnsi="微软雅黑" w:eastAsia="微软雅黑" w:cs="微软雅黑"/>
            <w:color w:val="087E89"/>
          </w:rPr>
          <w:t>印尼霾威胁支撑棕榈油产量的微小昆虫</w:t>
        </w:r>
      </w:hyperlink>
      <w:r>
        <w:rPr>
          <w:rFonts w:ascii="微软雅黑" w:hAnsi="微软雅黑" w:eastAsia="微软雅黑" w:cs="微软雅黑"/>
        </w:rPr>
      </w:r>
    </w:p>
    <w:p>
      <w:pPr>
        <w:spacing w:after="0" w:line="20" w:lineRule="exact"/>
      </w:pPr>
      <w:bookmarkStart w:id="19" w:name="source-24496"/>
      <w:bookmarkEnd w:id="19" w:name="source-24496"/>
    </w:p>
    <w:p>
      <w:pPr>
        <w:pStyle w:val="ListBullet"/>
      </w:pPr>
      <w:r>
        <w:rPr>
          <w:rFonts w:ascii="微软雅黑" w:hAnsi="微软雅黑" w:eastAsia="微软雅黑" w:cs="微软雅黑"/>
        </w:rPr>
        <w:t>[19] 中国新闻网｜</w:t>
      </w:r>
      <w:hyperlink r:id="rId29">
        <w:r>
          <w:rPr>
            <w:rFonts w:ascii="微软雅黑" w:hAnsi="微软雅黑" w:eastAsia="微软雅黑" w:cs="微软雅黑"/>
            <w:color w:val="087E89"/>
          </w:rPr>
          <w:t>我国应对气候变化工作取得显著成效</w:t>
        </w:r>
      </w:hyperlink>
      <w:r>
        <w:rPr>
          <w:rFonts w:ascii="微软雅黑" w:hAnsi="微软雅黑" w:eastAsia="微软雅黑" w:cs="微软雅黑"/>
        </w:rPr>
      </w:r>
    </w:p>
    <w:p>
      <w:pPr>
        <w:spacing w:after="0" w:line="20" w:lineRule="exact"/>
      </w:pPr>
      <w:bookmarkStart w:id="20" w:name="source-24972"/>
      <w:bookmarkEnd w:id="20" w:name="source-24972"/>
    </w:p>
    <w:p>
      <w:pPr>
        <w:pStyle w:val="ListBullet"/>
      </w:pPr>
      <w:r>
        <w:rPr>
          <w:rFonts w:ascii="微软雅黑" w:hAnsi="微软雅黑" w:eastAsia="微软雅黑" w:cs="微软雅黑"/>
        </w:rPr>
        <w:t>[20] SHMET（上海金属网）｜</w:t>
      </w:r>
      <w:hyperlink r:id="rId30">
        <w:r>
          <w:rPr>
            <w:rFonts w:ascii="微软雅黑" w:hAnsi="微软雅黑" w:eastAsia="微软雅黑" w:cs="微软雅黑"/>
            <w:color w:val="087E89"/>
          </w:rPr>
          <w:t>磷酸铁锂又现“大订单”，高端产品供需紧张</w:t>
        </w:r>
      </w:hyperlink>
      <w:r>
        <w:rPr>
          <w:rFonts w:ascii="微软雅黑" w:hAnsi="微软雅黑" w:eastAsia="微软雅黑" w:cs="微软雅黑"/>
        </w:rPr>
      </w:r>
    </w:p>
    <w:p>
      <w:pPr>
        <w:spacing w:after="0" w:line="20" w:lineRule="exact"/>
      </w:pPr>
      <w:bookmarkStart w:id="21" w:name="source-24497"/>
      <w:bookmarkEnd w:id="21" w:name="source-24497"/>
    </w:p>
    <w:p>
      <w:pPr>
        <w:pStyle w:val="ListBullet"/>
      </w:pPr>
      <w:r>
        <w:rPr>
          <w:rFonts w:ascii="微软雅黑" w:hAnsi="微软雅黑" w:eastAsia="微软雅黑" w:cs="微软雅黑"/>
        </w:rPr>
        <w:t>[21] 中国石油报·中国石油新闻中心｜</w:t>
      </w:r>
      <w:hyperlink r:id="rId31">
        <w:r>
          <w:rPr>
            <w:rFonts w:ascii="微软雅黑" w:hAnsi="微软雅黑" w:eastAsia="微软雅黑" w:cs="微软雅黑"/>
            <w:color w:val="087E89"/>
          </w:rPr>
          <w:t>吉林油田着力打造CCUS产业集群</w:t>
        </w:r>
      </w:hyperlink>
      <w:r>
        <w:rPr>
          <w:rFonts w:ascii="微软雅黑" w:hAnsi="微软雅黑" w:eastAsia="微软雅黑" w:cs="微软雅黑"/>
        </w:rPr>
      </w:r>
    </w:p>
    <w:p>
      <w:pPr>
        <w:spacing w:after="0" w:line="20" w:lineRule="exact"/>
      </w:pPr>
      <w:bookmarkStart w:id="22" w:name="source-24746"/>
      <w:bookmarkEnd w:id="22" w:name="source-24746"/>
    </w:p>
    <w:p>
      <w:pPr>
        <w:pStyle w:val="ListBullet"/>
      </w:pPr>
      <w:r>
        <w:rPr>
          <w:rFonts w:ascii="微软雅黑" w:hAnsi="微软雅黑" w:eastAsia="微软雅黑" w:cs="微软雅黑"/>
        </w:rPr>
        <w:t>[22] 国家能源局｜</w:t>
      </w:r>
      <w:hyperlink r:id="rId32">
        <w:r>
          <w:rPr>
            <w:rFonts w:ascii="微软雅黑" w:hAnsi="微软雅黑" w:eastAsia="微软雅黑" w:cs="微软雅黑"/>
            <w:color w:val="087E89"/>
          </w:rPr>
          <w:t>构建煤电与新能源融合发展模式 持续提升系统调节能力与绿色低碳水平</w:t>
        </w:r>
      </w:hyperlink>
      <w:r>
        <w:rPr>
          <w:rFonts w:ascii="微软雅黑" w:hAnsi="微软雅黑" w:eastAsia="微软雅黑" w:cs="微软雅黑"/>
        </w:rPr>
      </w:r>
    </w:p>
    <w:p>
      <w:pPr>
        <w:spacing w:after="0" w:line="20" w:lineRule="exact"/>
      </w:pPr>
      <w:bookmarkStart w:id="23" w:name="source-24410"/>
      <w:bookmarkEnd w:id="23" w:name="source-24410"/>
    </w:p>
    <w:p>
      <w:pPr>
        <w:pStyle w:val="ListBullet"/>
      </w:pPr>
      <w:r>
        <w:rPr>
          <w:rFonts w:ascii="微软雅黑" w:hAnsi="微软雅黑" w:eastAsia="微软雅黑" w:cs="微软雅黑"/>
        </w:rPr>
        <w:t>[23] 中国新闻网｜</w:t>
      </w:r>
      <w:hyperlink r:id="rId33">
        <w:r>
          <w:rPr>
            <w:rFonts w:ascii="微软雅黑" w:hAnsi="微软雅黑" w:eastAsia="微软雅黑" w:cs="微软雅黑"/>
            <w:color w:val="087E89"/>
          </w:rPr>
          <w:t>美战略石油储备降至44年来最低 美以伊战火重燃概率上升</w:t>
        </w:r>
      </w:hyperlink>
      <w:r>
        <w:rPr>
          <w:rFonts w:ascii="微软雅黑" w:hAnsi="微软雅黑" w:eastAsia="微软雅黑" w:cs="微软雅黑"/>
        </w:rPr>
      </w:r>
    </w:p>
    <w:p>
      <w:pPr>
        <w:spacing w:after="0" w:line="20" w:lineRule="exact"/>
      </w:pPr>
      <w:bookmarkStart w:id="24" w:name="source-24627"/>
      <w:bookmarkEnd w:id="24" w:name="source-24627"/>
    </w:p>
    <w:p>
      <w:pPr>
        <w:pStyle w:val="ListBullet"/>
      </w:pPr>
      <w:r>
        <w:rPr>
          <w:rFonts w:ascii="微软雅黑" w:hAnsi="微软雅黑" w:eastAsia="微软雅黑" w:cs="微软雅黑"/>
        </w:rPr>
        <w:t>[24] OGN News｜</w:t>
      </w:r>
      <w:hyperlink r:id="rId34">
        <w:r>
          <w:rPr>
            <w:rFonts w:ascii="微软雅黑" w:hAnsi="微软雅黑" w:eastAsia="微软雅黑" w:cs="微软雅黑"/>
            <w:color w:val="087E89"/>
          </w:rPr>
          <w:t>汇丰首席称：霍尔木兹海峡五年内可能变得多余；布伦特原油突破 $110</w:t>
        </w:r>
      </w:hyperlink>
      <w:r>
        <w:rPr>
          <w:rFonts w:ascii="微软雅黑" w:hAnsi="微软雅黑" w:eastAsia="微软雅黑" w:cs="微软雅黑"/>
        </w:rPr>
      </w:r>
    </w:p>
    <w:p>
      <w:pPr>
        <w:spacing w:after="0" w:line="20" w:lineRule="exact"/>
      </w:pPr>
      <w:bookmarkStart w:id="25" w:name="source-24615"/>
      <w:bookmarkEnd w:id="25" w:name="source-24615"/>
    </w:p>
    <w:p>
      <w:pPr>
        <w:pStyle w:val="ListBullet"/>
      </w:pPr>
      <w:r>
        <w:rPr>
          <w:rFonts w:ascii="微软雅黑" w:hAnsi="微软雅黑" w:eastAsia="微软雅黑" w:cs="微软雅黑"/>
        </w:rPr>
        <w:t>[25] 中国能源新闻网｜</w:t>
      </w:r>
      <w:hyperlink r:id="rId35">
        <w:r>
          <w:rPr>
            <w:rFonts w:ascii="微软雅黑" w:hAnsi="微软雅黑" w:eastAsia="微软雅黑" w:cs="微软雅黑"/>
            <w:color w:val="087E89"/>
          </w:rPr>
          <w:t>欧洲天然气基准价格近4年来首次突破90欧元</w:t>
        </w:r>
      </w:hyperlink>
      <w:r>
        <w:rPr>
          <w:rFonts w:ascii="微软雅黑" w:hAnsi="微软雅黑" w:eastAsia="微软雅黑" w:cs="微软雅黑"/>
        </w:rPr>
      </w:r>
    </w:p>
    <w:p>
      <w:pPr>
        <w:spacing w:after="0" w:line="20" w:lineRule="exact"/>
      </w:pPr>
      <w:bookmarkStart w:id="26" w:name="source-24341"/>
      <w:bookmarkEnd w:id="26" w:name="source-24341"/>
    </w:p>
    <w:p>
      <w:pPr>
        <w:pStyle w:val="ListBullet"/>
      </w:pPr>
      <w:r>
        <w:rPr>
          <w:rFonts w:ascii="微软雅黑" w:hAnsi="微软雅黑" w:eastAsia="微软雅黑" w:cs="微软雅黑"/>
        </w:rPr>
        <w:t>[26] 央视新闻等｜</w:t>
      </w:r>
      <w:hyperlink r:id="rId36">
        <w:r>
          <w:rPr>
            <w:rFonts w:ascii="微软雅黑" w:hAnsi="微软雅黑" w:eastAsia="微软雅黑" w:cs="微软雅黑"/>
            <w:color w:val="087E89"/>
          </w:rPr>
          <w:t>欧洲天然气基准价格近4年来首次突破90欧元</w:t>
        </w:r>
      </w:hyperlink>
      <w:r>
        <w:rPr>
          <w:rFonts w:ascii="微软雅黑" w:hAnsi="微软雅黑" w:eastAsia="微软雅黑" w:cs="微软雅黑"/>
        </w:rPr>
      </w:r>
    </w:p>
    <w:p>
      <w:pPr>
        <w:spacing w:after="0" w:line="20" w:lineRule="exact"/>
      </w:pPr>
      <w:bookmarkStart w:id="27" w:name="source-24920"/>
      <w:bookmarkEnd w:id="27" w:name="source-24920"/>
    </w:p>
    <w:p>
      <w:pPr>
        <w:pStyle w:val="ListBullet"/>
      </w:pPr>
      <w:r>
        <w:rPr>
          <w:rFonts w:ascii="微软雅黑" w:hAnsi="微软雅黑" w:eastAsia="微软雅黑" w:cs="微软雅黑"/>
        </w:rPr>
        <w:t>[27] 中国能源网｜</w:t>
      </w:r>
      <w:hyperlink r:id="rId37">
        <w:r>
          <w:rPr>
            <w:rFonts w:ascii="微软雅黑" w:hAnsi="微软雅黑" w:eastAsia="微软雅黑" w:cs="微软雅黑"/>
            <w:color w:val="087E89"/>
          </w:rPr>
          <w:t>凛冬将至，欧洲再临“能源关”</w:t>
        </w:r>
      </w:hyperlink>
      <w:r>
        <w:rPr>
          <w:rFonts w:ascii="微软雅黑" w:hAnsi="微软雅黑" w:eastAsia="微软雅黑" w:cs="微软雅黑"/>
        </w:rPr>
      </w:r>
    </w:p>
    <w:p>
      <w:pPr>
        <w:spacing w:after="0" w:line="20" w:lineRule="exact"/>
      </w:pPr>
      <w:bookmarkStart w:id="28" w:name="source-25164"/>
      <w:bookmarkEnd w:id="28" w:name="source-25164"/>
    </w:p>
    <w:p>
      <w:pPr>
        <w:pStyle w:val="ListBullet"/>
      </w:pPr>
      <w:r>
        <w:rPr>
          <w:rFonts w:ascii="微软雅黑" w:hAnsi="微软雅黑" w:eastAsia="微软雅黑" w:cs="微软雅黑"/>
        </w:rPr>
        <w:t>[28] 中国能源新闻网｜</w:t>
      </w:r>
      <w:hyperlink r:id="rId38">
        <w:r>
          <w:rPr>
            <w:rFonts w:ascii="微软雅黑" w:hAnsi="微软雅黑" w:eastAsia="微软雅黑" w:cs="微软雅黑"/>
            <w:color w:val="087E89"/>
          </w:rPr>
          <w:t>欧盟峰会暴露能源问题分歧</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worldoil.com/news/2026/10/21/uk-approves-jackdaw-gas-field-with-first-gas-expected-this-month/" TargetMode="External"/><Relationship Id="rId12" Type="http://schemas.openxmlformats.org/officeDocument/2006/relationships/hyperlink" Target="https://www.gov.uk/government/news/jackdaw-gas-field-gets-green-light" TargetMode="External"/><Relationship Id="rId13" Type="http://schemas.openxmlformats.org/officeDocument/2006/relationships/hyperlink" Target="https://www.nea.gov.cn/20261021/42676e4ebaf046299337ee12abf2e6c9/c.html" TargetMode="External"/><Relationship Id="rId14" Type="http://schemas.openxmlformats.org/officeDocument/2006/relationships/hyperlink" Target="https://www.nea.gov.cn/20261021/6b7a90e7354d449599dadb53f0e6e567/c.html" TargetMode="External"/><Relationship Id="rId15" Type="http://schemas.openxmlformats.org/officeDocument/2006/relationships/hyperlink" Target="https://www.nea.gov.cn/20261021/6e331f2bc41149efbbe5eabe9ecbf2b4/c.html" TargetMode="External"/><Relationship Id="rId16" Type="http://schemas.openxmlformats.org/officeDocument/2006/relationships/hyperlink" Target="https://www.nea.gov.cn/20261021/47444aa63de843ccb8c8e742d61eab6b/c.html" TargetMode="External"/><Relationship Id="rId17" Type="http://schemas.openxmlformats.org/officeDocument/2006/relationships/hyperlink" Target="http://world.people.com.cn/n1/2026/1021/c1002-40818706.html" TargetMode="External"/><Relationship Id="rId18" Type="http://schemas.openxmlformats.org/officeDocument/2006/relationships/hyperlink" Target="https://sana.sy/en/economic/2352546/" TargetMode="External"/><Relationship Id="rId19" Type="http://schemas.openxmlformats.org/officeDocument/2006/relationships/hyperlink" Target="https://www.greenbuildingafrica.co.za/iea-warns-diesel-squeeze-may-persist-into-2027-as-oil-markets-remain-fragile/" TargetMode="External"/><Relationship Id="rId20" Type="http://schemas.openxmlformats.org/officeDocument/2006/relationships/hyperlink" Target="https://www.china5e.com/news/news-1210720-1.html" TargetMode="External"/><Relationship Id="rId21" Type="http://schemas.openxmlformats.org/officeDocument/2006/relationships/hyperlink" Target="https://www.chinanews.com.cn/gn/2026/10-21/10718329.shtml" TargetMode="External"/><Relationship Id="rId22" Type="http://schemas.openxmlformats.org/officeDocument/2006/relationships/hyperlink" Target="https://www.cpnn.com.cn/news/gj/202610/t20261021_1921499.html" TargetMode="External"/><Relationship Id="rId23" Type="http://schemas.openxmlformats.org/officeDocument/2006/relationships/hyperlink" Target="https://www.china5e.com/news/news-1210719-1.html" TargetMode="External"/><Relationship Id="rId24" Type="http://schemas.openxmlformats.org/officeDocument/2006/relationships/hyperlink" Target="https://www.cpnn.com.cn/news/zngc/202610/t20261021_1921611.html" TargetMode="External"/><Relationship Id="rId25" Type="http://schemas.openxmlformats.org/officeDocument/2006/relationships/hyperlink" Target="https://www.neimagazine.com/news/x-energy-aep-assess-indiana-smrs/" TargetMode="External"/><Relationship Id="rId26" Type="http://schemas.openxmlformats.org/officeDocument/2006/relationships/hyperlink" Target="https://www.pv-magazine.com/2026/10/21/ebrd-led-lenders-back-1-2-gw-solar-600-mwh-storage-plant-in-egypt/" TargetMode="External"/><Relationship Id="rId27" Type="http://schemas.openxmlformats.org/officeDocument/2006/relationships/hyperlink" Target="https://www.cpnn.com.cn/news/dfny/202610/t20261021_1921559.html" TargetMode="External"/><Relationship Id="rId28" Type="http://schemas.openxmlformats.org/officeDocument/2006/relationships/hyperlink" Target="https://theedgemalaysia.com/node/822643" TargetMode="External"/><Relationship Id="rId29" Type="http://schemas.openxmlformats.org/officeDocument/2006/relationships/hyperlink" Target="https://www.chinanews.com.cn/sh/2026/10-21/10718299.shtml" TargetMode="External"/><Relationship Id="rId30" Type="http://schemas.openxmlformats.org/officeDocument/2006/relationships/hyperlink" Target="https://api.shmet.com/api/rest/news/v2/getNewsById?newsId=927709" TargetMode="External"/><Relationship Id="rId31" Type="http://schemas.openxmlformats.org/officeDocument/2006/relationships/hyperlink" Target="http://news.cnpc.com.cn/system/2026/10/21/030205425.shtml" TargetMode="External"/><Relationship Id="rId32" Type="http://schemas.openxmlformats.org/officeDocument/2006/relationships/hyperlink" Target="https://www.nea.gov.cn/20261021/083d58168f6c4a8481198a14b5aa1af2/c.html" TargetMode="External"/><Relationship Id="rId33" Type="http://schemas.openxmlformats.org/officeDocument/2006/relationships/hyperlink" Target="https://www.chinanews.com.cn/gj/2026/10-21/10718226.shtml" TargetMode="External"/><Relationship Id="rId34" Type="http://schemas.openxmlformats.org/officeDocument/2006/relationships/hyperlink" Target="https://ognnews.com/ArticleTA/488277/hormuz-could-become-redundant-in-five-years-says-hsbc-chief-brent-tops-110" TargetMode="External"/><Relationship Id="rId35" Type="http://schemas.openxmlformats.org/officeDocument/2006/relationships/hyperlink" Target="https://www.cpnn.com.cn/news/gj/202610/t20261021_1921500.html" TargetMode="External"/><Relationship Id="rId36" Type="http://schemas.openxmlformats.org/officeDocument/2006/relationships/hyperlink" Target="https://news.cctv.com/2026/10/21/ARTIXI8KeFlIXvc0pitrMfAD261020.shtml" TargetMode="External"/><Relationship Id="rId37" Type="http://schemas.openxmlformats.org/officeDocument/2006/relationships/hyperlink" Target="https://www.china5e.com/news/news-1210688-1.html" TargetMode="External"/><Relationship Id="rId38" Type="http://schemas.openxmlformats.org/officeDocument/2006/relationships/hyperlink" Target="https://www.cpnn.com.cn/news/gj/202610/t20261021_19216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2026年10月21日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