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信息覆盖时段：2026-10-25 00:00 至 2026-10-26 00:00（不含），Asia/Shanghai。</w:t>
      </w:r>
    </w:p>
    <w:p>
      <w:pPr/>
      <w:r>
        <w:rPr>
          <w:rFonts w:ascii="微软雅黑" w:hAnsi="微软雅黑" w:eastAsia="微软雅黑" w:cs="微软雅黑"/>
        </w:rPr>
        <w:t>统计区间：2026-10-25 至 2026-10-26（结束日不含，北京时间）</w:t>
      </w:r>
    </w:p>
    <w:p>
      <w:pPr>
        <w:ind w:firstLine="420"/>
      </w:pPr>
      <w:r>
        <w:rPr>
          <w:rFonts w:ascii="微软雅黑" w:hAnsi="微软雅黑" w:eastAsia="微软雅黑" w:cs="微软雅黑"/>
        </w:rPr>
        <w:t>资料更新截止：2026-10-26 06:55（北京时间）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南方区域电力市场正式运行 五省区统一出清 </w:t>
      </w:r>
      <w:hyperlink w:anchor="source-2727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24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伊朗外长：霍尔木兹海峡管理及航线“不会再与过去相同” </w:t>
      </w:r>
      <w:hyperlink w:anchor="source-27424">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强制配储松绑后独立储能成为新增项目主流路径 </w:t>
      </w:r>
      <w:hyperlink w:anchor="source-27392">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柔佛瞄准2031年前新增5吉瓦太阳能以满足数据中心需求 </w:t>
      </w:r>
      <w:hyperlink w:anchor="source-27372">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卡塔尔能源与Cheniere签约至2054年每年采购最多400万吨美国LNG </w:t>
      </w:r>
      <w:hyperlink w:anchor="source-27335">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南方区域电力市场交易累计电量</w:t>
            </w:r>
          </w:p>
        </w:tc>
        <w:tc>
          <w:tcPr>
            <w:tcW w:type="dxa" w:w="2268"/>
          </w:tcPr>
          <w:p>
            <w:pPr>
              <w:spacing w:after="40"/>
            </w:pPr>
            <w:r>
              <w:rPr>
                <w:rFonts w:ascii="微软雅黑" w:hAnsi="微软雅黑" w:eastAsia="微软雅黑" w:cs="微软雅黑"/>
              </w:rPr>
              <w:t>近9千亿千瓦时</w:t>
            </w:r>
          </w:p>
        </w:tc>
        <w:tc>
          <w:tcPr>
            <w:tcW w:type="dxa" w:w="2268"/>
          </w:tcPr>
          <w:p>
            <w:pPr>
              <w:spacing w:after="40"/>
            </w:pPr>
            <w:r>
              <w:rPr>
                <w:rFonts w:ascii="微软雅黑" w:hAnsi="微软雅黑" w:eastAsia="微软雅黑" w:cs="微软雅黑"/>
              </w:rPr>
              <w:t>2026年1-9月</w:t>
            </w:r>
          </w:p>
        </w:tc>
        <w:tc>
          <w:tcPr>
            <w:tcW w:type="dxa" w:w="2268"/>
          </w:tcPr>
          <w:p>
            <w:pPr>
              <w:spacing w:after="40"/>
            </w:pPr>
            <w:r>
              <w:rPr>
                <w:rFonts w:ascii="微软雅黑" w:hAnsi="微软雅黑" w:eastAsia="微软雅黑" w:cs="微软雅黑"/>
              </w:rPr>
            </w:r>
            <w:hyperlink w:anchor="source-2727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245">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南方区域电力市场交易电量占全网售电量比例</w:t>
            </w:r>
          </w:p>
        </w:tc>
        <w:tc>
          <w:tcPr>
            <w:tcW w:type="dxa" w:w="2268"/>
          </w:tcPr>
          <w:p>
            <w:pPr>
              <w:spacing w:after="40"/>
            </w:pPr>
            <w:r>
              <w:rPr>
                <w:rFonts w:ascii="微软雅黑" w:hAnsi="微软雅黑" w:eastAsia="微软雅黑" w:cs="微软雅黑"/>
              </w:rPr>
              <w:t>超七成</w:t>
            </w:r>
          </w:p>
        </w:tc>
        <w:tc>
          <w:tcPr>
            <w:tcW w:type="dxa" w:w="2268"/>
          </w:tcPr>
          <w:p>
            <w:pPr>
              <w:spacing w:after="40"/>
            </w:pPr>
            <w:r>
              <w:rPr>
                <w:rFonts w:ascii="微软雅黑" w:hAnsi="微软雅黑" w:eastAsia="微软雅黑" w:cs="微软雅黑"/>
              </w:rPr>
              <w:t>2026年1-9月</w:t>
            </w:r>
          </w:p>
        </w:tc>
        <w:tc>
          <w:tcPr>
            <w:tcW w:type="dxa" w:w="2268"/>
          </w:tcPr>
          <w:p>
            <w:pPr>
              <w:spacing w:after="40"/>
            </w:pPr>
            <w:r>
              <w:rPr>
                <w:rFonts w:ascii="微软雅黑" w:hAnsi="微软雅黑" w:eastAsia="微软雅黑" w:cs="微软雅黑"/>
              </w:rPr>
            </w:r>
            <w:hyperlink w:anchor="source-2727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245">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南方区域电力市场经营主体注册数</w:t>
            </w:r>
          </w:p>
        </w:tc>
        <w:tc>
          <w:tcPr>
            <w:tcW w:type="dxa" w:w="2268"/>
          </w:tcPr>
          <w:p>
            <w:pPr>
              <w:spacing w:after="40"/>
            </w:pPr>
            <w:r>
              <w:rPr>
                <w:rFonts w:ascii="微软雅黑" w:hAnsi="微软雅黑" w:eastAsia="微软雅黑" w:cs="微软雅黑"/>
              </w:rPr>
              <w:t>突破29万家</w:t>
            </w:r>
          </w:p>
        </w:tc>
        <w:tc>
          <w:tcPr>
            <w:tcW w:type="dxa" w:w="2268"/>
          </w:tcPr>
          <w:p>
            <w:pPr>
              <w:spacing w:after="40"/>
            </w:pPr>
            <w:r>
              <w:rPr>
                <w:rFonts w:ascii="微软雅黑" w:hAnsi="微软雅黑" w:eastAsia="微软雅黑" w:cs="微软雅黑"/>
              </w:rPr>
              <w:t>2026年10月</w:t>
            </w:r>
          </w:p>
        </w:tc>
        <w:tc>
          <w:tcPr>
            <w:tcW w:type="dxa" w:w="2268"/>
          </w:tcPr>
          <w:p>
            <w:pPr>
              <w:spacing w:after="40"/>
            </w:pPr>
            <w:r>
              <w:rPr>
                <w:rFonts w:ascii="微软雅黑" w:hAnsi="微软雅黑" w:eastAsia="微软雅黑" w:cs="微软雅黑"/>
              </w:rPr>
            </w:r>
            <w:hyperlink w:anchor="source-2727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245">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陕西第一批电网侧独立储能项目建设清单总规模</w:t>
            </w:r>
          </w:p>
        </w:tc>
        <w:tc>
          <w:tcPr>
            <w:tcW w:type="dxa" w:w="2268"/>
          </w:tcPr>
          <w:p>
            <w:pPr>
              <w:spacing w:after="40"/>
            </w:pPr>
            <w:r>
              <w:rPr>
                <w:rFonts w:ascii="微软雅黑" w:hAnsi="微软雅黑" w:eastAsia="微软雅黑" w:cs="微软雅黑"/>
              </w:rPr>
              <w:t>15个项目、202万千瓦、608万千瓦时</w:t>
            </w:r>
          </w:p>
        </w:tc>
        <w:tc>
          <w:tcPr>
            <w:tcW w:type="dxa" w:w="2268"/>
          </w:tcPr>
          <w:p>
            <w:pPr>
              <w:spacing w:after="40"/>
            </w:pPr>
            <w:r>
              <w:rPr>
                <w:rFonts w:ascii="微软雅黑" w:hAnsi="微软雅黑" w:eastAsia="微软雅黑" w:cs="微软雅黑"/>
              </w:rPr>
              <w:t>2026年6月下旬</w:t>
            </w:r>
          </w:p>
        </w:tc>
        <w:tc>
          <w:tcPr>
            <w:tcW w:type="dxa" w:w="2268"/>
          </w:tcPr>
          <w:p>
            <w:pPr>
              <w:spacing w:after="40"/>
            </w:pPr>
            <w:r>
              <w:rPr>
                <w:rFonts w:ascii="微软雅黑" w:hAnsi="微软雅黑" w:eastAsia="微软雅黑" w:cs="微软雅黑"/>
              </w:rPr>
            </w:r>
            <w:hyperlink w:anchor="source-27392">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马来西亚柔佛州计划新增太阳能发电容量</w:t>
            </w:r>
          </w:p>
        </w:tc>
        <w:tc>
          <w:tcPr>
            <w:tcW w:type="dxa" w:w="2268"/>
          </w:tcPr>
          <w:p>
            <w:pPr>
              <w:spacing w:after="40"/>
            </w:pPr>
            <w:r>
              <w:rPr>
                <w:rFonts w:ascii="微软雅黑" w:hAnsi="微软雅黑" w:eastAsia="微软雅黑" w:cs="微软雅黑"/>
              </w:rPr>
              <w:t>约5吉瓦（2030或2031年前）</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737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柔佛州已批准数据中心项目数量</w:t>
            </w:r>
          </w:p>
        </w:tc>
        <w:tc>
          <w:tcPr>
            <w:tcW w:type="dxa" w:w="2268"/>
          </w:tcPr>
          <w:p>
            <w:pPr>
              <w:spacing w:after="40"/>
            </w:pPr>
            <w:r>
              <w:rPr>
                <w:rFonts w:ascii="微软雅黑" w:hAnsi="微软雅黑" w:eastAsia="微软雅黑" w:cs="微软雅黑"/>
              </w:rPr>
              <w:t>65个（其中21个已投运）</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737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卡塔尔能源与Cheniere长期LNG采购协议年采购量</w:t>
            </w:r>
          </w:p>
        </w:tc>
        <w:tc>
          <w:tcPr>
            <w:tcW w:type="dxa" w:w="2268"/>
          </w:tcPr>
          <w:p>
            <w:pPr>
              <w:spacing w:after="40"/>
            </w:pPr>
            <w:r>
              <w:rPr>
                <w:rFonts w:ascii="微软雅黑" w:hAnsi="微软雅黑" w:eastAsia="微软雅黑" w:cs="微软雅黑"/>
              </w:rPr>
              <w:t>最多每年400万吨（MTPA）</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7335">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叙利亚石油公司紧急调派柴油油罐车数量</w:t>
            </w:r>
          </w:p>
        </w:tc>
        <w:tc>
          <w:tcPr>
            <w:tcW w:type="dxa" w:w="2268"/>
          </w:tcPr>
          <w:p>
            <w:pPr>
              <w:spacing w:after="40"/>
            </w:pPr>
            <w:r>
              <w:rPr>
                <w:rFonts w:ascii="微软雅黑" w:hAnsi="微软雅黑" w:eastAsia="微软雅黑" w:cs="微软雅黑"/>
              </w:rPr>
              <w:t>250辆</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7406">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中国炼焦煤总供应量</w:t>
            </w:r>
          </w:p>
        </w:tc>
        <w:tc>
          <w:tcPr>
            <w:tcW w:type="dxa" w:w="2268"/>
          </w:tcPr>
          <w:p>
            <w:pPr>
              <w:spacing w:after="40"/>
            </w:pPr>
            <w:r>
              <w:rPr>
                <w:rFonts w:ascii="微软雅黑" w:hAnsi="微软雅黑" w:eastAsia="微软雅黑" w:cs="微软雅黑"/>
              </w:rPr>
              <w:t>约5.64亿吨、降5.5%</w:t>
            </w:r>
          </w:p>
        </w:tc>
        <w:tc>
          <w:tcPr>
            <w:tcW w:type="dxa" w:w="2268"/>
          </w:tcPr>
          <w:p>
            <w:pPr>
              <w:spacing w:after="40"/>
            </w:pPr>
            <w:r>
              <w:rPr>
                <w:rFonts w:ascii="微软雅黑" w:hAnsi="微软雅黑" w:eastAsia="微软雅黑" w:cs="微软雅黑"/>
              </w:rPr>
              <w:t>2026年</w:t>
            </w:r>
          </w:p>
        </w:tc>
        <w:tc>
          <w:tcPr>
            <w:tcW w:type="dxa" w:w="2268"/>
          </w:tcPr>
          <w:p>
            <w:pPr>
              <w:spacing w:after="40"/>
            </w:pPr>
            <w:r>
              <w:rPr>
                <w:rFonts w:ascii="微软雅黑" w:hAnsi="微软雅黑" w:eastAsia="微软雅黑" w:cs="微软雅黑"/>
              </w:rPr>
            </w:r>
            <w:hyperlink w:anchor="source-27287">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中国炼焦煤需求量</w:t>
            </w:r>
          </w:p>
        </w:tc>
        <w:tc>
          <w:tcPr>
            <w:tcW w:type="dxa" w:w="2268"/>
          </w:tcPr>
          <w:p>
            <w:pPr>
              <w:spacing w:after="40"/>
            </w:pPr>
            <w:r>
              <w:rPr>
                <w:rFonts w:ascii="微软雅黑" w:hAnsi="微软雅黑" w:eastAsia="微软雅黑" w:cs="微软雅黑"/>
              </w:rPr>
              <w:t>约5.70亿吨、降0.5%</w:t>
            </w:r>
          </w:p>
        </w:tc>
        <w:tc>
          <w:tcPr>
            <w:tcW w:type="dxa" w:w="2268"/>
          </w:tcPr>
          <w:p>
            <w:pPr>
              <w:spacing w:after="40"/>
            </w:pPr>
            <w:r>
              <w:rPr>
                <w:rFonts w:ascii="微软雅黑" w:hAnsi="微软雅黑" w:eastAsia="微软雅黑" w:cs="微软雅黑"/>
              </w:rPr>
              <w:t>2026年</w:t>
            </w:r>
          </w:p>
        </w:tc>
        <w:tc>
          <w:tcPr>
            <w:tcW w:type="dxa" w:w="2268"/>
          </w:tcPr>
          <w:p>
            <w:pPr>
              <w:spacing w:after="40"/>
            </w:pPr>
            <w:r>
              <w:rPr>
                <w:rFonts w:ascii="微软雅黑" w:hAnsi="微软雅黑" w:eastAsia="微软雅黑" w:cs="微软雅黑"/>
              </w:rPr>
            </w:r>
            <w:hyperlink w:anchor="source-27287">
              <w:r>
                <w:rPr>
                  <w:rFonts w:ascii="微软雅黑" w:hAnsi="微软雅黑" w:eastAsia="微软雅黑" w:cs="微软雅黑"/>
                  <w:color w:val="087E89"/>
                </w:rPr>
                <w:t>9</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伊朗外长：霍尔木兹海峡管理及航线“不会再与过去相同”</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伊朗外交部长阿拉格齐25日在德黑兰表示，在美国与以色列对伊朗发动战事后，地区已发生“根本且具有战略意义”的变化，霍尔木兹海峡的管理及其航线“不会再与过去相同”。</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阿拉格齐说，几十年来霍尔木兹海峡一直保持开放，作为沿岸国家的伊朗和阿曼一直致力于保障海峡安全，从未对海峡交通设置过任何障碍。他表示，美以对伊战事“改变了一切”，海峡的航线将不再如往昔，管理方式也已发生改变。他还表示，无论针对伊朗的新一轮袭击是否会发生，伊朗的国家政策都不会改变，并称本地区安全应由地区国家保障，伊朗愿与地区所有国家特别是波斯湾沿岸国家开展合作。</w:t>
      </w:r>
    </w:p>
    <w:p>
      <w:pPr>
        <w:ind w:firstLine="420"/>
      </w:pPr>
      <w:r>
        <w:rPr>
          <w:rFonts w:ascii="微软雅黑" w:hAnsi="微软雅黑" w:eastAsia="微软雅黑" w:cs="微软雅黑"/>
        </w:rPr>
        <w:t>来源：</w:t>
      </w:r>
      <w:hyperlink w:anchor="source-27424">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2. 土耳其计划修订能源战略，目标期限拟从2035年延至2040年</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能源与自然资源部能源事务总司长艾哈迈德·厄兹卡亚在伊斯坦布尔“迈向COP31投资峰会”上表示，可再生能源对保障能源供应、降低进口成本和实现土耳其2053年净零排放目标至关重要，预计将出台更强的修订目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厄兹卡亚称，预计将出台更强的目标，特别是将目标期限从2035年延至2040年的修订目标。输配电投资此前估计到2035年需800亿美元，随着规划延至2040年，需求预计还会增加。他警告，若不进行电网升级，可再生能源雄心将只是“数字和目标”。本土制造正在加强，水电设备本地化率接近100%，光伏接近90%，风电为60%至65%；该部还在制定额外激励措施，以应对该行业面临的竞争压力。</w:t>
      </w:r>
    </w:p>
    <w:p>
      <w:pPr>
        <w:ind w:firstLine="420"/>
      </w:pPr>
      <w:r>
        <w:rPr>
          <w:rFonts w:ascii="微软雅黑" w:hAnsi="微软雅黑" w:eastAsia="微软雅黑" w:cs="微软雅黑"/>
        </w:rPr>
        <w:t>来源：</w:t>
      </w:r>
      <w:hyperlink w:anchor="source-27333">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3. 胡塞武装七次袭击沙特能源设施和机场，油价全周显著上涨</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也门胡塞武装声称及央视新闻报道，胡塞武装当天使用弹道导弹和无人机，对沙特境内多个目标进行了七次袭击，目标直指能源设施和机场，标志着这场由美伊战争引发的、已持续八个月的地区冲突的行动范围显著扩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袭击目标包括利雅得哈立德国王机场、达曼法赫德国王国际机场、纳季兰机场、海米斯穆谢特空军基地，以及沙特阿美的炼油厂、原油泵站和连接沙特东部与西部的原油输送管道。胡塞武装声称过去24小时沙特方面发动100次空袭，袭击了萨那及其他地区民用目标，造成数十人死伤；沙特民防部门则表示，胡塞武装向麦加和麦地那发射弹道导弹，两枚导弹被拦截。美国国务院将缩减驻约旦、黎巴嫩、卡塔尔和阿联酋四国大使馆人员规模，并更新对海湾及中东十几个国家的旅行警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不断扩大的威胁给能源市场带来上行压力，布伦特原油创7个月来新高。</w:t>
      </w:r>
    </w:p>
    <w:p>
      <w:pPr>
        <w:ind w:firstLine="420"/>
      </w:pPr>
      <w:r>
        <w:rPr>
          <w:rFonts w:ascii="微软雅黑" w:hAnsi="微软雅黑" w:eastAsia="微软雅黑" w:cs="微软雅黑"/>
        </w:rPr>
        <w:t>来源：</w:t>
      </w:r>
      <w:hyperlink w:anchor="source-27315">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4. 燃料短缺之际，叙利亚石油公司向阿勒颇、伊德利卜派出250辆柴油油罐车</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叙利亚石油公司周日紧急调派250辆油罐车，将柴油从巴尼亚斯运往阿勒颇省和伊德利卜省，以缓解燃料短缺，同时继续向其他省份供应。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叙利亚能源部表示，叙利亚石油公司周日紧急调派250辆油罐车，将柴油从巴尼亚斯运往阿勒颇省和伊德利卜省，同时继续向其他省份供应。能源部媒体主任阿卜杜勒·哈米德·萨拉特称，柴油供应在公司储油设施仍然充足，另有三艘燃料油轮在近海停泊待卸货，已签约的额外船货预计将陆续抵达。他将短缺归因于巴尼亚斯与霍姆斯之间运输石油产品的管道遭袭，导致向霍姆斯储油设施输送中断，加大了巴尼亚斯装油设施压力，并使近几日燃料订单履行出现延误。</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萨拉特称，这些措施加上未来几天预计抵达的额外船货，将逐步缓解柴油短缺并改善本地市场供应。</w:t>
      </w:r>
    </w:p>
    <w:p>
      <w:pPr>
        <w:ind w:firstLine="420"/>
      </w:pPr>
      <w:r>
        <w:rPr>
          <w:rFonts w:ascii="微软雅黑" w:hAnsi="微软雅黑" w:eastAsia="微软雅黑" w:cs="微软雅黑"/>
        </w:rPr>
        <w:t>来源：</w:t>
      </w:r>
      <w:hyperlink w:anchor="source-27406">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5. 德国能源价格高企挤压居民生活与工业成本，能源进口账单或增400亿欧元</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德国能源价格高企推升居民生活成本：柏林居民天然气价格2026年2月至9月上涨约22%，9月能源产品价格同比上涨14.9%，居民电价在二十国集团中居首。</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洲首都家庭能源价格指数显示，2026年2月至9月柏林居民天然气价格上涨约22%；柏林一户中等收入家庭全年用电、供暖和热水费用约3500欧元，平均每月近300欧元。德国联邦统计局10月13日公布，德国9月通胀率升至3.3%，为2023年12月以来最高；能源产品价格同比上涨14.9%，其中燃油价格上涨37.1%，取暖油价格上涨74.9%。费里福克斯分析显示，2026年第二季度德国居民平均电价为每千瓦时35.6欧分，在全球144个受调查国家和地区中排名第四，在二十国集团成员中居首，远超约16.3欧分的平均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德国R+V保险公司调查显示59%的受访者担心生活成本大幅上涨；德国工商大会首席分析师福尔克·特赖尔表示，高企的油气价格可能使德国能源进口账单增加多达400亿欧元，相当于德国国内生产总值的近1%；洛伊纳聚酰胺公司自6月启动破产程序以来能源和原材料成本合计上涨80%，从10月起逐步停止生产，约400名员工面临失业。</w:t>
      </w:r>
    </w:p>
    <w:p>
      <w:pPr>
        <w:ind w:firstLine="420"/>
      </w:pPr>
      <w:r>
        <w:rPr>
          <w:rFonts w:ascii="微软雅黑" w:hAnsi="微软雅黑" w:eastAsia="微软雅黑" w:cs="微软雅黑"/>
        </w:rPr>
        <w:t>来源：</w:t>
      </w:r>
      <w:hyperlink w:anchor="source-27297">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6. 卡塔尔能源与Cheniere签约至2054年每年采购最多400万吨美国LNG</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卡塔尔能源与Cheniere签署两份长期销售与购买协议（SPA），购买最多每年400万吨（MTPA）LNG，交付以FOB方式进行，预计2031年开始并持续至2054年。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卡塔尔能源与Cheniere签署两份长期销售与购买协议（SPA），购买最多每年400万吨LNG，所购LNG来自Cheniere位于美国墨西哥湾沿岸的Sabine Pass（路易斯安那州）和Corpus Christi（得克萨斯州）设施。根据SPA条款，交付以FOB（离岸价）方式进行，预计于2031年开始并持续至2054年。SPA由卡塔尔能源事务国务大臣、卡塔尔能源总裁兼CEO Saad Al-Kaabi与Cheniere Energy董事长、总裁兼CEO Jack Fusco签署。</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Al-Kaabi大臣表示，签署这两份SPA是其LNG战略的重要里程碑，将扩大并多元化其全球LNG组合，提升满足市场需求变化的能力；新增供应量将补充卡塔尔能源现有LNG供应，增强其供应与贸易组合，并强化其服务全球客户的能力。</w:t>
      </w:r>
    </w:p>
    <w:p>
      <w:pPr>
        <w:ind w:firstLine="420"/>
      </w:pPr>
      <w:r>
        <w:rPr>
          <w:rFonts w:ascii="微软雅黑" w:hAnsi="微软雅黑" w:eastAsia="微软雅黑" w:cs="微软雅黑"/>
        </w:rPr>
        <w:t>来源：</w:t>
      </w:r>
      <w:hyperlink w:anchor="source-27335">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7. 印尼削减对新加坡管道天然气出口，新加坡考虑核能替代</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印尼宣布为满足国内电力需求，每日削减约3100万标准立方英尺的管道天然气出口至新加坡；新加坡总理黄循财表示预期天然气供应合同将得到履行，并正认真考虑核能作为更长期的替代能源。</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尼上周六宣布为满足国内电力需求，将每日削减约3100万标准立方英尺的管道天然气出口至新加坡。新加坡总理黄循财表示，新加坡预期其天然气供应合同将得到履行，天然气进口商将采取必要措施依合同保护自身权益；新加坡已投资液化天然气进口设施以实现供应多元化，并正在认真考虑将核能作为更长期的替代能源。</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黄循财指出，在人口稠密的城市国家，安全顾虑必须得到解决，但他告诫不应因技术困难或有争议而将其直接排除，称“安全必须放在首位，但不应仅因困难或争议就排除一个选项”。</w:t>
      </w:r>
    </w:p>
    <w:p>
      <w:pPr>
        <w:ind w:firstLine="420"/>
      </w:pPr>
      <w:r>
        <w:rPr>
          <w:rFonts w:ascii="微软雅黑" w:hAnsi="微软雅黑" w:eastAsia="微软雅黑" w:cs="微软雅黑"/>
        </w:rPr>
        <w:t>来源：</w:t>
      </w:r>
      <w:hyperlink w:anchor="source-27337">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8. 华电能源旗下锦兴公司因煤矸石贮存违规被罚46万元</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2026年10月1日至15日A股绿色报告收录数据显示，生态环境领域违法违规等风险信息共涉及11家上市公司，背后有146.29万户股东，其中华电能源旗下锦兴公司因煤矸石未及时覆土贮存被罚款46万元。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兴县人民政府官网文号为“吕环罚〔2026〕11003号”的处罚书显示，锦兴公司煤矸石填埋场东南角有部分煤矸石未及时进行覆土，未采取符合国家环境保护标准的方式贮存固体废物，依据固体废物污染环境防治法第一百零二条第十项被罚款46万元；罚款台账于10月9日公示，彼时尚未缴纳罚款。锦兴公司肖家洼煤矿位于山西吕梁，核定产能1200万吨/年，主产优质动力煤及配焦煤；报告期内锦兴公司煤炭产量499.27万吨，同比下降11.99%，煤炭销量504.12万吨，同比下降12.20%。</w:t>
      </w:r>
    </w:p>
    <w:p>
      <w:pPr>
        <w:ind w:firstLine="420"/>
      </w:pPr>
      <w:r>
        <w:rPr>
          <w:rFonts w:ascii="微软雅黑" w:hAnsi="微软雅黑" w:eastAsia="微软雅黑" w:cs="微软雅黑"/>
        </w:rPr>
        <w:t>来源：</w:t>
      </w:r>
      <w:hyperlink w:anchor="source-27443">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9. 庆州举办2026国际原子能出口及安全博览会，77家企业机构参展</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韩国庆尚北道庆州市宣布，“2026国际原子能出口及安全博览会（NES 2026）”将于27日至29日在庆州花白会展中心（HICO）举行，旨在推动国内核电企业进军海外市场和全球供应链合作。</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博览会以“引领全球核供应链”为主题，共有国内外77家企业和机构参展，运营182个展位，展示核电建设与维护·安全、发电设备、设计·研究、核电站退役等原子能产业全领域技术实力。企业间出口洽谈会上，来自美国、加拿大、法国、捷克、波兰等17个国家的50家采购商参与。讨论环节议题包括全球核电企业与国内企业合作、小型模块化反应堆（SMR）开发和人工智能（AI）产业增长带来的核能需求扩大、核电城市发展经验与社区合作、海外核电项目与全球供应链进军等。</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庆州市长朱乐英表示，希望博览会成为国内核电企业进军海外市场和扩大全球供应链的重要交流平台，并称将努力推动庆州强化与世界核电城市的合作，跃升为全球原子能产业中心城市。</w:t>
      </w:r>
    </w:p>
    <w:p>
      <w:pPr>
        <w:ind w:firstLine="420"/>
      </w:pPr>
      <w:r>
        <w:rPr>
          <w:rFonts w:ascii="微软雅黑" w:hAnsi="微软雅黑" w:eastAsia="微软雅黑" w:cs="微软雅黑"/>
        </w:rPr>
        <w:t>来源：</w:t>
      </w:r>
      <w:hyperlink w:anchor="source-27295">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10. 强制配储松绑后独立储能成为新增项目主流路径</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2025年1月27日印发、2月9日公布的136号文明确不得将配置储能作为新建新能源项目核准、并网、上网等的前置条件，储能此后可作为独立主体申报，开发商与央企平台的新增项目储备中独立储能占比显著上升。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136号文明确不得将配置储能作为新建新能源项目核准、并网、上网等的前置条件，储能此后可作为独立主体申报。西北某储能项目开发负责人李振华表示，今年前三季度其手中新备案项目中独立储能已接近六成，部分原绑定风光项目的储能方案正被重新评估并改为独立储能申报备案。一家能源央企体系内的独立储能平台投资负责人表示，该平台今年新增项目储备中独立储能占比已升至七成以上，新项目在政策和接入条件允许时优先按独立储能路径推进。</w:t>
      </w:r>
    </w:p>
    <w:p>
      <w:pPr>
        <w:ind w:firstLine="420"/>
      </w:pPr>
      <w:r>
        <w:rPr>
          <w:rFonts w:ascii="微软雅黑" w:hAnsi="微软雅黑" w:eastAsia="微软雅黑" w:cs="微软雅黑"/>
        </w:rPr>
        <w:t>来源：</w:t>
      </w:r>
      <w:hyperlink w:anchor="source-27392">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11. 韩国将向公共机构下达可再生能源发电目标以接替RPS</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气候能源环境部和韩国能源公团25日消息，气候部正推进引入“公共机构可再生能源目标管理制度”，将向包括地方公营企业在内的公共机构下达可再生能源发电目标，预计明年实施，以配合“可再生能源供应义务化制度”（RPS）于明年废止。</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RPS是要求拥有500MW以上发电设施的发电业者以一定比例发电量供应可再生能源的制度，因业者多通过购买REC履行义务而非扩建发电设施而被决定废止。目标分为“该公共机构直接安装的可再生能源发电设施容量”和“向可再生能源发电业者提供的闲置用地规模”两部分，韩国道路公社和韩国铁道公社（Korail）等将成为代表性对象；气候部将对公共机构和地方公营企业的闲置用地现状进行全数调查。政府目标是到2030年将可再生能源发电设施容量增至100GW以上。</w:t>
      </w:r>
    </w:p>
    <w:p>
      <w:pPr>
        <w:ind w:firstLine="420"/>
      </w:pPr>
      <w:r>
        <w:rPr>
          <w:rFonts w:ascii="微软雅黑" w:hAnsi="微软雅黑" w:eastAsia="微软雅黑" w:cs="微软雅黑"/>
        </w:rPr>
        <w:t>来源：</w:t>
      </w:r>
      <w:hyperlink w:anchor="source-27225">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12. 柔佛瞄准2031年前新增5吉瓦太阳能以满足数据中心需求</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柔佛州政府计划在未来四到五年内新增约5吉瓦太阳能发电，作为满足数据中心行业用电激增的长期方案，整体预计到2030或2031年将柔佛太阳能发电容量提高约5吉瓦，用于供应数据中心和大型工业。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柔佛州政府已批准65个基于地块的数据中心项目，其中21个已投入运营，预计耗电近1.1吉瓦；仍在建设或规划阶段的项目将额外需要4至5吉瓦。能源委员会（隶属能源转型与水资源转型部）已发起新招标，在马来半岛新增8吉瓦发电容量，其中相当大一部分预计输送至柔佛。州政府成立柔佛州数据中心发展协调委员会（JPPPDNJ），由莫哈末贾夫尼任主席、李廷汉任副主席，所有数据中心项目须先经该委员会批准，委员会还评估电力使用效率（PUE）。李廷汉欢迎联邦政府允许大型数据中心运营商在符合规定前提下探索离网方案自行发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此举旨在确保国家电网容量保持稳健、平衡工业与公共事业供电需求，州和联邦两级正全面实施增加发电容量的计划。</w:t>
      </w:r>
    </w:p>
    <w:p>
      <w:pPr>
        <w:ind w:firstLine="420"/>
      </w:pPr>
      <w:r>
        <w:rPr>
          <w:rFonts w:ascii="微软雅黑" w:hAnsi="微软雅黑" w:eastAsia="微软雅黑" w:cs="微软雅黑"/>
        </w:rPr>
        <w:t>来源：</w:t>
      </w:r>
      <w:hyperlink w:anchor="source-27372">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13. 机器人把组件放到位后，光伏自动化安装仍缺完整接合闭环</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随着阿布扎比1.5GW PV3项目配置25台安装机器人，光伏自动化安装进入吉瓦级实际应用，但作者团队与国内机器人公司的初步适配测试显示，机器人能抓取并移动组件，却无法完成最后接合阶段的旋转锁定，安装自动化尚未闭环。</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2026年初，阿布扎比1.5GW PV3项目公开宣布配置25台安装机器人，计划完成超过200万块组件的铺装，机器人进入吉瓦级项目已从概念验证走向实际应用。但行业常把“组件已经放到支架上”与“组件已经完成机械安装”混为一谈；作者团队与国内一家机器人公司进行新型组件接口初步适配测试，机器人能抓取组件并移动到目标区域，但在最后接合阶段无法让组件保持所需的小角度侧向进入并完成旋转锁定，因此未完成安装，问题涉及吸盘架刚度、机械臂可达空间、碰撞边界和力控方式。MagicFrame™取消传统压块和散装紧固件，但取消螺栓不等于完成机器人自动化安装，尚未完成实际项目验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当机器人能完成抓取、定位、机械锁定和状态确认并记录每块组件安装结果，自动化将形成闭环，价值包括提高安装一致性、形成可追溯质量记录并重新定义大型光伏电站施工组织方式。</w:t>
      </w:r>
    </w:p>
    <w:p>
      <w:pPr>
        <w:ind w:firstLine="420"/>
      </w:pPr>
      <w:r>
        <w:rPr>
          <w:rFonts w:ascii="微软雅黑" w:hAnsi="微软雅黑" w:eastAsia="微软雅黑" w:cs="微软雅黑"/>
        </w:rPr>
        <w:t>来源：</w:t>
      </w:r>
      <w:hyperlink w:anchor="source-27393">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14. Borr Drilling的Prospector 5号钻井平台在加蓬近海沉没，5人失踪</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Borr Drilling公司表示，10月24日，其Prospector 5号钻井平台在加蓬近海进行升降作业时沉没，事故造成5人失踪。</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初步信息显示，该钻井平台在预压作业期间发生“穿刺”（punch through）事故。Borr Drilling的陆上应急响应团队已启动，公司正与当地当局及客户BW Energy展开合作。Prospector 5号钻井平台目前签约用于支持BW Energy在加蓬近海的钻探作业。</w:t>
      </w:r>
    </w:p>
    <w:p>
      <w:pPr>
        <w:ind w:firstLine="420"/>
      </w:pPr>
      <w:r>
        <w:rPr>
          <w:rFonts w:ascii="微软雅黑" w:hAnsi="微软雅黑" w:eastAsia="微软雅黑" w:cs="微软雅黑"/>
        </w:rPr>
        <w:t>来源：</w:t>
      </w:r>
      <w:hyperlink w:anchor="source-27423">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15. bp与路易斯安那州达成约3.5亿美元深水地平线和解协议</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bp与路易斯安那州宣布达成协议，解决两项长期遗留问题，立即向该州交付深水地平线资金，并重塑双方关系。</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协议由州长Jeff Landry、总检察长Liz Murrill和bp首席执行官Meg O’Neill签署。bp将把2015年深水地平线经济损失和解协议下对路易斯安那州的剩余付款提前，一次性支付约3.5亿美元，使州政府现在即可获得资金，而非在未来七年内分期收取。路易斯安那州各教区提起的、bp为当事方的剩余沿海地带诉讼将得到解决。O’Neill表示，不会忘记在事故中丧生的11名人员及其影响，此次协议加速了承诺的兑现。州长Landry表示，已在这些沿海案件中与除一家主要被告外的所有被告达成和解。bp美国董事长兼总裁Orlando Alvarez表示，路易斯安那州有800多名bp员工，从Haynesville到墨西哥湾的业务是bp在美国未来的核心。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路易斯安那州政府现在即可获得约3.5亿美元资金，而非在未来七年内分期收取。</w:t>
      </w:r>
    </w:p>
    <w:p>
      <w:pPr>
        <w:ind w:firstLine="420"/>
      </w:pPr>
      <w:r>
        <w:rPr>
          <w:rFonts w:ascii="微软雅黑" w:hAnsi="微软雅黑" w:eastAsia="微软雅黑" w:cs="微软雅黑"/>
        </w:rPr>
        <w:t>来源：</w:t>
      </w:r>
      <w:hyperlink w:anchor="source-27334">
        <w:r>
          <w:rPr>
            <w:rFonts w:ascii="微软雅黑" w:hAnsi="微软雅黑" w:eastAsia="微软雅黑" w:cs="微软雅黑"/>
            <w:color w:val="087E89"/>
          </w:rPr>
          <w:t>19</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16. 2026年炼焦煤供需由盈余转短缺627万吨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数据显示，2026年国内炼焦煤供需由松转紧，供需差由2025年盈余2375万吨转为短缺627万吨，库存持续去化。</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数据显示，2026年国内炼焦精煤产量预计同比下降10.5%，进口量仅增14.6%，总供应约5.64亿吨、降5.5%；需求约5.70亿吨、仅降0.5%，供需差由2025年盈余2375万吨转为短缺627万吨。库存端已现持续去化，2026年6-9月累计去库841万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研报认为，供需格局实质性改善是本轮行情核心驱动，2026年缺口扩大叠加2027年紧平衡延续，将支撑炼焦煤价格中枢上移。</w:t>
      </w:r>
    </w:p>
    <w:p>
      <w:pPr>
        <w:ind w:firstLine="420"/>
      </w:pPr>
      <w:r>
        <w:rPr>
          <w:rFonts w:ascii="微软雅黑" w:hAnsi="微软雅黑" w:eastAsia="微软雅黑" w:cs="微软雅黑"/>
        </w:rPr>
        <w:t>来源：</w:t>
      </w:r>
      <w:hyperlink w:anchor="source-27287">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17. 2026年1-8月全国原煤减产1.0亿吨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数据显示，2026年国内原煤产量刚性收缩，1-8月全国减产1.0亿吨，山西单省减产1.1亿吨；9月产量同比降6.8%。</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数据显示，2026年国内原煤产量刚性收缩，1-8月全国减产1.0亿吨，山西单省减产1.1亿吨；9月产量同比降6.8%，进口煤虽增但蒙古增量难补缺口。国际方面，印尼四季度出口缩量、澳洲新矿审批受阻，叠加印度煤电需求激增、东北亚气转煤加速，全球高卡煤供应趋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机构研报指出，安监持续高压叠加大秦铁路秋检，四季度北方港口补库困难，社会库存低位叠加冬储预期，煤价底部支撑强劲。</w:t>
      </w:r>
    </w:p>
    <w:p>
      <w:pPr>
        <w:ind w:firstLine="420"/>
      </w:pPr>
      <w:r>
        <w:rPr>
          <w:rFonts w:ascii="微软雅黑" w:hAnsi="微软雅黑" w:eastAsia="微软雅黑" w:cs="微软雅黑"/>
        </w:rPr>
        <w:t>来源：</w:t>
      </w:r>
      <w:hyperlink w:anchor="source-27284">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18. 南方区域电力市场正式运行 五省区统一出清</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24日，中国首个区域一体化电力市场——南方区域电力市场正式运行，实现南方五省（区）电力资源全域统一出清和优化配置。同日，南方区域电力市场转入正式运行暨高质量发展推进会在广州召开，国家能源局局长王宏志出席并讲话。</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市场2017年在广东起步，2022年7月启动模拟试运行，历经12轮次调电与结算检验，2025年6月转入连续结算试运行。正式运行后实现全域统一出清，电价根据供需实时调整、每15分钟更新一次；煤电、水电、核电、风电、光伏、气电全电源类型在同一套规则下竞价。跨经营区通道升级为“输电容量”市场化竞价配置。自主研发“天权”电力市场求解器，实现五省区经营主体“一地注册、全域交易”，并组建全国首个区域电力市场管委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补齐单一省份在能源资源储备、输电通道、灵活调节能力方面的短板；今年1-9月市场交易累计电量近9千亿千瓦时，占全网售电量比例超七成，新增售电量中四成由新能源提供。</w:t>
      </w:r>
    </w:p>
    <w:p>
      <w:pPr>
        <w:ind w:firstLine="420"/>
      </w:pPr>
      <w:r>
        <w:rPr>
          <w:rFonts w:ascii="微软雅黑" w:hAnsi="微软雅黑" w:eastAsia="微软雅黑" w:cs="微软雅黑"/>
        </w:rPr>
        <w:t>来源：</w:t>
      </w:r>
      <w:hyperlink w:anchor="source-2727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245">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19. 国网宁夏发布全国首个电力服务算力发展八项措施</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10月23日，国网宁夏电力有限公司发布服务自治区算力发展八项措施，宁夏在全国率先推出电力服务算力发展“一揽子”专项举措，精准对接全区“东数西算”国家枢纽节点建设需求。</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随着百度、字节跳动等大体量智算项目密集落地，目前中卫地区已投入最大算力负荷42.8万千瓦，预计未来3—5年内算力用电负荷将攀升至300万千瓦。八项举措涵盖电网规划建设、办电服务、供电安全保障、绿电交易服务、电碳体系构建、供电能效服务、算电协同赋能、关键技术攻关。国网宁夏电力在中卫算力园区设立全国首个算力枢纽园区供电服务中心，并率先构建电力看算力指标体系。</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此前闽宁两地在国内首次开展跨省算电协同联动，将福州、厦门部分算力任务经调度转移至中卫数据中心运行，探索出“东部减负、西部消纳”的跨省协作新路径，算电协同价值已突破省界形成双赢效应。</w:t>
      </w:r>
    </w:p>
    <w:p>
      <w:pPr>
        <w:ind w:firstLine="420"/>
      </w:pPr>
      <w:r>
        <w:rPr>
          <w:rFonts w:ascii="微软雅黑" w:hAnsi="微软雅黑" w:eastAsia="微软雅黑" w:cs="微软雅黑"/>
        </w:rPr>
        <w:t>来源：</w:t>
      </w:r>
      <w:hyperlink w:anchor="source-27444">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20. 特变电工29项电力装备通过国家级新产品鉴定</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24日，在天津举办的新型电力系统与源网荷储数协同发展大会上，特变电工29项输配电及新能源电力装备一次性通过国家级新产品鉴定，其中18项达到国际领先水平、11项达到国际先进水平，并同步发布睿驭系列固态变压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通过鉴定的产品覆盖电力一次主设备、预制式成套变电站、储能配套装置、配电网柔性电力电子设备四大品类。特变电工同步发布睿驭系列（Roy Sync）固态变压器，首发机型额定容量2.5兆瓦，采用10千伏交流中压直接输入、800伏直流直接输出，整机最高效率达98.5%以上，输入电流谐波THDi低于3%，输出稳压精度控制在1%以内，支持1~5兆瓦按需扩展。该系列已在天津制造业基地批量生产，户外型产品已在四川智运绿能物流超充站试点项目投运。</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郭振岩表示，这些产品具备电能变换、短路限流、无功调节、能量存储、台区功率互联、能耗与碳数据数字化管控等核心功能，可广泛应用于风电、光伏、储能电站、抽水蓄能等新能源场景，并服务数据中心、重卡充电场站等特种工业领域。</w:t>
      </w:r>
    </w:p>
    <w:p>
      <w:pPr>
        <w:ind w:firstLine="420"/>
      </w:pPr>
      <w:r>
        <w:rPr>
          <w:rFonts w:ascii="微软雅黑" w:hAnsi="微软雅黑" w:eastAsia="微软雅黑" w:cs="微软雅黑"/>
        </w:rPr>
        <w:t>来源：</w:t>
      </w:r>
      <w:hyperlink w:anchor="source-27422">
        <w:r>
          <w:rPr>
            <w:rFonts w:ascii="微软雅黑" w:hAnsi="微软雅黑" w:eastAsia="微软雅黑" w:cs="微软雅黑"/>
            <w:color w:val="087E89"/>
          </w:rPr>
          <w:t>20</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会议要求健全机制、完善治理、扩大规模，推动跨省与省内市场融合，稳妥有序扩大跨境跨国电力交易，搭建“立足南方、延伸港澳、面向全国”绿电绿证交易网络，拓宽新型储能、虚拟电厂等新主体参与渠道。 </w:t>
      </w:r>
      <w:hyperlink w:anchor="source-2727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724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陕西建设清单还不是最终结算准入清单，未入选的储备项目只能等待下一批遴选。 </w:t>
      </w:r>
      <w:hyperlink w:anchor="source-27392">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新招标8吉瓦容量的分配及数据中心项目最终用电规模仍待落实。 </w:t>
      </w:r>
      <w:hyperlink w:anchor="source-27372">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交付预计2031年开始，尚待落实。 </w:t>
      </w:r>
      <w:hyperlink w:anchor="source-27335">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失踪人员搜救进展及事故原因调查结果尚待确认。 </w:t>
      </w:r>
      <w:hyperlink w:anchor="source-27423">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受损管道修复后，技术团队正在恢复压力并恢复向霍姆斯泵送柴油，待数量充足后霍姆斯装油作业将重启；萨拉特表示恢复管道运营将缓解巴尼亚斯装油设施压力并改善对其他地区的燃料分配，能源部正继续解决燃料运输和装油作业瓶颈。 </w:t>
      </w:r>
      <w:hyperlink w:anchor="source-27406">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60 篇文章，形成 58 篇有效能源材料；正文引用 21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27278"/>
      <w:bookmarkEnd w:id="1" w:name="source-27278"/>
    </w:p>
    <w:p>
      <w:pPr>
        <w:pStyle w:val="ListBullet"/>
      </w:pPr>
      <w:r>
        <w:rPr>
          <w:rFonts w:ascii="微软雅黑" w:hAnsi="微软雅黑" w:eastAsia="微软雅黑" w:cs="微软雅黑"/>
        </w:rPr>
        <w:t>[1] 界面新闻｜</w:t>
      </w:r>
      <w:hyperlink r:id="rId11">
        <w:r>
          <w:rPr>
            <w:rFonts w:ascii="微软雅黑" w:hAnsi="微软雅黑" w:eastAsia="微软雅黑" w:cs="微软雅黑"/>
            <w:color w:val="087E89"/>
          </w:rPr>
          <w:t>中国首个区域一体化电力市场正式开市</w:t>
        </w:r>
      </w:hyperlink>
      <w:r>
        <w:rPr>
          <w:rFonts w:ascii="微软雅黑" w:hAnsi="微软雅黑" w:eastAsia="微软雅黑" w:cs="微软雅黑"/>
        </w:rPr>
      </w:r>
    </w:p>
    <w:p>
      <w:pPr>
        <w:spacing w:after="0" w:line="20" w:lineRule="exact"/>
      </w:pPr>
      <w:bookmarkStart w:id="2" w:name="source-27245"/>
      <w:bookmarkEnd w:id="2" w:name="source-27245"/>
    </w:p>
    <w:p>
      <w:pPr>
        <w:pStyle w:val="ListBullet"/>
      </w:pPr>
      <w:r>
        <w:rPr>
          <w:rFonts w:ascii="微软雅黑" w:hAnsi="微软雅黑" w:eastAsia="微软雅黑" w:cs="微软雅黑"/>
        </w:rPr>
        <w:t>[2] 财联社｜</w:t>
      </w:r>
      <w:hyperlink r:id="rId12">
        <w:r>
          <w:rPr>
            <w:rFonts w:ascii="微软雅黑" w:hAnsi="微软雅黑" w:eastAsia="微软雅黑" w:cs="微软雅黑"/>
            <w:color w:val="087E89"/>
          </w:rPr>
          <w:t>南方区域电力市场转入正式运行暨高质量发展推进会在广州召开</w:t>
        </w:r>
      </w:hyperlink>
      <w:r>
        <w:rPr>
          <w:rFonts w:ascii="微软雅黑" w:hAnsi="微软雅黑" w:eastAsia="微软雅黑" w:cs="微软雅黑"/>
        </w:rPr>
      </w:r>
    </w:p>
    <w:p>
      <w:pPr>
        <w:spacing w:after="0" w:line="20" w:lineRule="exact"/>
      </w:pPr>
      <w:bookmarkStart w:id="3" w:name="source-27424"/>
      <w:bookmarkEnd w:id="3" w:name="source-27424"/>
    </w:p>
    <w:p>
      <w:pPr>
        <w:pStyle w:val="ListBullet"/>
      </w:pPr>
      <w:r>
        <w:rPr>
          <w:rFonts w:ascii="微软雅黑" w:hAnsi="微软雅黑" w:eastAsia="微软雅黑" w:cs="微软雅黑"/>
        </w:rPr>
        <w:t>[3] 新华社国际要闻（战略与能源）｜</w:t>
      </w:r>
      <w:hyperlink r:id="rId13">
        <w:r>
          <w:rPr>
            <w:rFonts w:ascii="微软雅黑" w:hAnsi="微软雅黑" w:eastAsia="微软雅黑" w:cs="微软雅黑"/>
            <w:color w:val="087E89"/>
          </w:rPr>
          <w:t>伊朗外长：霍尔木兹海峡“不会与过去相同”</w:t>
        </w:r>
      </w:hyperlink>
      <w:r>
        <w:rPr>
          <w:rFonts w:ascii="微软雅黑" w:hAnsi="微软雅黑" w:eastAsia="微软雅黑" w:cs="微软雅黑"/>
        </w:rPr>
      </w:r>
    </w:p>
    <w:p>
      <w:pPr>
        <w:spacing w:after="0" w:line="20" w:lineRule="exact"/>
      </w:pPr>
      <w:bookmarkStart w:id="4" w:name="source-27392"/>
      <w:bookmarkEnd w:id="4" w:name="source-27392"/>
    </w:p>
    <w:p>
      <w:pPr>
        <w:pStyle w:val="ListBullet"/>
      </w:pPr>
      <w:r>
        <w:rPr>
          <w:rFonts w:ascii="微软雅黑" w:hAnsi="微软雅黑" w:eastAsia="微软雅黑" w:cs="微软雅黑"/>
        </w:rPr>
        <w:t>[4] 经济观察网｜</w:t>
      </w:r>
      <w:hyperlink r:id="rId14">
        <w:r>
          <w:rPr>
            <w:rFonts w:ascii="微软雅黑" w:hAnsi="微软雅黑" w:eastAsia="微软雅黑" w:cs="微软雅黑"/>
            <w:color w:val="087E89"/>
          </w:rPr>
          <w:t>强制配储松绑后 储能第一次自己挑大梁</w:t>
        </w:r>
      </w:hyperlink>
      <w:r>
        <w:rPr>
          <w:rFonts w:ascii="微软雅黑" w:hAnsi="微软雅黑" w:eastAsia="微软雅黑" w:cs="微软雅黑"/>
        </w:rPr>
      </w:r>
    </w:p>
    <w:p>
      <w:pPr>
        <w:spacing w:after="0" w:line="20" w:lineRule="exact"/>
      </w:pPr>
      <w:bookmarkStart w:id="5" w:name="source-27372"/>
      <w:bookmarkEnd w:id="5" w:name="source-27372"/>
    </w:p>
    <w:p>
      <w:pPr>
        <w:pStyle w:val="ListBullet"/>
      </w:pPr>
      <w:r>
        <w:rPr>
          <w:rFonts w:ascii="微软雅黑" w:hAnsi="微软雅黑" w:eastAsia="微软雅黑" w:cs="微软雅黑"/>
        </w:rPr>
        <w:t>[5] Bernama｜</w:t>
      </w:r>
      <w:hyperlink r:id="rId15">
        <w:r>
          <w:rPr>
            <w:rFonts w:ascii="微软雅黑" w:hAnsi="微软雅黑" w:eastAsia="微软雅黑" w:cs="微软雅黑"/>
            <w:color w:val="087E89"/>
          </w:rPr>
          <w:t>柔佛瞄准2031年前新增5吉瓦太阳能以满足数据中心需求</w:t>
        </w:r>
      </w:hyperlink>
      <w:r>
        <w:rPr>
          <w:rFonts w:ascii="微软雅黑" w:hAnsi="微软雅黑" w:eastAsia="微软雅黑" w:cs="微软雅黑"/>
        </w:rPr>
      </w:r>
    </w:p>
    <w:p>
      <w:pPr>
        <w:spacing w:after="0" w:line="20" w:lineRule="exact"/>
      </w:pPr>
      <w:bookmarkStart w:id="6" w:name="source-27335"/>
      <w:bookmarkEnd w:id="6" w:name="source-27335"/>
    </w:p>
    <w:p>
      <w:pPr>
        <w:pStyle w:val="ListBullet"/>
      </w:pPr>
      <w:r>
        <w:rPr>
          <w:rFonts w:ascii="微软雅黑" w:hAnsi="微软雅黑" w:eastAsia="微软雅黑" w:cs="微软雅黑"/>
        </w:rPr>
        <w:t>[6] OGN News｜</w:t>
      </w:r>
      <w:hyperlink r:id="rId16">
        <w:r>
          <w:rPr>
            <w:rFonts w:ascii="微软雅黑" w:hAnsi="微软雅黑" w:eastAsia="微软雅黑" w:cs="微软雅黑"/>
            <w:color w:val="087E89"/>
          </w:rPr>
          <w:t>卡塔尔能源签署长期协议，至2054年每年采购400万吨美国LNG</w:t>
        </w:r>
      </w:hyperlink>
      <w:r>
        <w:rPr>
          <w:rFonts w:ascii="微软雅黑" w:hAnsi="微软雅黑" w:eastAsia="微软雅黑" w:cs="微软雅黑"/>
        </w:rPr>
      </w:r>
    </w:p>
    <w:p>
      <w:pPr>
        <w:spacing w:after="0" w:line="20" w:lineRule="exact"/>
      </w:pPr>
      <w:bookmarkStart w:id="7" w:name="source-27423"/>
      <w:bookmarkEnd w:id="7" w:name="source-27423"/>
    </w:p>
    <w:p>
      <w:pPr>
        <w:pStyle w:val="ListBullet"/>
      </w:pPr>
      <w:r>
        <w:rPr>
          <w:rFonts w:ascii="微软雅黑" w:hAnsi="微软雅黑" w:eastAsia="微软雅黑" w:cs="微软雅黑"/>
        </w:rPr>
        <w:t>[7] 新浪财经美股市场（经济）｜</w:t>
      </w:r>
      <w:hyperlink r:id="rId17">
        <w:r>
          <w:rPr>
            <w:rFonts w:ascii="微软雅黑" w:hAnsi="微软雅黑" w:eastAsia="微软雅黑" w:cs="微软雅黑"/>
            <w:color w:val="087E89"/>
          </w:rPr>
          <w:t>Borr Drilling钻井平台在加蓬近海沉没，5人失踪</w:t>
        </w:r>
      </w:hyperlink>
      <w:r>
        <w:rPr>
          <w:rFonts w:ascii="微软雅黑" w:hAnsi="微软雅黑" w:eastAsia="微软雅黑" w:cs="微软雅黑"/>
        </w:rPr>
      </w:r>
    </w:p>
    <w:p>
      <w:pPr>
        <w:spacing w:after="0" w:line="20" w:lineRule="exact"/>
      </w:pPr>
      <w:bookmarkStart w:id="8" w:name="source-27406"/>
      <w:bookmarkEnd w:id="8" w:name="source-27406"/>
    </w:p>
    <w:p>
      <w:pPr>
        <w:pStyle w:val="ListBullet"/>
      </w:pPr>
      <w:r>
        <w:rPr>
          <w:rFonts w:ascii="微软雅黑" w:hAnsi="微软雅黑" w:eastAsia="微软雅黑" w:cs="微软雅黑"/>
        </w:rPr>
        <w:t>[8] 叙利亚通讯社｜</w:t>
      </w:r>
      <w:hyperlink r:id="rId18">
        <w:r>
          <w:rPr>
            <w:rFonts w:ascii="微软雅黑" w:hAnsi="微软雅黑" w:eastAsia="微软雅黑" w:cs="微软雅黑"/>
            <w:color w:val="087E89"/>
          </w:rPr>
          <w:t>燃料短缺之际，叙利亚石油公司向阿勒颇、伊德利卜派出250辆柴油油罐车</w:t>
        </w:r>
      </w:hyperlink>
      <w:r>
        <w:rPr>
          <w:rFonts w:ascii="微软雅黑" w:hAnsi="微软雅黑" w:eastAsia="微软雅黑" w:cs="微软雅黑"/>
        </w:rPr>
      </w:r>
    </w:p>
    <w:p>
      <w:pPr>
        <w:spacing w:after="0" w:line="20" w:lineRule="exact"/>
      </w:pPr>
      <w:bookmarkStart w:id="9" w:name="source-27287"/>
      <w:bookmarkEnd w:id="9" w:name="source-27287"/>
    </w:p>
    <w:p>
      <w:pPr>
        <w:pStyle w:val="ListBullet"/>
      </w:pPr>
      <w:r>
        <w:rPr>
          <w:rFonts w:ascii="微软雅黑" w:hAnsi="微软雅黑" w:eastAsia="微软雅黑" w:cs="微软雅黑"/>
        </w:rPr>
        <w:t>[9] 中财网｜</w:t>
      </w:r>
      <w:hyperlink r:id="rId19">
        <w:r>
          <w:rPr>
            <w:rFonts w:ascii="微软雅黑" w:hAnsi="微软雅黑" w:eastAsia="微软雅黑" w:cs="微软雅黑"/>
            <w:color w:val="087E89"/>
          </w:rPr>
          <w:t>炼焦煤供需由松转紧 2026年缺口扩大推升煤企盈利弹性</w:t>
        </w:r>
      </w:hyperlink>
      <w:r>
        <w:rPr>
          <w:rFonts w:ascii="微软雅黑" w:hAnsi="微软雅黑" w:eastAsia="微软雅黑" w:cs="微软雅黑"/>
        </w:rPr>
      </w:r>
    </w:p>
    <w:p>
      <w:pPr>
        <w:spacing w:after="0" w:line="20" w:lineRule="exact"/>
      </w:pPr>
      <w:bookmarkStart w:id="10" w:name="source-27443"/>
      <w:bookmarkEnd w:id="10" w:name="source-27443"/>
    </w:p>
    <w:p>
      <w:pPr>
        <w:pStyle w:val="ListBullet"/>
      </w:pPr>
      <w:r>
        <w:rPr>
          <w:rFonts w:ascii="微软雅黑" w:hAnsi="微软雅黑" w:eastAsia="微软雅黑" w:cs="微软雅黑"/>
        </w:rPr>
        <w:t>[10] 新浪财经｜</w:t>
      </w:r>
      <w:hyperlink r:id="rId20">
        <w:r>
          <w:rPr>
            <w:rFonts w:ascii="微软雅黑" w:hAnsi="微软雅黑" w:eastAsia="微软雅黑" w:cs="微软雅黑"/>
            <w:color w:val="087E89"/>
          </w:rPr>
          <w:t>11家上市公司暴露环境风险 华电能源一控股公司被罚46万元</w:t>
        </w:r>
      </w:hyperlink>
      <w:r>
        <w:rPr>
          <w:rFonts w:ascii="微软雅黑" w:hAnsi="微软雅黑" w:eastAsia="微软雅黑" w:cs="微软雅黑"/>
        </w:rPr>
      </w:r>
    </w:p>
    <w:p>
      <w:pPr>
        <w:spacing w:after="0" w:line="20" w:lineRule="exact"/>
      </w:pPr>
      <w:bookmarkStart w:id="11" w:name="source-27295"/>
      <w:bookmarkEnd w:id="11" w:name="source-27295"/>
    </w:p>
    <w:p>
      <w:pPr>
        <w:pStyle w:val="ListBullet"/>
      </w:pPr>
      <w:r>
        <w:rPr>
          <w:rFonts w:ascii="微软雅黑" w:hAnsi="微软雅黑" w:eastAsia="微软雅黑" w:cs="微软雅黑"/>
        </w:rPr>
        <w:t>[11] 韩国联合通讯社｜</w:t>
      </w:r>
      <w:hyperlink r:id="rId21">
        <w:r>
          <w:rPr>
            <w:rFonts w:ascii="微软雅黑" w:hAnsi="微软雅黑" w:eastAsia="微软雅黑" w:cs="微软雅黑"/>
            <w:color w:val="087E89"/>
          </w:rPr>
          <w:t>庆州举办原子能专业展览会，国内外77家机构·企业参与</w:t>
        </w:r>
      </w:hyperlink>
      <w:r>
        <w:rPr>
          <w:rFonts w:ascii="微软雅黑" w:hAnsi="微软雅黑" w:eastAsia="微软雅黑" w:cs="微软雅黑"/>
        </w:rPr>
      </w:r>
    </w:p>
    <w:p>
      <w:pPr>
        <w:spacing w:after="0" w:line="20" w:lineRule="exact"/>
      </w:pPr>
      <w:bookmarkStart w:id="12" w:name="source-27444"/>
      <w:bookmarkEnd w:id="12" w:name="source-27444"/>
    </w:p>
    <w:p>
      <w:pPr>
        <w:pStyle w:val="ListBullet"/>
      </w:pPr>
      <w:r>
        <w:rPr>
          <w:rFonts w:ascii="微软雅黑" w:hAnsi="微软雅黑" w:eastAsia="微软雅黑" w:cs="微软雅黑"/>
        </w:rPr>
        <w:t>[12] 科技日报｜</w:t>
      </w:r>
      <w:hyperlink r:id="rId22">
        <w:r>
          <w:rPr>
            <w:rFonts w:ascii="微软雅黑" w:hAnsi="微软雅黑" w:eastAsia="微软雅黑" w:cs="微软雅黑"/>
            <w:color w:val="087E89"/>
          </w:rPr>
          <w:t>全国首个电力服务算力发展“一揽子”举措出炉</w:t>
        </w:r>
      </w:hyperlink>
      <w:r>
        <w:rPr>
          <w:rFonts w:ascii="微软雅黑" w:hAnsi="微软雅黑" w:eastAsia="微软雅黑" w:cs="微软雅黑"/>
        </w:rPr>
      </w:r>
    </w:p>
    <w:p>
      <w:pPr>
        <w:spacing w:after="0" w:line="20" w:lineRule="exact"/>
      </w:pPr>
      <w:bookmarkStart w:id="13" w:name="source-27333"/>
      <w:bookmarkEnd w:id="13" w:name="source-27333"/>
    </w:p>
    <w:p>
      <w:pPr>
        <w:pStyle w:val="ListBullet"/>
      </w:pPr>
      <w:r>
        <w:rPr>
          <w:rFonts w:ascii="微软雅黑" w:hAnsi="微软雅黑" w:eastAsia="微软雅黑" w:cs="微软雅黑"/>
        </w:rPr>
        <w:t>[13] OGN News｜</w:t>
      </w:r>
      <w:hyperlink r:id="rId23">
        <w:r>
          <w:rPr>
            <w:rFonts w:ascii="微软雅黑" w:hAnsi="微软雅黑" w:eastAsia="微软雅黑" w:cs="微软雅黑"/>
            <w:color w:val="087E89"/>
          </w:rPr>
          <w:t>土耳其计划修订能源战略，将目标延至2040年</w:t>
        </w:r>
      </w:hyperlink>
      <w:r>
        <w:rPr>
          <w:rFonts w:ascii="微软雅黑" w:hAnsi="微软雅黑" w:eastAsia="微软雅黑" w:cs="微软雅黑"/>
        </w:rPr>
      </w:r>
    </w:p>
    <w:p>
      <w:pPr>
        <w:spacing w:after="0" w:line="20" w:lineRule="exact"/>
      </w:pPr>
      <w:bookmarkStart w:id="14" w:name="source-27225"/>
      <w:bookmarkEnd w:id="14" w:name="source-27225"/>
    </w:p>
    <w:p>
      <w:pPr>
        <w:pStyle w:val="ListBullet"/>
      </w:pPr>
      <w:r>
        <w:rPr>
          <w:rFonts w:ascii="微软雅黑" w:hAnsi="微软雅黑" w:eastAsia="微软雅黑" w:cs="微软雅黑"/>
        </w:rPr>
        <w:t>[14] 韩国联合通讯社｜</w:t>
      </w:r>
      <w:hyperlink r:id="rId24">
        <w:r>
          <w:rPr>
            <w:rFonts w:ascii="微软雅黑" w:hAnsi="微软雅黑" w:eastAsia="微软雅黑" w:cs="微软雅黑"/>
            <w:color w:val="087E89"/>
          </w:rPr>
          <w:t>公共机构将设“可再生能源发电目标”……“提供用地”也包含在内</w:t>
        </w:r>
      </w:hyperlink>
      <w:r>
        <w:rPr>
          <w:rFonts w:ascii="微软雅黑" w:hAnsi="微软雅黑" w:eastAsia="微软雅黑" w:cs="微软雅黑"/>
        </w:rPr>
      </w:r>
    </w:p>
    <w:p>
      <w:pPr>
        <w:spacing w:after="0" w:line="20" w:lineRule="exact"/>
      </w:pPr>
      <w:bookmarkStart w:id="15" w:name="source-27393"/>
      <w:bookmarkEnd w:id="15" w:name="source-27393"/>
    </w:p>
    <w:p>
      <w:pPr>
        <w:pStyle w:val="ListBullet"/>
      </w:pPr>
      <w:r>
        <w:rPr>
          <w:rFonts w:ascii="微软雅黑" w:hAnsi="微软雅黑" w:eastAsia="微软雅黑" w:cs="微软雅黑"/>
        </w:rPr>
        <w:t>[15] Solarbe(光伏网)｜</w:t>
      </w:r>
      <w:hyperlink r:id="rId25">
        <w:r>
          <w:rPr>
            <w:rFonts w:ascii="微软雅黑" w:hAnsi="微软雅黑" w:eastAsia="微软雅黑" w:cs="微软雅黑"/>
            <w:color w:val="087E89"/>
          </w:rPr>
          <w:t>机器人把组件放到位以后，光伏自动化安装还缺少什么？</w:t>
        </w:r>
      </w:hyperlink>
      <w:r>
        <w:rPr>
          <w:rFonts w:ascii="微软雅黑" w:hAnsi="微软雅黑" w:eastAsia="微软雅黑" w:cs="微软雅黑"/>
        </w:rPr>
      </w:r>
    </w:p>
    <w:p>
      <w:pPr>
        <w:spacing w:after="0" w:line="20" w:lineRule="exact"/>
      </w:pPr>
      <w:bookmarkStart w:id="16" w:name="source-27337"/>
      <w:bookmarkEnd w:id="16" w:name="source-27337"/>
    </w:p>
    <w:p>
      <w:pPr>
        <w:pStyle w:val="ListBullet"/>
      </w:pPr>
      <w:r>
        <w:rPr>
          <w:rFonts w:ascii="微软雅黑" w:hAnsi="微软雅黑" w:eastAsia="微软雅黑" w:cs="微软雅黑"/>
        </w:rPr>
        <w:t>[16] The Edge Malaysia等｜</w:t>
      </w:r>
      <w:hyperlink r:id="rId26">
        <w:r>
          <w:rPr>
            <w:rFonts w:ascii="微软雅黑" w:hAnsi="微软雅黑" w:eastAsia="微软雅黑" w:cs="微软雅黑"/>
            <w:color w:val="087E89"/>
          </w:rPr>
          <w:t>新加坡总理黄循财承诺加大对劳工的支持并保障能源安全</w:t>
        </w:r>
      </w:hyperlink>
      <w:r>
        <w:rPr>
          <w:rFonts w:ascii="微软雅黑" w:hAnsi="微软雅黑" w:eastAsia="微软雅黑" w:cs="微软雅黑"/>
        </w:rPr>
      </w:r>
    </w:p>
    <w:p>
      <w:pPr>
        <w:spacing w:after="0" w:line="20" w:lineRule="exact"/>
      </w:pPr>
      <w:bookmarkStart w:id="17" w:name="source-27297"/>
      <w:bookmarkEnd w:id="17" w:name="source-27297"/>
    </w:p>
    <w:p>
      <w:pPr>
        <w:pStyle w:val="ListBullet"/>
      </w:pPr>
      <w:r>
        <w:rPr>
          <w:rFonts w:ascii="微软雅黑" w:hAnsi="微软雅黑" w:eastAsia="微软雅黑" w:cs="微软雅黑"/>
        </w:rPr>
        <w:t>[17] 人民日报｜</w:t>
      </w:r>
      <w:hyperlink r:id="rId27">
        <w:r>
          <w:rPr>
            <w:rFonts w:ascii="微软雅黑" w:hAnsi="微软雅黑" w:eastAsia="微软雅黑" w:cs="微软雅黑"/>
            <w:color w:val="087E89"/>
          </w:rPr>
          <w:t>能源账单背后的德国经济困局</w:t>
        </w:r>
      </w:hyperlink>
      <w:r>
        <w:rPr>
          <w:rFonts w:ascii="微软雅黑" w:hAnsi="微软雅黑" w:eastAsia="微软雅黑" w:cs="微软雅黑"/>
        </w:rPr>
      </w:r>
    </w:p>
    <w:p>
      <w:pPr>
        <w:spacing w:after="0" w:line="20" w:lineRule="exact"/>
      </w:pPr>
      <w:bookmarkStart w:id="18" w:name="source-27284"/>
      <w:bookmarkEnd w:id="18" w:name="source-27284"/>
    </w:p>
    <w:p>
      <w:pPr>
        <w:pStyle w:val="ListBullet"/>
      </w:pPr>
      <w:r>
        <w:rPr>
          <w:rFonts w:ascii="微软雅黑" w:hAnsi="微软雅黑" w:eastAsia="微软雅黑" w:cs="微软雅黑"/>
        </w:rPr>
        <w:t>[18] 中财网｜</w:t>
      </w:r>
      <w:hyperlink r:id="rId28">
        <w:r>
          <w:rPr>
            <w:rFonts w:ascii="微软雅黑" w:hAnsi="微软雅黑" w:eastAsia="微软雅黑" w:cs="微软雅黑"/>
            <w:color w:val="087E89"/>
          </w:rPr>
          <w:t>动力煤供需趋紧推升煤价中枢 山西焦煤龙头迎业绩估值双击</w:t>
        </w:r>
      </w:hyperlink>
      <w:r>
        <w:rPr>
          <w:rFonts w:ascii="微软雅黑" w:hAnsi="微软雅黑" w:eastAsia="微软雅黑" w:cs="微软雅黑"/>
        </w:rPr>
      </w:r>
    </w:p>
    <w:p>
      <w:pPr>
        <w:spacing w:after="0" w:line="20" w:lineRule="exact"/>
      </w:pPr>
      <w:bookmarkStart w:id="19" w:name="source-27334"/>
      <w:bookmarkEnd w:id="19" w:name="source-27334"/>
    </w:p>
    <w:p>
      <w:pPr>
        <w:pStyle w:val="ListBullet"/>
      </w:pPr>
      <w:r>
        <w:rPr>
          <w:rFonts w:ascii="微软雅黑" w:hAnsi="微软雅黑" w:eastAsia="微软雅黑" w:cs="微软雅黑"/>
        </w:rPr>
        <w:t>[19] OGN News｜</w:t>
      </w:r>
      <w:hyperlink r:id="rId29">
        <w:r>
          <w:rPr>
            <w:rFonts w:ascii="微软雅黑" w:hAnsi="微软雅黑" w:eastAsia="微软雅黑" w:cs="微软雅黑"/>
            <w:color w:val="087E89"/>
          </w:rPr>
          <w:t>bp与路易斯安那州达成3.5亿美元深水地平线和解协议</w:t>
        </w:r>
      </w:hyperlink>
      <w:r>
        <w:rPr>
          <w:rFonts w:ascii="微软雅黑" w:hAnsi="微软雅黑" w:eastAsia="微软雅黑" w:cs="微软雅黑"/>
        </w:rPr>
      </w:r>
    </w:p>
    <w:p>
      <w:pPr>
        <w:spacing w:after="0" w:line="20" w:lineRule="exact"/>
      </w:pPr>
      <w:bookmarkStart w:id="20" w:name="source-27422"/>
      <w:bookmarkEnd w:id="20" w:name="source-27422"/>
    </w:p>
    <w:p>
      <w:pPr>
        <w:pStyle w:val="ListBullet"/>
      </w:pPr>
      <w:r>
        <w:rPr>
          <w:rFonts w:ascii="微软雅黑" w:hAnsi="微软雅黑" w:eastAsia="微软雅黑" w:cs="微软雅黑"/>
        </w:rPr>
        <w:t>[20] 中国能源新闻网｜</w:t>
      </w:r>
      <w:hyperlink r:id="rId30">
        <w:r>
          <w:rPr>
            <w:rFonts w:ascii="微软雅黑" w:hAnsi="微软雅黑" w:eastAsia="微软雅黑" w:cs="微软雅黑"/>
            <w:color w:val="087E89"/>
          </w:rPr>
          <w:t>一批新产品新技术通过鉴定，有力支撑新型电力系统构建</w:t>
        </w:r>
      </w:hyperlink>
      <w:r>
        <w:rPr>
          <w:rFonts w:ascii="微软雅黑" w:hAnsi="微软雅黑" w:eastAsia="微软雅黑" w:cs="微软雅黑"/>
        </w:rPr>
      </w:r>
    </w:p>
    <w:p>
      <w:pPr>
        <w:spacing w:after="0" w:line="20" w:lineRule="exact"/>
      </w:pPr>
      <w:bookmarkStart w:id="21" w:name="source-27315"/>
      <w:bookmarkEnd w:id="21" w:name="source-27315"/>
    </w:p>
    <w:p>
      <w:pPr>
        <w:pStyle w:val="ListBullet"/>
      </w:pPr>
      <w:r>
        <w:rPr>
          <w:rFonts w:ascii="微软雅黑" w:hAnsi="微软雅黑" w:eastAsia="微软雅黑" w:cs="微软雅黑"/>
        </w:rPr>
        <w:t>[21] Mysteel｜</w:t>
      </w:r>
      <w:hyperlink r:id="rId31">
        <w:r>
          <w:rPr>
            <w:rFonts w:ascii="微软雅黑" w:hAnsi="微软雅黑" w:eastAsia="微软雅黑" w:cs="微软雅黑"/>
            <w:color w:val="087E89"/>
          </w:rPr>
          <w:t>冲突升级！胡塞武装对沙特发起多次袭击，目标直指能源设施和机场</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jiemian.com/article/15235877.html" TargetMode="External"/><Relationship Id="rId12" Type="http://schemas.openxmlformats.org/officeDocument/2006/relationships/hyperlink" Target="https://www.cls.cn/detail/2514281" TargetMode="External"/><Relationship Id="rId13" Type="http://schemas.openxmlformats.org/officeDocument/2006/relationships/hyperlink" Target="https://www.news.cn/world/20261025/4c1dc4a90b6a451b8d6860924cb36f45/c.html" TargetMode="External"/><Relationship Id="rId14" Type="http://schemas.openxmlformats.org/officeDocument/2006/relationships/hyperlink" Target="http://www.eeo.com.cn/2026/1025/1075484.shtml" TargetMode="External"/><Relationship Id="rId15" Type="http://schemas.openxmlformats.org/officeDocument/2006/relationships/hyperlink" Target="https://www.bernamabiz.com/news.php?id=2625363" TargetMode="External"/><Relationship Id="rId16" Type="http://schemas.openxmlformats.org/officeDocument/2006/relationships/hyperlink" Target="https://ognnews.com/ArticleTA/488415/qatarenergy-signs-long-term-deals-for-4-mtpa-of-us-lng-through-2054" TargetMode="External"/><Relationship Id="rId17" Type="http://schemas.openxmlformats.org/officeDocument/2006/relationships/hyperlink" Target="https://finance.sina.com.cn/stock/usstock/c/2026-10-25/doc-iniwmtkr9831014.shtml" TargetMode="External"/><Relationship Id="rId18" Type="http://schemas.openxmlformats.org/officeDocument/2006/relationships/hyperlink" Target="https://sana.sy/en/economic/2353450/" TargetMode="External"/><Relationship Id="rId19" Type="http://schemas.openxmlformats.org/officeDocument/2006/relationships/hyperlink" Target="https://industry.cfi.cn/p20261025000056.html" TargetMode="External"/><Relationship Id="rId20" Type="http://schemas.openxmlformats.org/officeDocument/2006/relationships/hyperlink" Target="https://finance.sina.com.cn/jjxw/2026-10-25/doc-iniwmxst3054163.shtml" TargetMode="External"/><Relationship Id="rId21" Type="http://schemas.openxmlformats.org/officeDocument/2006/relationships/hyperlink" Target="https://www.yna.co.kr/view/AKR20261025017200053?section=industry/energy-resource" TargetMode="External"/><Relationship Id="rId22" Type="http://schemas.openxmlformats.org/officeDocument/2006/relationships/hyperlink" Target="https://www.stdaily.com/web/gdxw/2026-10/25/content_602474.html" TargetMode="External"/><Relationship Id="rId23" Type="http://schemas.openxmlformats.org/officeDocument/2006/relationships/hyperlink" Target="https://ognnews.com/ArticleTA/488418/trkiye-plans-revised-energy-strategy-extending-targets-to-2040" TargetMode="External"/><Relationship Id="rId24" Type="http://schemas.openxmlformats.org/officeDocument/2006/relationships/hyperlink" Target="https://www.yna.co.kr/view/AKR20261023116600530?section=industry/energy-resource" TargetMode="External"/><Relationship Id="rId25" Type="http://schemas.openxmlformats.org/officeDocument/2006/relationships/hyperlink" Target="https://news.solarbe.com/202610/25/50030868.html" TargetMode="External"/><Relationship Id="rId26" Type="http://schemas.openxmlformats.org/officeDocument/2006/relationships/hyperlink" Target="https://theedgemalaysia.com/node/823153" TargetMode="External"/><Relationship Id="rId27" Type="http://schemas.openxmlformats.org/officeDocument/2006/relationships/hyperlink" Target="http://finance.people.com.cn/n1/2026/1025/c1004-40820933.html" TargetMode="External"/><Relationship Id="rId28" Type="http://schemas.openxmlformats.org/officeDocument/2006/relationships/hyperlink" Target="https://industry.cfi.cn/p20261025000072.html" TargetMode="External"/><Relationship Id="rId29" Type="http://schemas.openxmlformats.org/officeDocument/2006/relationships/hyperlink" Target="https://ognnews.com/ArticleTA/488417/bp-louisiana-reach-350m-deepwater-horizon-settlement-agreement" TargetMode="External"/><Relationship Id="rId30" Type="http://schemas.openxmlformats.org/officeDocument/2006/relationships/hyperlink" Target="https://www.cpnn.com.cn/news/hy/202610/t20261025_1922248.html" TargetMode="External"/><Relationship Id="rId31" Type="http://schemas.openxmlformats.org/officeDocument/2006/relationships/hyperlink" Target="https://news.mysteel.com/a/26102510/DFA76BF3C4F36FA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2026年10月25日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