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0" w:after="0" w:line="20" w:lineRule="atLeast"/>
        <w:ind w:firstLine="0" w:left="0" w:right="0"/>
      </w:pPr>
      <w:r>
        <w:rPr>
          <w:rFonts w:ascii="微软雅黑" w:hAnsi="微软雅黑" w:eastAsia="微软雅黑" w:cs="微软雅黑"/>
          <w:sz w:val="2"/>
        </w:rPr>
        <w:drawing>
          <wp:inline xmlns:a="http://schemas.openxmlformats.org/drawingml/2006/main" xmlns:pic="http://schemas.openxmlformats.org/drawingml/2006/picture">
            <wp:extent cx="7488000" cy="10584000"/>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488000" cy="10584000"/>
                    </a:xfrm>
                    <a:prstGeom prst="rect"/>
                  </pic:spPr>
                </pic:pic>
              </a:graphicData>
            </a:graphic>
          </wp:inline>
        </w:drawing>
      </w:r>
    </w:p>
    <w:p>
      <w:pPr>
        <w:spacing w:before="0" w:after="0" w:line="20" w:lineRule="exact"/>
        <w:sectPr>
          <w:pgSz w:w="11906" w:h="16838"/>
          <w:pgMar w:top="0" w:right="0" w:bottom="0" w:left="0" w:header="720" w:footer="720" w:gutter="0"/>
          <w:cols w:space="720"/>
          <w:docGrid w:linePitch="360"/>
        </w:sectPr>
      </w:pPr>
    </w:p>
    <w:p>
      <w:pPr>
        <w:spacing w:after="180"/>
      </w:pPr>
      <w:r>
        <w:rPr>
          <w:rFonts w:ascii="微软雅黑" w:hAnsi="微软雅黑" w:eastAsia="微软雅黑" w:cs="微软雅黑"/>
          <w:b/>
          <w:sz w:val="30"/>
        </w:rPr>
        <w:t>报告目录</w:t>
      </w:r>
    </w:p>
    <w:p>
      <w:pPr>
        <w:pStyle w:val="ListBullet"/>
        <w:spacing w:after="60"/>
      </w:pPr>
      <w:r>
        <w:rPr>
          <w:rFonts w:ascii="微软雅黑" w:hAnsi="微软雅黑" w:eastAsia="微软雅黑" w:cs="微软雅黑"/>
        </w:rPr>
        <w:t>核心摘要</w:t>
      </w:r>
    </w:p>
    <w:p>
      <w:pPr>
        <w:pStyle w:val="ListBullet"/>
        <w:spacing w:after="60"/>
      </w:pPr>
      <w:r>
        <w:rPr>
          <w:rFonts w:ascii="微软雅黑" w:hAnsi="微软雅黑" w:eastAsia="微软雅黑" w:cs="微软雅黑"/>
        </w:rPr>
        <w:t>关键数据</w:t>
      </w:r>
    </w:p>
    <w:p>
      <w:pPr>
        <w:pStyle w:val="ListBullet"/>
        <w:spacing w:after="60"/>
      </w:pPr>
      <w:r>
        <w:rPr>
          <w:rFonts w:ascii="微软雅黑" w:hAnsi="微软雅黑" w:eastAsia="微软雅黑" w:cs="微软雅黑"/>
        </w:rPr>
        <w:t>国际重点事件</w:t>
      </w:r>
    </w:p>
    <w:p>
      <w:pPr>
        <w:pStyle w:val="ListBullet"/>
        <w:spacing w:after="60"/>
      </w:pPr>
      <w:r>
        <w:rPr>
          <w:rFonts w:ascii="微软雅黑" w:hAnsi="微软雅黑" w:eastAsia="微软雅黑" w:cs="微软雅黑"/>
        </w:rPr>
        <w:t>中国重点事件</w:t>
      </w:r>
    </w:p>
    <w:p>
      <w:pPr>
        <w:pStyle w:val="ListBullet"/>
        <w:spacing w:after="60"/>
      </w:pPr>
      <w:r>
        <w:rPr>
          <w:rFonts w:ascii="微软雅黑" w:hAnsi="微软雅黑" w:eastAsia="微软雅黑" w:cs="微软雅黑"/>
        </w:rPr>
        <w:t>风险与后续观察</w:t>
      </w:r>
    </w:p>
    <w:p>
      <w:pPr>
        <w:pStyle w:val="ListBullet"/>
        <w:spacing w:after="60"/>
      </w:pPr>
      <w:r>
        <w:rPr>
          <w:rFonts w:ascii="微软雅黑" w:hAnsi="微软雅黑" w:eastAsia="微软雅黑" w:cs="微软雅黑"/>
        </w:rPr>
        <w:t>资料覆盖说明</w:t>
      </w:r>
    </w:p>
    <w:p>
      <w:pPr>
        <w:pStyle w:val="ListBullet"/>
        <w:spacing w:after="60"/>
      </w:pPr>
      <w:r>
        <w:rPr>
          <w:rFonts w:ascii="微软雅黑" w:hAnsi="微软雅黑" w:eastAsia="微软雅黑" w:cs="微软雅黑"/>
        </w:rPr>
        <w:t>资料来源</w:t>
      </w:r>
    </w:p>
    <w:p>
      <w:pPr>
        <w:spacing w:after="280"/>
      </w:pPr>
    </w:p>
    <w:p>
      <w:pPr>
        <w:ind w:firstLine="420"/>
      </w:pPr>
      <w:r>
        <w:rPr>
          <w:rFonts w:ascii="微软雅黑" w:hAnsi="微软雅黑" w:eastAsia="微软雅黑" w:cs="微软雅黑"/>
        </w:rPr>
        <w:t>信息覆盖时段：2026-10-19 00:00 至 2026-10-20 00:00（不含），Asia/Shanghai。</w:t>
      </w:r>
    </w:p>
    <w:p>
      <w:pPr/>
      <w:r>
        <w:rPr>
          <w:rFonts w:ascii="微软雅黑" w:hAnsi="微软雅黑" w:eastAsia="微软雅黑" w:cs="微软雅黑"/>
        </w:rPr>
        <w:t>统计区间：2026-10-19 至 2026-10-20（结束日不含，北京时间）</w:t>
      </w:r>
    </w:p>
    <w:p>
      <w:pPr>
        <w:ind w:firstLine="420"/>
      </w:pPr>
      <w:r>
        <w:rPr>
          <w:rFonts w:ascii="微软雅黑" w:hAnsi="微软雅黑" w:eastAsia="微软雅黑" w:cs="微软雅黑"/>
        </w:rPr>
        <w:t>资料更新截止：2026-10-20 04:00（北京时间）</w:t>
      </w:r>
    </w:p>
    <w:p>
      <w:pPr>
        <w:pStyle w:val="Heading2"/>
      </w:pPr>
      <w:r>
        <w:rPr>
          <w:rFonts w:ascii="微软雅黑" w:hAnsi="微软雅黑" w:eastAsia="微软雅黑" w:cs="微软雅黑"/>
        </w:rPr>
        <w:t>核心摘要</w:t>
      </w:r>
    </w:p>
    <w:p>
      <w:pPr>
        <w:pStyle w:val="ListBullet"/>
      </w:pPr>
      <w:r>
        <w:rPr>
          <w:rFonts w:ascii="微软雅黑" w:hAnsi="微软雅黑" w:eastAsia="微软雅黑" w:cs="微软雅黑"/>
        </w:rPr>
        <w:t xml:space="preserve">埃尼完成利比亚Bouri伴生气利用项目，年增约7亿标准立方米天然气 </w:t>
      </w:r>
      <w:hyperlink w:anchor="source-23345">
        <w:r>
          <w:rPr>
            <w:rFonts w:ascii="微软雅黑" w:hAnsi="微软雅黑" w:eastAsia="微软雅黑" w:cs="微软雅黑"/>
            <w:color w:val="087E89"/>
          </w:rPr>
          <w:t>1</w:t>
        </w:r>
      </w:hyperlink>
      <w:r>
        <w:rPr>
          <w:rFonts w:ascii="微软雅黑" w:hAnsi="微软雅黑" w:eastAsia="微软雅黑" w:cs="微软雅黑"/>
        </w:rPr>
      </w:r>
    </w:p>
    <w:p>
      <w:pPr>
        <w:pStyle w:val="ListBullet"/>
      </w:pPr>
      <w:r>
        <w:rPr>
          <w:rFonts w:ascii="微软雅黑" w:hAnsi="微软雅黑" w:eastAsia="微软雅黑" w:cs="微软雅黑"/>
        </w:rPr>
        <w:t xml:space="preserve">特朗普暂停对俄石油制裁 布伦特油价跌至107.95美元 </w:t>
      </w:r>
      <w:hyperlink w:anchor="source-23159">
        <w:r>
          <w:rPr>
            <w:rFonts w:ascii="微软雅黑" w:hAnsi="微软雅黑" w:eastAsia="微软雅黑" w:cs="微软雅黑"/>
            <w:color w:val="087E89"/>
          </w:rPr>
          <w:t>2</w:t>
        </w:r>
      </w:hyperlink>
      <w:r>
        <w:rPr>
          <w:rFonts w:ascii="微软雅黑" w:hAnsi="微软雅黑" w:eastAsia="微软雅黑" w:cs="微软雅黑"/>
        </w:rPr>
        <w:t xml:space="preserve"> </w:t>
      </w:r>
      <w:hyperlink w:anchor="source-23009">
        <w:r>
          <w:rPr>
            <w:rFonts w:ascii="微软雅黑" w:hAnsi="微软雅黑" w:eastAsia="微软雅黑" w:cs="微软雅黑"/>
            <w:color w:val="087E89"/>
          </w:rPr>
          <w:t>3</w:t>
        </w:r>
      </w:hyperlink>
      <w:r>
        <w:rPr>
          <w:rFonts w:ascii="微软雅黑" w:hAnsi="微软雅黑" w:eastAsia="微软雅黑" w:cs="微软雅黑"/>
        </w:rPr>
        <w:t xml:space="preserve"> </w:t>
      </w:r>
      <w:hyperlink w:anchor="source-22874">
        <w:r>
          <w:rPr>
            <w:rFonts w:ascii="微软雅黑" w:hAnsi="微软雅黑" w:eastAsia="微软雅黑" w:cs="微软雅黑"/>
            <w:color w:val="087E89"/>
          </w:rPr>
          <w:t>4</w:t>
        </w:r>
      </w:hyperlink>
      <w:r>
        <w:rPr>
          <w:rFonts w:ascii="微软雅黑" w:hAnsi="微软雅黑" w:eastAsia="微软雅黑" w:cs="微软雅黑"/>
        </w:rPr>
      </w:r>
    </w:p>
    <w:p>
      <w:pPr>
        <w:pStyle w:val="ListBullet"/>
      </w:pPr>
      <w:r>
        <w:rPr>
          <w:rFonts w:ascii="微软雅黑" w:hAnsi="微软雅黑" w:eastAsia="微软雅黑" w:cs="微软雅黑"/>
        </w:rPr>
        <w:t xml:space="preserve">中国首次管控光伏技术和设备出口，拟增列12项技术 </w:t>
      </w:r>
      <w:hyperlink w:anchor="source-23397">
        <w:r>
          <w:rPr>
            <w:rFonts w:ascii="微软雅黑" w:hAnsi="微软雅黑" w:eastAsia="微软雅黑" w:cs="微软雅黑"/>
            <w:color w:val="087E89"/>
          </w:rPr>
          <w:t>5</w:t>
        </w:r>
      </w:hyperlink>
      <w:r>
        <w:rPr>
          <w:rFonts w:ascii="微软雅黑" w:hAnsi="微软雅黑" w:eastAsia="微软雅黑" w:cs="微软雅黑"/>
        </w:rPr>
        <w:t xml:space="preserve"> </w:t>
      </w:r>
      <w:hyperlink w:anchor="source-23115">
        <w:r>
          <w:rPr>
            <w:rFonts w:ascii="微软雅黑" w:hAnsi="微软雅黑" w:eastAsia="微软雅黑" w:cs="微软雅黑"/>
            <w:color w:val="087E89"/>
          </w:rPr>
          <w:t>6</w:t>
        </w:r>
      </w:hyperlink>
      <w:r>
        <w:rPr>
          <w:rFonts w:ascii="微软雅黑" w:hAnsi="微软雅黑" w:eastAsia="微软雅黑" w:cs="微软雅黑"/>
        </w:rPr>
        <w:t xml:space="preserve"> </w:t>
      </w:r>
      <w:hyperlink w:anchor="source-23120">
        <w:r>
          <w:rPr>
            <w:rFonts w:ascii="微软雅黑" w:hAnsi="微软雅黑" w:eastAsia="微软雅黑" w:cs="微软雅黑"/>
            <w:color w:val="087E89"/>
          </w:rPr>
          <w:t>7</w:t>
        </w:r>
      </w:hyperlink>
      <w:r>
        <w:rPr>
          <w:rFonts w:ascii="微软雅黑" w:hAnsi="微软雅黑" w:eastAsia="微软雅黑" w:cs="微软雅黑"/>
        </w:rPr>
      </w:r>
    </w:p>
    <w:p>
      <w:pPr>
        <w:pStyle w:val="ListBullet"/>
      </w:pPr>
      <w:r>
        <w:rPr>
          <w:rFonts w:ascii="微软雅黑" w:hAnsi="微软雅黑" w:eastAsia="微软雅黑" w:cs="微软雅黑"/>
        </w:rPr>
        <w:t xml:space="preserve">2025年煤炭采选业R&amp;D经费投入211.7亿元强度提高 </w:t>
      </w:r>
      <w:hyperlink w:anchor="source-23363">
        <w:r>
          <w:rPr>
            <w:rFonts w:ascii="微软雅黑" w:hAnsi="微软雅黑" w:eastAsia="微软雅黑" w:cs="微软雅黑"/>
            <w:color w:val="087E89"/>
          </w:rPr>
          <w:t>8</w:t>
        </w:r>
      </w:hyperlink>
      <w:r>
        <w:rPr>
          <w:rFonts w:ascii="微软雅黑" w:hAnsi="微软雅黑" w:eastAsia="微软雅黑" w:cs="微软雅黑"/>
        </w:rPr>
        <w:t xml:space="preserve"> </w:t>
      </w:r>
      <w:hyperlink w:anchor="source-22947">
        <w:r>
          <w:rPr>
            <w:rFonts w:ascii="微软雅黑" w:hAnsi="微软雅黑" w:eastAsia="微软雅黑" w:cs="微软雅黑"/>
            <w:color w:val="087E89"/>
          </w:rPr>
          <w:t>9</w:t>
        </w:r>
      </w:hyperlink>
      <w:r>
        <w:rPr>
          <w:rFonts w:ascii="微软雅黑" w:hAnsi="微软雅黑" w:eastAsia="微软雅黑" w:cs="微软雅黑"/>
        </w:rPr>
      </w:r>
    </w:p>
    <w:p>
      <w:pPr>
        <w:pStyle w:val="ListBullet"/>
      </w:pPr>
      <w:r>
        <w:rPr>
          <w:rFonts w:ascii="微软雅黑" w:hAnsi="微软雅黑" w:eastAsia="微软雅黑" w:cs="微软雅黑"/>
        </w:rPr>
        <w:t xml:space="preserve">光伏多晶硅、硅片、电池制备工艺及设备列入出口管制目录征求意见 </w:t>
      </w:r>
      <w:hyperlink w:anchor="source-23321">
        <w:r>
          <w:rPr>
            <w:rFonts w:ascii="微软雅黑" w:hAnsi="微软雅黑" w:eastAsia="微软雅黑" w:cs="微软雅黑"/>
            <w:color w:val="087E89"/>
          </w:rPr>
          <w:t>10</w:t>
        </w:r>
      </w:hyperlink>
      <w:r>
        <w:rPr>
          <w:rFonts w:ascii="微软雅黑" w:hAnsi="微软雅黑" w:eastAsia="微软雅黑" w:cs="微软雅黑"/>
        </w:rPr>
      </w:r>
    </w:p>
    <w:p>
      <w:pPr>
        <w:pStyle w:val="Heading2"/>
        <w:keepNext/>
      </w:pPr>
      <w:r>
        <w:rPr>
          <w:rFonts w:ascii="微软雅黑" w:hAnsi="微软雅黑" w:eastAsia="微软雅黑" w:cs="微软雅黑"/>
        </w:rPr>
        <w:t>关键数据</w:t>
      </w:r>
    </w:p>
    <w:tbl>
      <w:tblPr>
        <w:tblStyle w:val="TableGrid"/>
        <w:tblW w:type="auto" w:w="0"/>
        <w:tblLook w:firstColumn="1" w:firstRow="1" w:lastColumn="0" w:lastRow="0" w:noHBand="0" w:noVBand="1" w:val="04A0"/>
      </w:tblPr>
      <w:tblGrid>
        <w:gridCol w:w="2268"/>
        <w:gridCol w:w="2268"/>
        <w:gridCol w:w="2268"/>
        <w:gridCol w:w="2268"/>
      </w:tblGrid>
      <w:tr>
        <w:trPr>
          <w:cantSplit/>
          <w:tblHeader/>
        </w:trPr>
        <w:tc>
          <w:tcPr>
            <w:tcW w:type="dxa" w:w="2268"/>
          </w:tcPr>
          <w:p>
            <w:pPr>
              <w:spacing w:after="40"/>
            </w:pPr>
            <w:r>
              <w:rPr>
                <w:rFonts w:ascii="微软雅黑" w:hAnsi="微软雅黑" w:eastAsia="微软雅黑" w:cs="微软雅黑"/>
                <w:b/>
              </w:rPr>
              <w:t>指标</w:t>
            </w:r>
          </w:p>
        </w:tc>
        <w:tc>
          <w:tcPr>
            <w:tcW w:type="dxa" w:w="2268"/>
          </w:tcPr>
          <w:p>
            <w:pPr>
              <w:spacing w:after="40"/>
            </w:pPr>
            <w:r>
              <w:rPr>
                <w:rFonts w:ascii="微软雅黑" w:hAnsi="微软雅黑" w:eastAsia="微软雅黑" w:cs="微软雅黑"/>
                <w:b/>
              </w:rPr>
              <w:t>数值及单位</w:t>
            </w:r>
          </w:p>
        </w:tc>
        <w:tc>
          <w:tcPr>
            <w:tcW w:type="dxa" w:w="2268"/>
          </w:tcPr>
          <w:p>
            <w:pPr>
              <w:spacing w:after="40"/>
            </w:pPr>
            <w:r>
              <w:rPr>
                <w:rFonts w:ascii="微软雅黑" w:hAnsi="微软雅黑" w:eastAsia="微软雅黑" w:cs="微软雅黑"/>
                <w:b/>
              </w:rPr>
              <w:t>数据时间</w:t>
            </w:r>
          </w:p>
        </w:tc>
        <w:tc>
          <w:tcPr>
            <w:tcW w:type="dxa" w:w="2268"/>
          </w:tcPr>
          <w:p>
            <w:pPr>
              <w:spacing w:after="40"/>
            </w:pPr>
            <w:r>
              <w:rPr>
                <w:rFonts w:ascii="微软雅黑" w:hAnsi="微软雅黑" w:eastAsia="微软雅黑" w:cs="微软雅黑"/>
                <w:b/>
              </w:rPr>
              <w:t>来源</w:t>
            </w:r>
          </w:p>
        </w:tc>
      </w:tr>
      <w:tr>
        <w:trPr>
          <w:cantSplit/>
        </w:trPr>
        <w:tc>
          <w:tcPr>
            <w:tcW w:type="dxa" w:w="2268"/>
          </w:tcPr>
          <w:p>
            <w:pPr>
              <w:spacing w:after="40"/>
            </w:pPr>
            <w:r>
              <w:rPr>
                <w:rFonts w:ascii="微软雅黑" w:hAnsi="微软雅黑" w:eastAsia="微软雅黑" w:cs="微软雅黑"/>
              </w:rPr>
              <w:t>利比亚Bouri伴生气利用项目年减排量</w:t>
            </w:r>
          </w:p>
        </w:tc>
        <w:tc>
          <w:tcPr>
            <w:tcW w:type="dxa" w:w="2268"/>
          </w:tcPr>
          <w:p>
            <w:pPr>
              <w:spacing w:after="40"/>
            </w:pPr>
            <w:r>
              <w:rPr>
                <w:rFonts w:ascii="微软雅黑" w:hAnsi="微软雅黑" w:eastAsia="微软雅黑" w:cs="微软雅黑"/>
              </w:rPr>
              <w:t>约150万吨二氧化碳当量</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23345">
              <w:r>
                <w:rPr>
                  <w:rFonts w:ascii="微软雅黑" w:hAnsi="微软雅黑" w:eastAsia="微软雅黑" w:cs="微软雅黑"/>
                  <w:color w:val="087E89"/>
                </w:rPr>
                <w:t>1</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利比亚Bouri伴生气利用项目年增量天然气产量</w:t>
            </w:r>
          </w:p>
        </w:tc>
        <w:tc>
          <w:tcPr>
            <w:tcW w:type="dxa" w:w="2268"/>
          </w:tcPr>
          <w:p>
            <w:pPr>
              <w:spacing w:after="40"/>
            </w:pPr>
            <w:r>
              <w:rPr>
                <w:rFonts w:ascii="微软雅黑" w:hAnsi="微软雅黑" w:eastAsia="微软雅黑" w:cs="微软雅黑"/>
              </w:rPr>
              <w:t>约7亿标准立方米</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23345">
              <w:r>
                <w:rPr>
                  <w:rFonts w:ascii="微软雅黑" w:hAnsi="微软雅黑" w:eastAsia="微软雅黑" w:cs="微软雅黑"/>
                  <w:color w:val="087E89"/>
                </w:rPr>
                <w:t>1</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埃尼在利比亚权益产量</w:t>
            </w:r>
          </w:p>
        </w:tc>
        <w:tc>
          <w:tcPr>
            <w:tcW w:type="dxa" w:w="2268"/>
          </w:tcPr>
          <w:p>
            <w:pPr>
              <w:spacing w:after="40"/>
            </w:pPr>
            <w:r>
              <w:rPr>
                <w:rFonts w:ascii="微软雅黑" w:hAnsi="微软雅黑" w:eastAsia="微软雅黑" w:cs="微软雅黑"/>
              </w:rPr>
              <w:t>约每天16.2万桶油当量</w:t>
            </w:r>
          </w:p>
        </w:tc>
        <w:tc>
          <w:tcPr>
            <w:tcW w:type="dxa" w:w="2268"/>
          </w:tcPr>
          <w:p>
            <w:pPr>
              <w:spacing w:after="40"/>
            </w:pPr>
            <w:r>
              <w:rPr>
                <w:rFonts w:ascii="微软雅黑" w:hAnsi="微软雅黑" w:eastAsia="微软雅黑" w:cs="微软雅黑"/>
              </w:rPr>
              <w:t>2025</w:t>
            </w:r>
          </w:p>
        </w:tc>
        <w:tc>
          <w:tcPr>
            <w:tcW w:type="dxa" w:w="2268"/>
          </w:tcPr>
          <w:p>
            <w:pPr>
              <w:spacing w:after="40"/>
            </w:pPr>
            <w:r>
              <w:rPr>
                <w:rFonts w:ascii="微软雅黑" w:hAnsi="微软雅黑" w:eastAsia="微软雅黑" w:cs="微软雅黑"/>
              </w:rPr>
            </w:r>
            <w:hyperlink w:anchor="source-23345">
              <w:r>
                <w:rPr>
                  <w:rFonts w:ascii="微软雅黑" w:hAnsi="微软雅黑" w:eastAsia="微软雅黑" w:cs="微软雅黑"/>
                  <w:color w:val="087E89"/>
                </w:rPr>
                <w:t>1</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布伦特原油期货价格</w:t>
            </w:r>
          </w:p>
        </w:tc>
        <w:tc>
          <w:tcPr>
            <w:tcW w:type="dxa" w:w="2268"/>
          </w:tcPr>
          <w:p>
            <w:pPr>
              <w:spacing w:after="40"/>
            </w:pPr>
            <w:r>
              <w:rPr>
                <w:rFonts w:ascii="微软雅黑" w:hAnsi="微软雅黑" w:eastAsia="微软雅黑" w:cs="微软雅黑"/>
              </w:rPr>
              <w:t>107.95美元/桶，下跌1.7%</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23159">
              <w:r>
                <w:rPr>
                  <w:rFonts w:ascii="微软雅黑" w:hAnsi="微软雅黑" w:eastAsia="微软雅黑" w:cs="微软雅黑"/>
                  <w:color w:val="087E89"/>
                </w:rPr>
                <w:t>2</w:t>
              </w:r>
            </w:hyperlink>
            <w:r>
              <w:rPr>
                <w:rFonts w:ascii="微软雅黑" w:hAnsi="微软雅黑" w:eastAsia="微软雅黑" w:cs="微软雅黑"/>
              </w:rPr>
              <w:t xml:space="preserve"> </w:t>
            </w:r>
            <w:hyperlink w:anchor="source-23009">
              <w:r>
                <w:rPr>
                  <w:rFonts w:ascii="微软雅黑" w:hAnsi="微软雅黑" w:eastAsia="微软雅黑" w:cs="微软雅黑"/>
                  <w:color w:val="087E89"/>
                </w:rPr>
                <w:t>3</w:t>
              </w:r>
            </w:hyperlink>
            <w:r>
              <w:rPr>
                <w:rFonts w:ascii="微软雅黑" w:hAnsi="微软雅黑" w:eastAsia="微软雅黑" w:cs="微软雅黑"/>
              </w:rPr>
              <w:t xml:space="preserve"> </w:t>
            </w:r>
            <w:hyperlink w:anchor="source-22874">
              <w:r>
                <w:rPr>
                  <w:rFonts w:ascii="微软雅黑" w:hAnsi="微软雅黑" w:eastAsia="微软雅黑" w:cs="微软雅黑"/>
                  <w:color w:val="087E89"/>
                </w:rPr>
                <w:t>4</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美国WTI原油期货价格</w:t>
            </w:r>
          </w:p>
        </w:tc>
        <w:tc>
          <w:tcPr>
            <w:tcW w:type="dxa" w:w="2268"/>
          </w:tcPr>
          <w:p>
            <w:pPr>
              <w:spacing w:after="40"/>
            </w:pPr>
            <w:r>
              <w:rPr>
                <w:rFonts w:ascii="微软雅黑" w:hAnsi="微软雅黑" w:eastAsia="微软雅黑" w:cs="微软雅黑"/>
              </w:rPr>
              <w:t>101.18美元/桶，下跌23美分或0.23%</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23159">
              <w:r>
                <w:rPr>
                  <w:rFonts w:ascii="微软雅黑" w:hAnsi="微软雅黑" w:eastAsia="微软雅黑" w:cs="微软雅黑"/>
                  <w:color w:val="087E89"/>
                </w:rPr>
                <w:t>2</w:t>
              </w:r>
            </w:hyperlink>
            <w:r>
              <w:rPr>
                <w:rFonts w:ascii="微软雅黑" w:hAnsi="微软雅黑" w:eastAsia="微软雅黑" w:cs="微软雅黑"/>
              </w:rPr>
              <w:t xml:space="preserve"> </w:t>
            </w:r>
            <w:hyperlink w:anchor="source-23009">
              <w:r>
                <w:rPr>
                  <w:rFonts w:ascii="微软雅黑" w:hAnsi="微软雅黑" w:eastAsia="微软雅黑" w:cs="微软雅黑"/>
                  <w:color w:val="087E89"/>
                </w:rPr>
                <w:t>3</w:t>
              </w:r>
            </w:hyperlink>
            <w:r>
              <w:rPr>
                <w:rFonts w:ascii="微软雅黑" w:hAnsi="微软雅黑" w:eastAsia="微软雅黑" w:cs="微软雅黑"/>
              </w:rPr>
              <w:t xml:space="preserve"> </w:t>
            </w:r>
            <w:hyperlink w:anchor="source-22874">
              <w:r>
                <w:rPr>
                  <w:rFonts w:ascii="微软雅黑" w:hAnsi="微软雅黑" w:eastAsia="微软雅黑" w:cs="微软雅黑"/>
                  <w:color w:val="087E89"/>
                </w:rPr>
                <w:t>4</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中国多晶硅环节产能全球占比</w:t>
            </w:r>
          </w:p>
        </w:tc>
        <w:tc>
          <w:tcPr>
            <w:tcW w:type="dxa" w:w="2268"/>
          </w:tcPr>
          <w:p>
            <w:pPr>
              <w:spacing w:after="40"/>
            </w:pPr>
            <w:r>
              <w:rPr>
                <w:rFonts w:ascii="微软雅黑" w:hAnsi="微软雅黑" w:eastAsia="微软雅黑" w:cs="微软雅黑"/>
              </w:rPr>
              <w:t>95.3%</w:t>
            </w:r>
          </w:p>
        </w:tc>
        <w:tc>
          <w:tcPr>
            <w:tcW w:type="dxa" w:w="2268"/>
          </w:tcPr>
          <w:p>
            <w:pPr>
              <w:spacing w:after="40"/>
            </w:pPr>
            <w:r>
              <w:rPr>
                <w:rFonts w:ascii="微软雅黑" w:hAnsi="微软雅黑" w:eastAsia="微软雅黑" w:cs="微软雅黑"/>
              </w:rPr>
              <w:t>2025年</w:t>
            </w:r>
          </w:p>
        </w:tc>
        <w:tc>
          <w:tcPr>
            <w:tcW w:type="dxa" w:w="2268"/>
          </w:tcPr>
          <w:p>
            <w:pPr>
              <w:spacing w:after="40"/>
            </w:pPr>
            <w:r>
              <w:rPr>
                <w:rFonts w:ascii="微软雅黑" w:hAnsi="微软雅黑" w:eastAsia="微软雅黑" w:cs="微软雅黑"/>
              </w:rPr>
            </w:r>
            <w:hyperlink w:anchor="source-23397">
              <w:r>
                <w:rPr>
                  <w:rFonts w:ascii="微软雅黑" w:hAnsi="微软雅黑" w:eastAsia="微软雅黑" w:cs="微软雅黑"/>
                  <w:color w:val="087E89"/>
                </w:rPr>
                <w:t>5</w:t>
              </w:r>
            </w:hyperlink>
            <w:r>
              <w:rPr>
                <w:rFonts w:ascii="微软雅黑" w:hAnsi="微软雅黑" w:eastAsia="微软雅黑" w:cs="微软雅黑"/>
              </w:rPr>
              <w:t xml:space="preserve"> </w:t>
            </w:r>
            <w:hyperlink w:anchor="source-23115">
              <w:r>
                <w:rPr>
                  <w:rFonts w:ascii="微软雅黑" w:hAnsi="微软雅黑" w:eastAsia="微软雅黑" w:cs="微软雅黑"/>
                  <w:color w:val="087E89"/>
                </w:rPr>
                <w:t>6</w:t>
              </w:r>
            </w:hyperlink>
            <w:r>
              <w:rPr>
                <w:rFonts w:ascii="微软雅黑" w:hAnsi="微软雅黑" w:eastAsia="微软雅黑" w:cs="微软雅黑"/>
              </w:rPr>
              <w:t xml:space="preserve"> </w:t>
            </w:r>
            <w:hyperlink w:anchor="source-23120">
              <w:r>
                <w:rPr>
                  <w:rFonts w:ascii="微软雅黑" w:hAnsi="微软雅黑" w:eastAsia="微软雅黑" w:cs="微软雅黑"/>
                  <w:color w:val="087E89"/>
                </w:rPr>
                <w:t>7</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中国硅片环节产能全球占比</w:t>
            </w:r>
          </w:p>
        </w:tc>
        <w:tc>
          <w:tcPr>
            <w:tcW w:type="dxa" w:w="2268"/>
          </w:tcPr>
          <w:p>
            <w:pPr>
              <w:spacing w:after="40"/>
            </w:pPr>
            <w:r>
              <w:rPr>
                <w:rFonts w:ascii="微软雅黑" w:hAnsi="微软雅黑" w:eastAsia="微软雅黑" w:cs="微软雅黑"/>
              </w:rPr>
              <w:t>96.4%</w:t>
            </w:r>
          </w:p>
        </w:tc>
        <w:tc>
          <w:tcPr>
            <w:tcW w:type="dxa" w:w="2268"/>
          </w:tcPr>
          <w:p>
            <w:pPr>
              <w:spacing w:after="40"/>
            </w:pPr>
            <w:r>
              <w:rPr>
                <w:rFonts w:ascii="微软雅黑" w:hAnsi="微软雅黑" w:eastAsia="微软雅黑" w:cs="微软雅黑"/>
              </w:rPr>
              <w:t>2025年</w:t>
            </w:r>
          </w:p>
        </w:tc>
        <w:tc>
          <w:tcPr>
            <w:tcW w:type="dxa" w:w="2268"/>
          </w:tcPr>
          <w:p>
            <w:pPr>
              <w:spacing w:after="40"/>
            </w:pPr>
            <w:r>
              <w:rPr>
                <w:rFonts w:ascii="微软雅黑" w:hAnsi="微软雅黑" w:eastAsia="微软雅黑" w:cs="微软雅黑"/>
              </w:rPr>
            </w:r>
            <w:hyperlink w:anchor="source-23397">
              <w:r>
                <w:rPr>
                  <w:rFonts w:ascii="微软雅黑" w:hAnsi="微软雅黑" w:eastAsia="微软雅黑" w:cs="微软雅黑"/>
                  <w:color w:val="087E89"/>
                </w:rPr>
                <w:t>5</w:t>
              </w:r>
            </w:hyperlink>
            <w:r>
              <w:rPr>
                <w:rFonts w:ascii="微软雅黑" w:hAnsi="微软雅黑" w:eastAsia="微软雅黑" w:cs="微软雅黑"/>
              </w:rPr>
              <w:t xml:space="preserve"> </w:t>
            </w:r>
            <w:hyperlink w:anchor="source-23115">
              <w:r>
                <w:rPr>
                  <w:rFonts w:ascii="微软雅黑" w:hAnsi="微软雅黑" w:eastAsia="微软雅黑" w:cs="微软雅黑"/>
                  <w:color w:val="087E89"/>
                </w:rPr>
                <w:t>6</w:t>
              </w:r>
            </w:hyperlink>
            <w:r>
              <w:rPr>
                <w:rFonts w:ascii="微软雅黑" w:hAnsi="微软雅黑" w:eastAsia="微软雅黑" w:cs="微软雅黑"/>
              </w:rPr>
              <w:t xml:space="preserve"> </w:t>
            </w:r>
            <w:hyperlink w:anchor="source-23120">
              <w:r>
                <w:rPr>
                  <w:rFonts w:ascii="微软雅黑" w:hAnsi="微软雅黑" w:eastAsia="微软雅黑" w:cs="微软雅黑"/>
                  <w:color w:val="087E89"/>
                </w:rPr>
                <w:t>7</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中国电池环节产能全球占比</w:t>
            </w:r>
          </w:p>
        </w:tc>
        <w:tc>
          <w:tcPr>
            <w:tcW w:type="dxa" w:w="2268"/>
          </w:tcPr>
          <w:p>
            <w:pPr>
              <w:spacing w:after="40"/>
            </w:pPr>
            <w:r>
              <w:rPr>
                <w:rFonts w:ascii="微软雅黑" w:hAnsi="微软雅黑" w:eastAsia="微软雅黑" w:cs="微软雅黑"/>
              </w:rPr>
              <w:t>90.3%</w:t>
            </w:r>
          </w:p>
        </w:tc>
        <w:tc>
          <w:tcPr>
            <w:tcW w:type="dxa" w:w="2268"/>
          </w:tcPr>
          <w:p>
            <w:pPr>
              <w:spacing w:after="40"/>
            </w:pPr>
            <w:r>
              <w:rPr>
                <w:rFonts w:ascii="微软雅黑" w:hAnsi="微软雅黑" w:eastAsia="微软雅黑" w:cs="微软雅黑"/>
              </w:rPr>
              <w:t>2025年</w:t>
            </w:r>
          </w:p>
        </w:tc>
        <w:tc>
          <w:tcPr>
            <w:tcW w:type="dxa" w:w="2268"/>
          </w:tcPr>
          <w:p>
            <w:pPr>
              <w:spacing w:after="40"/>
            </w:pPr>
            <w:r>
              <w:rPr>
                <w:rFonts w:ascii="微软雅黑" w:hAnsi="微软雅黑" w:eastAsia="微软雅黑" w:cs="微软雅黑"/>
              </w:rPr>
            </w:r>
            <w:hyperlink w:anchor="source-23397">
              <w:r>
                <w:rPr>
                  <w:rFonts w:ascii="微软雅黑" w:hAnsi="微软雅黑" w:eastAsia="微软雅黑" w:cs="微软雅黑"/>
                  <w:color w:val="087E89"/>
                </w:rPr>
                <w:t>5</w:t>
              </w:r>
            </w:hyperlink>
            <w:r>
              <w:rPr>
                <w:rFonts w:ascii="微软雅黑" w:hAnsi="微软雅黑" w:eastAsia="微软雅黑" w:cs="微软雅黑"/>
              </w:rPr>
              <w:t xml:space="preserve"> </w:t>
            </w:r>
            <w:hyperlink w:anchor="source-23115">
              <w:r>
                <w:rPr>
                  <w:rFonts w:ascii="微软雅黑" w:hAnsi="微软雅黑" w:eastAsia="微软雅黑" w:cs="微软雅黑"/>
                  <w:color w:val="087E89"/>
                </w:rPr>
                <w:t>6</w:t>
              </w:r>
            </w:hyperlink>
            <w:r>
              <w:rPr>
                <w:rFonts w:ascii="微软雅黑" w:hAnsi="微软雅黑" w:eastAsia="微软雅黑" w:cs="微软雅黑"/>
              </w:rPr>
              <w:t xml:space="preserve"> </w:t>
            </w:r>
            <w:hyperlink w:anchor="source-23120">
              <w:r>
                <w:rPr>
                  <w:rFonts w:ascii="微软雅黑" w:hAnsi="微软雅黑" w:eastAsia="微软雅黑" w:cs="微软雅黑"/>
                  <w:color w:val="087E89"/>
                </w:rPr>
                <w:t>7</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中国2025年全国R&amp;D经费投入</w:t>
            </w:r>
          </w:p>
        </w:tc>
        <w:tc>
          <w:tcPr>
            <w:tcW w:type="dxa" w:w="2268"/>
          </w:tcPr>
          <w:p>
            <w:pPr>
              <w:spacing w:after="40"/>
            </w:pPr>
            <w:r>
              <w:rPr>
                <w:rFonts w:ascii="微软雅黑" w:hAnsi="微软雅黑" w:eastAsia="微软雅黑" w:cs="微软雅黑"/>
              </w:rPr>
              <w:t>39288.2亿元，同比增长8.2%</w:t>
            </w:r>
          </w:p>
        </w:tc>
        <w:tc>
          <w:tcPr>
            <w:tcW w:type="dxa" w:w="2268"/>
          </w:tcPr>
          <w:p>
            <w:pPr>
              <w:spacing w:after="40"/>
            </w:pPr>
            <w:r>
              <w:rPr>
                <w:rFonts w:ascii="微软雅黑" w:hAnsi="微软雅黑" w:eastAsia="微软雅黑" w:cs="微软雅黑"/>
              </w:rPr>
              <w:t>2025年</w:t>
            </w:r>
          </w:p>
        </w:tc>
        <w:tc>
          <w:tcPr>
            <w:tcW w:type="dxa" w:w="2268"/>
          </w:tcPr>
          <w:p>
            <w:pPr>
              <w:spacing w:after="40"/>
            </w:pPr>
            <w:r>
              <w:rPr>
                <w:rFonts w:ascii="微软雅黑" w:hAnsi="微软雅黑" w:eastAsia="微软雅黑" w:cs="微软雅黑"/>
              </w:rPr>
            </w:r>
            <w:hyperlink w:anchor="source-23363">
              <w:r>
                <w:rPr>
                  <w:rFonts w:ascii="微软雅黑" w:hAnsi="微软雅黑" w:eastAsia="微软雅黑" w:cs="微软雅黑"/>
                  <w:color w:val="087E89"/>
                </w:rPr>
                <w:t>8</w:t>
              </w:r>
            </w:hyperlink>
            <w:r>
              <w:rPr>
                <w:rFonts w:ascii="微软雅黑" w:hAnsi="微软雅黑" w:eastAsia="微软雅黑" w:cs="微软雅黑"/>
              </w:rPr>
              <w:t xml:space="preserve"> </w:t>
            </w:r>
            <w:hyperlink w:anchor="source-22947">
              <w:r>
                <w:rPr>
                  <w:rFonts w:ascii="微软雅黑" w:hAnsi="微软雅黑" w:eastAsia="微软雅黑" w:cs="微软雅黑"/>
                  <w:color w:val="087E89"/>
                </w:rPr>
                <w:t>9</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中国2025年煤炭开采和洗选业R&amp;D经费投入</w:t>
            </w:r>
          </w:p>
        </w:tc>
        <w:tc>
          <w:tcPr>
            <w:tcW w:type="dxa" w:w="2268"/>
          </w:tcPr>
          <w:p>
            <w:pPr>
              <w:spacing w:after="40"/>
            </w:pPr>
            <w:r>
              <w:rPr>
                <w:rFonts w:ascii="微软雅黑" w:hAnsi="微软雅黑" w:eastAsia="微软雅黑" w:cs="微软雅黑"/>
              </w:rPr>
              <w:t>211.7亿元，投入强度0.81%</w:t>
            </w:r>
          </w:p>
        </w:tc>
        <w:tc>
          <w:tcPr>
            <w:tcW w:type="dxa" w:w="2268"/>
          </w:tcPr>
          <w:p>
            <w:pPr>
              <w:spacing w:after="40"/>
            </w:pPr>
            <w:r>
              <w:rPr>
                <w:rFonts w:ascii="微软雅黑" w:hAnsi="微软雅黑" w:eastAsia="微软雅黑" w:cs="微软雅黑"/>
              </w:rPr>
              <w:t>2025年</w:t>
            </w:r>
          </w:p>
        </w:tc>
        <w:tc>
          <w:tcPr>
            <w:tcW w:type="dxa" w:w="2268"/>
          </w:tcPr>
          <w:p>
            <w:pPr>
              <w:spacing w:after="40"/>
            </w:pPr>
            <w:r>
              <w:rPr>
                <w:rFonts w:ascii="微软雅黑" w:hAnsi="微软雅黑" w:eastAsia="微软雅黑" w:cs="微软雅黑"/>
              </w:rPr>
            </w:r>
            <w:hyperlink w:anchor="source-23363">
              <w:r>
                <w:rPr>
                  <w:rFonts w:ascii="微软雅黑" w:hAnsi="微软雅黑" w:eastAsia="微软雅黑" w:cs="微软雅黑"/>
                  <w:color w:val="087E89"/>
                </w:rPr>
                <w:t>8</w:t>
              </w:r>
            </w:hyperlink>
            <w:r>
              <w:rPr>
                <w:rFonts w:ascii="微软雅黑" w:hAnsi="微软雅黑" w:eastAsia="微软雅黑" w:cs="微软雅黑"/>
              </w:rPr>
              <w:t xml:space="preserve"> </w:t>
            </w:r>
            <w:hyperlink w:anchor="source-22947">
              <w:r>
                <w:rPr>
                  <w:rFonts w:ascii="微软雅黑" w:hAnsi="微软雅黑" w:eastAsia="微软雅黑" w:cs="微软雅黑"/>
                  <w:color w:val="087E89"/>
                </w:rPr>
                <w:t>9</w:t>
              </w:r>
            </w:hyperlink>
            <w:r>
              <w:rPr>
                <w:rFonts w:ascii="微软雅黑" w:hAnsi="微软雅黑" w:eastAsia="微软雅黑" w:cs="微软雅黑"/>
              </w:rPr>
            </w:r>
          </w:p>
        </w:tc>
      </w:tr>
    </w:tbl>
    <w:p>
      <w:pPr>
        <w:spacing w:after="120"/>
      </w:pPr>
    </w:p>
    <w:p>
      <w:pPr>
        <w:pStyle w:val="Heading2"/>
      </w:pPr>
      <w:r>
        <w:rPr>
          <w:rFonts w:ascii="微软雅黑" w:hAnsi="微软雅黑" w:eastAsia="微软雅黑" w:cs="微软雅黑"/>
        </w:rPr>
        <w:t>国际重点事件</w:t>
      </w:r>
    </w:p>
    <w:p>
      <w:pPr>
        <w:pStyle w:val="Heading3"/>
      </w:pPr>
      <w:r>
        <w:rPr>
          <w:rFonts w:ascii="微软雅黑" w:hAnsi="微软雅黑" w:eastAsia="微软雅黑" w:cs="微软雅黑"/>
        </w:rPr>
        <w:t>1. 埃尼完成利比亚Bouri伴生气利用项目，年增约7亿标准立方米天然气</w:t>
      </w:r>
    </w:p>
    <w:p>
      <w:pPr>
        <w:keepNext/>
      </w:pPr>
      <w:r>
        <w:rPr>
          <w:rFonts w:ascii="微软雅黑" w:hAnsi="微软雅黑" w:eastAsia="微软雅黑" w:cs="微软雅黑"/>
        </w:rPr>
        <w:t>领域：政策与能源安全</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埃尼完成利比亚Bouri伴生气利用项目，建设并安装新的Bouri天然气回收模块（GRM）及相关连接基础设施，用于回收和处理此前被放空燃烧的天然气。</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埃尼建设并安装了新的Bouri天然气回收模块（GRM）及相关连接基础设施，用于回收和处理此前被放空燃烧的天然气。该项目是利比亚能源领域最重要的减排举措之一，每年可减少约150万吨二氧化碳当量的温室气体排放。回收的天然气将供应国内市场，带来每年约7亿标准立方米的增量产量，帮助满足发电行业用气需求，并支持通过GreenStream管道向欧洲出口额外的天然气量。利比亚其他战略项目正在推进中，包括A&amp;E结构项目及升级优化天然气生产与运输基础设施的相关举措。埃尼自1959年起在利比亚开展业务，2025年其权益产量约为每天16.2万桶油当量。</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该项目每年可减少约150万吨二氧化碳当量排放，改善利比亚生产体系的环境表现；回收天然气供应国内市场并支持经GreenStream管道向欧洲出口额外天然气量。</w:t>
      </w:r>
    </w:p>
    <w:p>
      <w:pPr>
        <w:ind w:firstLine="420"/>
      </w:pPr>
      <w:r>
        <w:rPr>
          <w:rFonts w:ascii="微软雅黑" w:hAnsi="微软雅黑" w:eastAsia="微软雅黑" w:cs="微软雅黑"/>
        </w:rPr>
        <w:t>来源：</w:t>
      </w:r>
      <w:hyperlink w:anchor="source-23345">
        <w:r>
          <w:rPr>
            <w:rFonts w:ascii="微软雅黑" w:hAnsi="微软雅黑" w:eastAsia="微软雅黑" w:cs="微软雅黑"/>
            <w:color w:val="087E89"/>
          </w:rPr>
          <w:t>1</w:t>
        </w:r>
      </w:hyperlink>
      <w:r>
        <w:rPr>
          <w:rFonts w:ascii="微软雅黑" w:hAnsi="微软雅黑" w:eastAsia="微软雅黑" w:cs="微软雅黑"/>
        </w:rPr>
      </w:r>
    </w:p>
    <w:p>
      <w:pPr>
        <w:pStyle w:val="Heading3"/>
      </w:pPr>
      <w:r>
        <w:rPr>
          <w:rFonts w:ascii="微软雅黑" w:hAnsi="微软雅黑" w:eastAsia="微软雅黑" w:cs="微软雅黑"/>
        </w:rPr>
        <w:t>2. 美国能源部拨款4200万美元推进“宪法管线”天然气管道项目</w:t>
      </w:r>
    </w:p>
    <w:p>
      <w:pPr>
        <w:keepNext/>
      </w:pPr>
      <w:r>
        <w:rPr>
          <w:rFonts w:ascii="微软雅黑" w:hAnsi="微软雅黑" w:eastAsia="微软雅黑" w:cs="微软雅黑"/>
        </w:rPr>
        <w:t>领域：政策与能源安全</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美国能源部宣布动用最多4200万美元《国防生产法》第三章资金，推进由Constitution Pipeline Company, LLC开发的从宾夕法尼亚州到纽约州的125英里天然气管道项目。</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美国能源部宣布将动用最多4200万美元《国防生产法》第三章资金，推进由Constitution Pipeline Company, LLC开发的拟建项目，该管道从宾夕法尼亚州到纽约州，全长125英里，拟将天然气输送至东北部目前缺乏低成本可靠燃料接入的市场。资金将支持前期建设与审批许可活动，包括环境审查与评估、工程设计与场地准备等，并在许可完成后支持配套天然气基础设施部署。据称依据《在职家庭减税法案》，已有10亿美元联邦资金被拨给被认定为对国家安全至关重要的能源相关项目。</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能源部称利用《国防生产法》授权有助于加强国家能源系统和国防工业基础的安全，并称该项目将降低区域电力和居民供暖成本、减少用电高峰期间的停电风险。</w:t>
      </w:r>
    </w:p>
    <w:p>
      <w:pPr>
        <w:ind w:firstLine="420"/>
      </w:pPr>
      <w:r>
        <w:rPr>
          <w:rFonts w:ascii="微软雅黑" w:hAnsi="微软雅黑" w:eastAsia="微软雅黑" w:cs="微软雅黑"/>
        </w:rPr>
        <w:t>来源：</w:t>
      </w:r>
      <w:hyperlink w:anchor="source-23482">
        <w:r>
          <w:rPr>
            <w:rFonts w:ascii="微软雅黑" w:hAnsi="微软雅黑" w:eastAsia="微软雅黑" w:cs="微软雅黑"/>
            <w:color w:val="087E89"/>
          </w:rPr>
          <w:t>21</w:t>
        </w:r>
      </w:hyperlink>
      <w:r>
        <w:rPr>
          <w:rFonts w:ascii="微软雅黑" w:hAnsi="微软雅黑" w:eastAsia="微软雅黑" w:cs="微软雅黑"/>
        </w:rPr>
      </w:r>
    </w:p>
    <w:p>
      <w:pPr>
        <w:pStyle w:val="Heading3"/>
      </w:pPr>
      <w:r>
        <w:rPr>
          <w:rFonts w:ascii="微软雅黑" w:hAnsi="微软雅黑" w:eastAsia="微软雅黑" w:cs="微软雅黑"/>
        </w:rPr>
        <w:t>3. 特朗普暂停对俄石油制裁 布伦特油价跌至107.95美元</w:t>
      </w:r>
    </w:p>
    <w:p>
      <w:pPr>
        <w:keepNext/>
      </w:pPr>
      <w:r>
        <w:rPr>
          <w:rFonts w:ascii="微软雅黑" w:hAnsi="微软雅黑" w:eastAsia="微软雅黑" w:cs="微软雅黑"/>
        </w:rPr>
        <w:t>领域：石油与炼化</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美国总统特朗普签署行政令，暂停实施针对俄罗斯石油收入的部分制裁、限制和关税，市场预期俄罗斯燃料供应增加，油价下跌。</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特朗普于上周五签署行政令，暂停实施针对俄罗斯石油收入的部分制裁、限制和关税，并告知国会已暂停实施针对俄罗斯及其主要能源买家征收大规模关税的制裁；此前上月签署的立法授予其对俄罗斯石油和天然气买方实施此类措施的权限。特朗普解释称新制裁会使莫斯科远离乌克兰问题谈判，并表示如有必要可随时重新实施制裁。布伦特期货下跌1.7%至每桶107.95美元，WTI原油期货下跌0.8%至每桶100.62美元（另一来源报101.18美元/桶，跌23美分或0.23%）。</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限制放宽可能使更多俄罗斯燃料进入国际市场，增加全球供应并对油价形成进一步下行压力。</w:t>
      </w:r>
    </w:p>
    <w:p>
      <w:pPr>
        <w:ind w:firstLine="420"/>
      </w:pPr>
      <w:r>
        <w:rPr>
          <w:rFonts w:ascii="微软雅黑" w:hAnsi="微软雅黑" w:eastAsia="微软雅黑" w:cs="微软雅黑"/>
        </w:rPr>
        <w:t>来源：</w:t>
      </w:r>
      <w:hyperlink w:anchor="source-23159">
        <w:r>
          <w:rPr>
            <w:rFonts w:ascii="微软雅黑" w:hAnsi="微软雅黑" w:eastAsia="微软雅黑" w:cs="微软雅黑"/>
            <w:color w:val="087E89"/>
          </w:rPr>
          <w:t>2</w:t>
        </w:r>
      </w:hyperlink>
      <w:r>
        <w:rPr>
          <w:rFonts w:ascii="微软雅黑" w:hAnsi="微软雅黑" w:eastAsia="微软雅黑" w:cs="微软雅黑"/>
        </w:rPr>
        <w:t xml:space="preserve"> </w:t>
      </w:r>
      <w:hyperlink w:anchor="source-23009">
        <w:r>
          <w:rPr>
            <w:rFonts w:ascii="微软雅黑" w:hAnsi="微软雅黑" w:eastAsia="微软雅黑" w:cs="微软雅黑"/>
            <w:color w:val="087E89"/>
          </w:rPr>
          <w:t>3</w:t>
        </w:r>
      </w:hyperlink>
      <w:r>
        <w:rPr>
          <w:rFonts w:ascii="微软雅黑" w:hAnsi="微软雅黑" w:eastAsia="微软雅黑" w:cs="微软雅黑"/>
        </w:rPr>
        <w:t xml:space="preserve"> </w:t>
      </w:r>
      <w:hyperlink w:anchor="source-22874">
        <w:r>
          <w:rPr>
            <w:rFonts w:ascii="微软雅黑" w:hAnsi="微软雅黑" w:eastAsia="微软雅黑" w:cs="微软雅黑"/>
            <w:color w:val="087E89"/>
          </w:rPr>
          <w:t>4</w:t>
        </w:r>
      </w:hyperlink>
      <w:r>
        <w:rPr>
          <w:rFonts w:ascii="微软雅黑" w:hAnsi="微软雅黑" w:eastAsia="微软雅黑" w:cs="微软雅黑"/>
        </w:rPr>
      </w:r>
    </w:p>
    <w:p>
      <w:pPr>
        <w:pStyle w:val="Heading3"/>
      </w:pPr>
      <w:r>
        <w:rPr>
          <w:rFonts w:ascii="微软雅黑" w:hAnsi="微软雅黑" w:eastAsia="微软雅黑" w:cs="微软雅黑"/>
        </w:rPr>
        <w:t>4. 印尼将巴厘岛成品油储备保障天数提高至15天</w:t>
      </w:r>
    </w:p>
    <w:p>
      <w:pPr>
        <w:keepNext/>
      </w:pPr>
      <w:r>
        <w:rPr>
          <w:rFonts w:ascii="微软雅黑" w:hAnsi="微软雅黑" w:eastAsia="微软雅黑" w:cs="微软雅黑"/>
        </w:rPr>
        <w:t>领域：石油与炼化</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印尼政府将巴厘岛成品油（BBM）库存保障天数从11天提高到15天，以加快供应恢复，并部署七艘船只加强分销。</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该决定由下游与能源转型协调部长兼能源与矿产资源部长Bahlil Lahadalia于2026年10月19日在登巴萨Sanggaran燃料码头主持的协调会议后作出。Bahlil表示，原本为11天的配额被提高到15天，是对巴厘岛燃油配额的增加而非削减。全国范围内Pertalite（RON 90）库存约16至18天，其他油品在20天以上，符合国家标准最低要求；Bahlil表示柴油已不再进口，而Pertalite仍有部分依靠进口补充。Pertamina总裁报告加里曼丹、苏拉威西和苏门答腊部分地区分销困难，部分河道因天气原因淤积，大型船只无法进入，货物改走陆路，耗时更长。Bahlil要求Pertamina增派运输船以加快跨地区分销；巴厘岛采取同样措施后加油站排队开始缓解。</w:t>
      </w:r>
    </w:p>
    <w:p>
      <w:pPr>
        <w:ind w:firstLine="420"/>
      </w:pPr>
      <w:r>
        <w:rPr>
          <w:rFonts w:ascii="微软雅黑" w:hAnsi="微软雅黑" w:eastAsia="微软雅黑" w:cs="微软雅黑"/>
        </w:rPr>
        <w:t>来源：</w:t>
      </w:r>
      <w:hyperlink w:anchor="source-23297">
        <w:r>
          <w:rPr>
            <w:rFonts w:ascii="微软雅黑" w:hAnsi="微软雅黑" w:eastAsia="微软雅黑" w:cs="微软雅黑"/>
            <w:color w:val="087E89"/>
          </w:rPr>
          <w:t>22</w:t>
        </w:r>
      </w:hyperlink>
      <w:r>
        <w:rPr>
          <w:rFonts w:ascii="微软雅黑" w:hAnsi="微软雅黑" w:eastAsia="微软雅黑" w:cs="微软雅黑"/>
        </w:rPr>
        <w:t xml:space="preserve"> </w:t>
      </w:r>
      <w:hyperlink w:anchor="source-23298">
        <w:r>
          <w:rPr>
            <w:rFonts w:ascii="微软雅黑" w:hAnsi="微软雅黑" w:eastAsia="微软雅黑" w:cs="微软雅黑"/>
            <w:color w:val="087E89"/>
          </w:rPr>
          <w:t>23</w:t>
        </w:r>
      </w:hyperlink>
      <w:r>
        <w:rPr>
          <w:rFonts w:ascii="微软雅黑" w:hAnsi="微软雅黑" w:eastAsia="微软雅黑" w:cs="微软雅黑"/>
        </w:rPr>
      </w:r>
    </w:p>
    <w:p>
      <w:pPr>
        <w:pStyle w:val="Heading3"/>
      </w:pPr>
      <w:r>
        <w:rPr>
          <w:rFonts w:ascii="微软雅黑" w:hAnsi="微软雅黑" w:eastAsia="微软雅黑" w:cs="微软雅黑"/>
        </w:rPr>
        <w:t>5. Ofgem推进极端高温期间英国能源系统运营技术审查</w:t>
      </w:r>
    </w:p>
    <w:p>
      <w:pPr>
        <w:keepNext/>
      </w:pPr>
      <w:r>
        <w:rPr>
          <w:rFonts w:ascii="微软雅黑" w:hAnsi="微软雅黑" w:eastAsia="微软雅黑" w:cs="微软雅黑"/>
        </w:rPr>
        <w:t>领域：天然气与液化天然气</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英国天然气与电力市场办公室（Ofgem）审阅NESO报告后确定更新后的调查方向，重点包括系统安全、运行规划与决策以及互联线路电力流，并同步推进Eversheds Sutherland独立调查。</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Ofgem已审阅NESO报告，并确定更新后的调查方向，重点包括系统安全、运行规划与决策以及互联线路电力流，还将考虑需求预测、发电可用性、平衡服务以及更广泛市场的响应。Ofgem表示现阶段尚未就初步报告所载事件或行为得出结论或作出监管判断；若调查发现有实质理由相信被许可方未履行义务，将考虑启动执法调查。NESO还公布了Eversheds Sutherland独立调查的结论，涉及同期关于运行决策与记录保存的举报指控；Ofgem基础设施事务总监Akshay Kaul代表的独立审查小组成员，与NESO审计与风险委员会主席Jayne Scott及英国政府投资有限公司Siobhan Duffy一同监督该调查的客观独立开展。</w:t>
      </w:r>
    </w:p>
    <w:p>
      <w:pPr>
        <w:ind w:firstLine="420"/>
      </w:pPr>
      <w:r>
        <w:rPr>
          <w:rFonts w:ascii="微软雅黑" w:hAnsi="微软雅黑" w:eastAsia="微软雅黑" w:cs="微软雅黑"/>
        </w:rPr>
        <w:t>来源：</w:t>
      </w:r>
      <w:hyperlink w:anchor="source-23301">
        <w:r>
          <w:rPr>
            <w:rFonts w:ascii="微软雅黑" w:hAnsi="微软雅黑" w:eastAsia="微软雅黑" w:cs="微软雅黑"/>
            <w:color w:val="087E89"/>
          </w:rPr>
          <w:t>16</w:t>
        </w:r>
      </w:hyperlink>
      <w:r>
        <w:rPr>
          <w:rFonts w:ascii="微软雅黑" w:hAnsi="微软雅黑" w:eastAsia="微软雅黑" w:cs="微软雅黑"/>
        </w:rPr>
      </w:r>
    </w:p>
    <w:p>
      <w:pPr>
        <w:pStyle w:val="Heading3"/>
      </w:pPr>
      <w:r>
        <w:rPr>
          <w:rFonts w:ascii="微软雅黑" w:hAnsi="微软雅黑" w:eastAsia="微软雅黑" w:cs="微软雅黑"/>
        </w:rPr>
        <w:t>6. 2025年煤炭采选业R&amp;D经费投入211.7亿元强度提高</w:t>
      </w:r>
    </w:p>
    <w:p>
      <w:pPr>
        <w:keepNext/>
      </w:pPr>
      <w:r>
        <w:rPr>
          <w:rFonts w:ascii="微软雅黑" w:hAnsi="微软雅黑" w:eastAsia="微软雅黑" w:cs="微软雅黑"/>
        </w:rPr>
        <w:t>领域：煤炭</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10月16日发布的《2025年全国科技经费投入统计公报》显示，2025年全国R&amp;D经费投入39288.2亿元，同比增长8.2%；煤炭开采和洗选业R&amp;D经费投入211.7亿元，投入强度0.81%，较上年提高0.11个百分点。</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10月16日，《2025年全国科技经费投入统计公报》发布。2025年全国R&amp;D经费投入39288.2亿元，比上年增加2961.3亿元，增长8.2%；R&amp;D经费投入强度（与GDP之比）为2.80%，比上年提高0.11个百分点。煤炭开采和洗选业R&amp;D经费投入211.7亿元，投入强度0.81%，较上年提高0.11个百分点；石油和天然气开采R&amp;D经费投入162.8亿元，投入强度1.42；有色金属矿采选业R&amp;D经费投入50.4亿元，投入强度1.20。采矿业R&amp;D经费投入545.5亿元，投入强度（与营业收入之比）为1.05。规模以上高技术制造业R&amp;D经费8430.7亿元，比上年增长9.9%；投入强度3.38%，比上年提高0.03个百分点。按R&amp;D人员全时工作量计算的人均经费48.7万元，比上年增加0.7万元。</w:t>
      </w:r>
    </w:p>
    <w:p>
      <w:pPr>
        <w:ind w:firstLine="420"/>
      </w:pPr>
      <w:r>
        <w:rPr>
          <w:rFonts w:ascii="微软雅黑" w:hAnsi="微软雅黑" w:eastAsia="微软雅黑" w:cs="微软雅黑"/>
        </w:rPr>
        <w:t>来源：</w:t>
      </w:r>
      <w:hyperlink w:anchor="source-23363">
        <w:r>
          <w:rPr>
            <w:rFonts w:ascii="微软雅黑" w:hAnsi="微软雅黑" w:eastAsia="微软雅黑" w:cs="微软雅黑"/>
            <w:color w:val="087E89"/>
          </w:rPr>
          <w:t>8</w:t>
        </w:r>
      </w:hyperlink>
      <w:r>
        <w:rPr>
          <w:rFonts w:ascii="微软雅黑" w:hAnsi="微软雅黑" w:eastAsia="微软雅黑" w:cs="微软雅黑"/>
        </w:rPr>
        <w:t xml:space="preserve"> </w:t>
      </w:r>
      <w:hyperlink w:anchor="source-22947">
        <w:r>
          <w:rPr>
            <w:rFonts w:ascii="微软雅黑" w:hAnsi="微软雅黑" w:eastAsia="微软雅黑" w:cs="微软雅黑"/>
            <w:color w:val="087E89"/>
          </w:rPr>
          <w:t>9</w:t>
        </w:r>
      </w:hyperlink>
      <w:r>
        <w:rPr>
          <w:rFonts w:ascii="微软雅黑" w:hAnsi="微软雅黑" w:eastAsia="微软雅黑" w:cs="微软雅黑"/>
        </w:rPr>
      </w:r>
    </w:p>
    <w:p>
      <w:pPr>
        <w:pStyle w:val="Heading3"/>
      </w:pPr>
      <w:r>
        <w:rPr>
          <w:rFonts w:ascii="微软雅黑" w:hAnsi="微软雅黑" w:eastAsia="微软雅黑" w:cs="微软雅黑"/>
        </w:rPr>
        <w:t>7. 俄罗斯原子能集团与印度尼西亚签署浮式核电供电出口协议</w:t>
      </w:r>
    </w:p>
    <w:p>
      <w:pPr>
        <w:keepNext/>
      </w:pPr>
      <w:r>
        <w:rPr>
          <w:rFonts w:ascii="微软雅黑" w:hAnsi="微软雅黑" w:eastAsia="微软雅黑" w:cs="微软雅黑"/>
        </w:rPr>
        <w:t>领域：核能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俄罗斯国家原子能公司Rosatom与印尼企业PT Pembangkit Listrik Nuklir签署协议，将由浮式核电站向印尼东部一座岛屿供电。</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协议在莫斯科举行的俄罗斯能源周期间签署，将为北马鲁古省哈马黑拉岛北部供电。将部署Rosatom的两台FPU-100浮式核电机组，合计容量200兆瓦，Rosatom预计这些机组将在五年内向用户供电。商业模式为浮式机组仍由Rosatom拥有和运营，客户按发电量付费。Rosatom总经理称这是全球首个浮式核电机组供电出口协议，具有历史意义。</w:t>
      </w:r>
    </w:p>
    <w:p>
      <w:pPr>
        <w:ind w:firstLine="420"/>
      </w:pPr>
      <w:r>
        <w:rPr>
          <w:rFonts w:ascii="微软雅黑" w:hAnsi="微软雅黑" w:eastAsia="微软雅黑" w:cs="微软雅黑"/>
        </w:rPr>
        <w:t>来源：</w:t>
      </w:r>
      <w:hyperlink w:anchor="source-23360">
        <w:r>
          <w:rPr>
            <w:rFonts w:ascii="微软雅黑" w:hAnsi="微软雅黑" w:eastAsia="微软雅黑" w:cs="微软雅黑"/>
            <w:color w:val="087E89"/>
          </w:rPr>
          <w:t>13</w:t>
        </w:r>
      </w:hyperlink>
      <w:r>
        <w:rPr>
          <w:rFonts w:ascii="微软雅黑" w:hAnsi="微软雅黑" w:eastAsia="微软雅黑" w:cs="微软雅黑"/>
        </w:rPr>
      </w:r>
    </w:p>
    <w:p>
      <w:pPr>
        <w:pStyle w:val="Heading3"/>
      </w:pPr>
      <w:r>
        <w:rPr>
          <w:rFonts w:ascii="微软雅黑" w:hAnsi="微软雅黑" w:eastAsia="微软雅黑" w:cs="微软雅黑"/>
        </w:rPr>
        <w:t>8. Ofgem批准NGET东安哥拉电网项目6.421亿英镑资金方案</w:t>
      </w:r>
    </w:p>
    <w:p>
      <w:pPr>
        <w:keepNext/>
      </w:pPr>
      <w:r>
        <w:rPr>
          <w:rFonts w:ascii="微软雅黑" w:hAnsi="微软雅黑" w:eastAsia="微软雅黑" w:cs="微软雅黑"/>
        </w:rPr>
        <w:t>领域：电力与储能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Ofgem批准了国家电网输电公司（NGET）东安哥拉Bramford至Twinstead项目6.421亿英镑的资金方案，较申请金额削减6060万英镑。</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Ofgem核准成本6.421亿英镑，较NGET申请的7.027亿英镑削减了6060万英镑。项目内容包括18公里新建架空线路、11公里地下电缆、Twinstead Green新建变电站以及Bramford既有变电站升级。该项目是NGET“大电网升级”计划的一部分，并在Ofgem加速战略输电投资（ASTI）框架下加快审批，该框架正推进26个重要输电项目。</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RIIO-3中的输电基础设施投资到2031年将使账单增加60英镑，但相较不投资电网预计可带来80英镑的节省。</w:t>
      </w:r>
    </w:p>
    <w:p>
      <w:pPr>
        <w:ind w:firstLine="420"/>
      </w:pPr>
      <w:r>
        <w:rPr>
          <w:rFonts w:ascii="微软雅黑" w:hAnsi="微软雅黑" w:eastAsia="微软雅黑" w:cs="微软雅黑"/>
        </w:rPr>
        <w:t>来源：</w:t>
      </w:r>
      <w:hyperlink w:anchor="source-23158">
        <w:r>
          <w:rPr>
            <w:rFonts w:ascii="微软雅黑" w:hAnsi="微软雅黑" w:eastAsia="微软雅黑" w:cs="微软雅黑"/>
            <w:color w:val="087E89"/>
          </w:rPr>
          <w:t>12</w:t>
        </w:r>
      </w:hyperlink>
      <w:r>
        <w:rPr>
          <w:rFonts w:ascii="微软雅黑" w:hAnsi="微软雅黑" w:eastAsia="微软雅黑" w:cs="微软雅黑"/>
        </w:rPr>
      </w:r>
    </w:p>
    <w:p>
      <w:pPr>
        <w:pStyle w:val="Heading3"/>
      </w:pPr>
      <w:r>
        <w:rPr>
          <w:rFonts w:ascii="微软雅黑" w:hAnsi="微软雅黑" w:eastAsia="微软雅黑" w:cs="微软雅黑"/>
        </w:rPr>
        <w:t>9. 马来西亚半岛数据中心2030年峰值电力需求预计达8.39吉瓦</w:t>
      </w:r>
    </w:p>
    <w:p>
      <w:pPr>
        <w:keepNext/>
      </w:pPr>
      <w:r>
        <w:rPr>
          <w:rFonts w:ascii="微软雅黑" w:hAnsi="微软雅黑" w:eastAsia="微软雅黑" w:cs="微软雅黑"/>
        </w:rPr>
        <w:t>领域：电力与储能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马来西亚能源转型与水务转型部（PETRA）根据现有电力供应规划估算，预测马来西亚半岛数据中心行业到2030年峰值电力需求将达8.39吉瓦（GW）。</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马来西亚能源转型与水务转型部（PETRA）根据现有电力供应规划估算，柔佛州预计电力需求最高，为4.42GW，雪兰莪州为1.48GW。该容量指由马来西亚国家电网公司（Tenaga Nasional Bhd）通过国家电网提供的电力，用于支持数据中心运行。雪兰莪州和柔佛州数据中心的预计用水需求到2030年将达每日3.8904亿升（MLD）。</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数据中心电力需求增长将加大国家电网供电压力，柔佛州和雪兰莪州为主要需求集中地。</w:t>
      </w:r>
    </w:p>
    <w:p>
      <w:pPr>
        <w:ind w:firstLine="420"/>
      </w:pPr>
      <w:r>
        <w:rPr>
          <w:rFonts w:ascii="微软雅黑" w:hAnsi="微软雅黑" w:eastAsia="微软雅黑" w:cs="微软雅黑"/>
        </w:rPr>
        <w:t>来源：</w:t>
      </w:r>
      <w:hyperlink w:anchor="source-23446">
        <w:r>
          <w:rPr>
            <w:rFonts w:ascii="微软雅黑" w:hAnsi="微软雅黑" w:eastAsia="微软雅黑" w:cs="微软雅黑"/>
            <w:color w:val="087E89"/>
          </w:rPr>
          <w:t>26</w:t>
        </w:r>
      </w:hyperlink>
      <w:r>
        <w:rPr>
          <w:rFonts w:ascii="微软雅黑" w:hAnsi="微软雅黑" w:eastAsia="微软雅黑" w:cs="微软雅黑"/>
        </w:rPr>
      </w:r>
    </w:p>
    <w:p>
      <w:pPr>
        <w:pStyle w:val="Heading3"/>
      </w:pPr>
      <w:r>
        <w:rPr>
          <w:rFonts w:ascii="微软雅黑" w:hAnsi="微软雅黑" w:eastAsia="微软雅黑" w:cs="微软雅黑"/>
        </w:rPr>
        <w:t>10. 976MW根纳克海上风电场两座海上变电站安装成功</w:t>
      </w:r>
    </w:p>
    <w:p>
      <w:pPr>
        <w:keepNext/>
      </w:pPr>
      <w:r>
        <w:rPr>
          <w:rFonts w:ascii="微软雅黑" w:hAnsi="微软雅黑" w:eastAsia="微软雅黑" w:cs="微软雅黑"/>
        </w:rPr>
        <w:t>领域：新能源与能源转型</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50Hertz宣布976MW的Gennaker波罗的海海上风电场两座海上变电站安装成功，是OST-6-1并网项目的关键一步。</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两座平台名为OSS Darß和OSS Zingst，安装在菲施兰-达尔施-青斯特半岛附近海域。项目63台风机的电缆将在此汇集，电压由66kV升压至220kV后送岸。三套电缆系统总长约90公里，其中最多53公里位于波罗的海海底，35公里陆上通往新建的Gnewitz变电站。该并网系统输电能力最高达927MW。项目由Stadtwerke München与Skyborn Renewables合资的OWP Gennaker开发运营，有望为约一百万家庭供电。上月Skyborn Renewables为该项目获得超过33.6亿美元（30亿欧元）融资。</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项目有望为约一百万家庭供电。</w:t>
      </w:r>
    </w:p>
    <w:p>
      <w:pPr>
        <w:ind w:firstLine="420"/>
      </w:pPr>
      <w:r>
        <w:rPr>
          <w:rFonts w:ascii="微软雅黑" w:hAnsi="微软雅黑" w:eastAsia="微软雅黑" w:cs="微软雅黑"/>
        </w:rPr>
        <w:t>来源：</w:t>
      </w:r>
      <w:hyperlink w:anchor="source-23255">
        <w:r>
          <w:rPr>
            <w:rFonts w:ascii="微软雅黑" w:hAnsi="微软雅黑" w:eastAsia="微软雅黑" w:cs="微软雅黑"/>
            <w:color w:val="087E89"/>
          </w:rPr>
          <w:t>17</w:t>
        </w:r>
      </w:hyperlink>
      <w:r>
        <w:rPr>
          <w:rFonts w:ascii="微软雅黑" w:hAnsi="微软雅黑" w:eastAsia="微软雅黑" w:cs="微软雅黑"/>
        </w:rPr>
      </w:r>
    </w:p>
    <w:p>
      <w:pPr>
        <w:pStyle w:val="Heading3"/>
      </w:pPr>
      <w:r>
        <w:rPr>
          <w:rFonts w:ascii="微软雅黑" w:hAnsi="微软雅黑" w:eastAsia="微软雅黑" w:cs="微软雅黑"/>
        </w:rPr>
        <w:t>11. 美国税收抵免到期后混合动力份额升至16%，纯电动降至6%</w:t>
      </w:r>
    </w:p>
    <w:p>
      <w:pPr>
        <w:keepNext/>
      </w:pPr>
      <w:r>
        <w:rPr>
          <w:rFonts w:ascii="微软雅黑" w:hAnsi="微软雅黑" w:eastAsia="微软雅黑" w:cs="微软雅黑"/>
        </w:rPr>
        <w:t>领域：企业与产业链</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2026年第三季度（3Q26），美国新售轻型车中混合动力、纯电动和插电式混合动力车型合计占23%，略低于3Q25的24%。税收抵免到期后，混合动力销量上升而纯电动份额明显回落。</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3Q26纯电动车型占新售轻型车6%，低于3Q25的10%；插电式混合动力同期由1.8%降至0.7%。3Q25至3Q26期间，混合动力电动车的份额继续上升，达到轻型车销量的16%。据Kelley Blue Book数据，随着新车平均成交价年内首次突破5万美元，本季度混合动力车销量增长放缓。</w:t>
      </w:r>
    </w:p>
    <w:p>
      <w:pPr>
        <w:ind w:firstLine="420"/>
      </w:pPr>
      <w:r>
        <w:rPr>
          <w:rFonts w:ascii="微软雅黑" w:hAnsi="微软雅黑" w:eastAsia="微软雅黑" w:cs="微软雅黑"/>
        </w:rPr>
        <w:t>来源：</w:t>
      </w:r>
      <w:hyperlink w:anchor="source-23293">
        <w:r>
          <w:rPr>
            <w:rFonts w:ascii="微软雅黑" w:hAnsi="微软雅黑" w:eastAsia="微软雅黑" w:cs="微软雅黑"/>
            <w:color w:val="087E89"/>
          </w:rPr>
          <w:t>11</w:t>
        </w:r>
      </w:hyperlink>
      <w:r>
        <w:rPr>
          <w:rFonts w:ascii="微软雅黑" w:hAnsi="微软雅黑" w:eastAsia="微软雅黑" w:cs="微软雅黑"/>
        </w:rPr>
      </w:r>
    </w:p>
    <w:p>
      <w:pPr>
        <w:pStyle w:val="Heading3"/>
      </w:pPr>
      <w:r>
        <w:rPr>
          <w:rFonts w:ascii="微软雅黑" w:hAnsi="微软雅黑" w:eastAsia="微软雅黑" w:cs="微软雅黑"/>
        </w:rPr>
        <w:t>12. Research Instruments完成ITER偏滤器首个内侧垂直靶制造</w:t>
      </w:r>
    </w:p>
    <w:p>
      <w:pPr>
        <w:keepNext/>
      </w:pPr>
      <w:r>
        <w:rPr>
          <w:rFonts w:ascii="微软雅黑" w:hAnsi="微软雅黑" w:eastAsia="微软雅黑" w:cs="微软雅黑"/>
        </w:rPr>
        <w:t>领域：企业与产业链</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德国供应商Research Instruments完成ITER偏滤器首个内侧垂直靶制造，标志着该部件批量化生产的推进。</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Research Instruments承包28个单元，法国供应商ALSYMEX负责另外13个。偏滤器面向等离子体部件（欧洲负责内侧垂直靶、日本负责外侧垂直靶、俄罗斯负责穹顶）须承受高达20 MW/m²的热负荷，约为航天器再入大气时热流密度的十倍。每个内侧垂直靶由2,208块精密加工的钨块装甲，通过钎焊与水冷管连接并安装于曲面钢结构上。</w:t>
      </w:r>
    </w:p>
    <w:p>
      <w:pPr>
        <w:ind w:firstLine="420"/>
      </w:pPr>
      <w:r>
        <w:rPr>
          <w:rFonts w:ascii="微软雅黑" w:hAnsi="微软雅黑" w:eastAsia="微软雅黑" w:cs="微软雅黑"/>
        </w:rPr>
        <w:t>来源：</w:t>
      </w:r>
      <w:hyperlink w:anchor="source-23468">
        <w:r>
          <w:rPr>
            <w:rFonts w:ascii="微软雅黑" w:hAnsi="微软雅黑" w:eastAsia="微软雅黑" w:cs="微软雅黑"/>
            <w:color w:val="087E89"/>
          </w:rPr>
          <w:t>25</w:t>
        </w:r>
      </w:hyperlink>
      <w:r>
        <w:rPr>
          <w:rFonts w:ascii="微软雅黑" w:hAnsi="微软雅黑" w:eastAsia="微软雅黑" w:cs="微软雅黑"/>
        </w:rPr>
      </w:r>
    </w:p>
    <w:p>
      <w:pPr>
        <w:pStyle w:val="Heading2"/>
      </w:pPr>
      <w:r>
        <w:rPr>
          <w:rFonts w:ascii="微软雅黑" w:hAnsi="微软雅黑" w:eastAsia="微软雅黑" w:cs="微软雅黑"/>
        </w:rPr>
        <w:t>中国重点事件</w:t>
      </w:r>
    </w:p>
    <w:p>
      <w:pPr>
        <w:pStyle w:val="Heading3"/>
      </w:pPr>
      <w:r>
        <w:rPr>
          <w:rFonts w:ascii="微软雅黑" w:hAnsi="微软雅黑" w:eastAsia="微软雅黑" w:cs="微软雅黑"/>
        </w:rPr>
        <w:t>13. 广东明确新能源就近消纳价格政策与自发自用比例要求</w:t>
      </w:r>
    </w:p>
    <w:p>
      <w:pPr>
        <w:keepNext/>
      </w:pPr>
      <w:r>
        <w:rPr>
          <w:rFonts w:ascii="微软雅黑" w:hAnsi="微软雅黑" w:eastAsia="微软雅黑" w:cs="微软雅黑"/>
        </w:rPr>
        <w:t>领域：政策与能源安全</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10月15日，广东省发展改革委、广东省能源局发布关于明确广东省新能源就近消纳价格政策有关事项的通知，按照“谁受益、谁负担”原则，就近消纳项目公平承担输配电费、系统运行费等费用；未接入公共电网的项目不缴纳稳定供应保障费用。</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通知明确，就近消纳项目现阶段主要包括绿电直连、源网荷储一体化、零碳园区等模式。项目新能源年自发自用电量占总可用发电量比例不低于60%，占总用电量比例不低于30%，2030年起新增项目不低于35%，并应具备分表计量条件。就近消纳项目按容（需）量缴纳输配电费，下网电量不再缴纳系统备用费、输配环节的电量电费；项目新能源上网电量不纳入新能源可持续发展价格结算机制，已纳入机制电价的电源项目转为就近消纳项目后视为自愿退出机制电价。广东电网公司会同深圳供电局每年年初测算前一年平均负荷率并报省发展改革委审核，审核通过后每年1月底前在官网公布，作为当年就近消纳项目输配电费结算依据。</w:t>
      </w:r>
    </w:p>
    <w:p>
      <w:pPr>
        <w:ind w:firstLine="420"/>
      </w:pPr>
      <w:r>
        <w:rPr>
          <w:rFonts w:ascii="微软雅黑" w:hAnsi="微软雅黑" w:eastAsia="微软雅黑" w:cs="微软雅黑"/>
        </w:rPr>
        <w:t>来源：</w:t>
      </w:r>
      <w:hyperlink w:anchor="source-23042">
        <w:r>
          <w:rPr>
            <w:rFonts w:ascii="微软雅黑" w:hAnsi="微软雅黑" w:eastAsia="微软雅黑" w:cs="微软雅黑"/>
            <w:color w:val="087E89"/>
          </w:rPr>
          <w:t>19</w:t>
        </w:r>
      </w:hyperlink>
      <w:r>
        <w:rPr>
          <w:rFonts w:ascii="微软雅黑" w:hAnsi="微软雅黑" w:eastAsia="微软雅黑" w:cs="微软雅黑"/>
        </w:rPr>
      </w:r>
    </w:p>
    <w:p>
      <w:pPr>
        <w:pStyle w:val="Heading3"/>
      </w:pPr>
      <w:r>
        <w:rPr>
          <w:rFonts w:ascii="微软雅黑" w:hAnsi="微软雅黑" w:eastAsia="微软雅黑" w:cs="微软雅黑"/>
        </w:rPr>
        <w:t>14. 燃油车销售占比首破三分之一 马斯克称中国对石油依赖快速下降</w:t>
      </w:r>
    </w:p>
    <w:p>
      <w:pPr>
        <w:keepNext/>
      </w:pPr>
      <w:r>
        <w:rPr>
          <w:rFonts w:ascii="微软雅黑" w:hAnsi="微软雅黑" w:eastAsia="微软雅黑" w:cs="微软雅黑"/>
        </w:rPr>
        <w:t>领域：石油与炼化</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2026年9月燃油车在中国市场销售占比首次跌破三分之一，新能源车整体渗透率攀升至67%的新高，特斯拉首席执行官埃隆·马斯克转发相关数据并评论称“中国对石油的依赖正在快速下降”。</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中国汽车流通协会乘用车市场信息联席分会数据显示，2026年9月燃油车在中国市场销售占比首次跌破三分之一，新能源车整体渗透率攀升至67%的新高。国际能源署数据显示，2026年二季度仅新能源汽车就为中国带来相当于日均150万桶原油的能源消费替代，约等于法国单日石油消费总量。国际能源署预计中国石油需求将在2027年达到峰值，比此前预测提前约两年。</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国际能源署预计中国石油需求将在2027年达到峰值，比此前预测提前约两年。</w:t>
      </w:r>
    </w:p>
    <w:p>
      <w:pPr>
        <w:ind w:firstLine="420"/>
      </w:pPr>
      <w:r>
        <w:rPr>
          <w:rFonts w:ascii="微软雅黑" w:hAnsi="微软雅黑" w:eastAsia="微软雅黑" w:cs="微软雅黑"/>
        </w:rPr>
        <w:t>来源：</w:t>
      </w:r>
      <w:hyperlink w:anchor="source-23320">
        <w:r>
          <w:rPr>
            <w:rFonts w:ascii="微软雅黑" w:hAnsi="微软雅黑" w:eastAsia="微软雅黑" w:cs="微软雅黑"/>
            <w:color w:val="087E89"/>
          </w:rPr>
          <w:t>15</w:t>
        </w:r>
      </w:hyperlink>
      <w:r>
        <w:rPr>
          <w:rFonts w:ascii="微软雅黑" w:hAnsi="微软雅黑" w:eastAsia="微软雅黑" w:cs="微软雅黑"/>
        </w:rPr>
      </w:r>
    </w:p>
    <w:p>
      <w:pPr>
        <w:pStyle w:val="Heading3"/>
      </w:pPr>
      <w:r>
        <w:rPr>
          <w:rFonts w:ascii="微软雅黑" w:hAnsi="微软雅黑" w:eastAsia="微软雅黑" w:cs="微软雅黑"/>
        </w:rPr>
        <w:t>15. 新能源新材料政产学研高级别会议在鄂尔多斯召开并宣读鄂尔多斯共识</w:t>
      </w:r>
    </w:p>
    <w:p>
      <w:pPr>
        <w:keepNext/>
      </w:pPr>
      <w:r>
        <w:rPr>
          <w:rFonts w:ascii="微软雅黑" w:hAnsi="微软雅黑" w:eastAsia="微软雅黑" w:cs="微软雅黑"/>
        </w:rPr>
        <w:t>领域：天然气与液化天然气</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2026世界新能源新材料大会“新能源新材料政产学研高级别会议”于10月12日在鄂尔多斯国际会展中心召开，会后宣读《2026世界新能源新材料大会·鄂尔多斯共识》。</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作为2026世界新能源新材料大会重要内容，会议于10月12日在鄂尔多斯国际会展中心召开，会后宣读《2026世界新能源新材料大会·鄂尔多斯共识》。三峡陆上新能源公司称，库布其1620万千瓦“沙戈荒”基地是国家首批首个千万千瓦级基地，省间协议已签署、外送通道已启动建设，计划2027年首批并网、2028年全容量并网，每年向京津冀输送清洁电力约400亿千瓦时；2021年获批的40万千瓦光伏制氢项目已正式投用，承担国家10万吨级电解水制氢合成氨工程示范任务。武强院士提出将采矿遗留资产转化为新产业载体。国家能源集团内蒙古公司、包钢分别介绍煤电化运一体化与新能源耦合、CCS建设等进展。</w:t>
      </w:r>
    </w:p>
    <w:p>
      <w:pPr>
        <w:ind w:firstLine="420"/>
      </w:pPr>
      <w:r>
        <w:rPr>
          <w:rFonts w:ascii="微软雅黑" w:hAnsi="微软雅黑" w:eastAsia="微软雅黑" w:cs="微软雅黑"/>
        </w:rPr>
        <w:t>来源：</w:t>
      </w:r>
      <w:hyperlink w:anchor="source-22962">
        <w:r>
          <w:rPr>
            <w:rFonts w:ascii="微软雅黑" w:hAnsi="微软雅黑" w:eastAsia="微软雅黑" w:cs="微软雅黑"/>
            <w:color w:val="087E89"/>
          </w:rPr>
          <w:t>20</w:t>
        </w:r>
      </w:hyperlink>
      <w:r>
        <w:rPr>
          <w:rFonts w:ascii="微软雅黑" w:hAnsi="微软雅黑" w:eastAsia="微软雅黑" w:cs="微软雅黑"/>
        </w:rPr>
      </w:r>
    </w:p>
    <w:p>
      <w:pPr>
        <w:pStyle w:val="Heading3"/>
      </w:pPr>
      <w:r>
        <w:rPr>
          <w:rFonts w:ascii="微软雅黑" w:hAnsi="微软雅黑" w:eastAsia="微软雅黑" w:cs="微软雅黑"/>
        </w:rPr>
        <w:t>16. 国家多部委赴山西推进煤矿复产增产保供</w:t>
      </w:r>
    </w:p>
    <w:p>
      <w:pPr>
        <w:keepNext/>
      </w:pPr>
      <w:r>
        <w:rPr>
          <w:rFonts w:ascii="微软雅黑" w:hAnsi="微软雅黑" w:eastAsia="微软雅黑" w:cs="微软雅黑"/>
        </w:rPr>
        <w:t>领域：煤炭</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10月16日，国家发展改革委、国家能源局会同有关部门在山西太原召开加快煤矿复产增产保供工作推进会，要求山西省加快停产煤矿复工复产，全力增加煤炭供应。</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会议要求山西省加快停产煤矿复工复产，在确保安全的基础上全力增加煤炭供应，促进煤炭市场平稳运行；提出“一矿一策”制定复产计划，优化复产验收程序，推动临时停产煤矿加快复产；督促复产煤矿优化生产组织，尽快达产满产，将煤炭产量提升至正常水平；并要求加强电煤保供中长期合同签订履约，着力提高合同兑现率。国家发展改革委、国家能源局会同国家矿山安监局等部门已组建工作组赴山西省产煤地市开展调研督导，协调煤矿复工复产堵点难点，加快研究出台煤炭增产保供系列政策举措。</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会议要求在确保安全基础上全力增加煤炭供应，促进煤炭市场平稳运行，并着力提高电煤保供中长期合同兑现率。</w:t>
      </w:r>
    </w:p>
    <w:p>
      <w:pPr>
        <w:ind w:firstLine="420"/>
      </w:pPr>
      <w:r>
        <w:rPr>
          <w:rFonts w:ascii="微软雅黑" w:hAnsi="微软雅黑" w:eastAsia="微软雅黑" w:cs="微软雅黑"/>
        </w:rPr>
        <w:t>来源：</w:t>
      </w:r>
      <w:hyperlink w:anchor="source-23339">
        <w:r>
          <w:rPr>
            <w:rFonts w:ascii="微软雅黑" w:hAnsi="微软雅黑" w:eastAsia="微软雅黑" w:cs="微软雅黑"/>
            <w:color w:val="087E89"/>
          </w:rPr>
          <w:t>14</w:t>
        </w:r>
      </w:hyperlink>
      <w:r>
        <w:rPr>
          <w:rFonts w:ascii="微软雅黑" w:hAnsi="微软雅黑" w:eastAsia="微软雅黑" w:cs="微软雅黑"/>
        </w:rPr>
      </w:r>
    </w:p>
    <w:p>
      <w:pPr>
        <w:pStyle w:val="Heading3"/>
      </w:pPr>
      <w:r>
        <w:rPr>
          <w:rFonts w:ascii="微软雅黑" w:hAnsi="微软雅黑" w:eastAsia="微软雅黑" w:cs="微软雅黑"/>
        </w:rPr>
        <w:t>17. 光伏多晶硅、硅片、电池制备工艺及设备列入出口管制目录征求意见</w:t>
      </w:r>
    </w:p>
    <w:p>
      <w:pPr>
        <w:keepNext/>
      </w:pPr>
      <w:r>
        <w:rPr>
          <w:rFonts w:ascii="微软雅黑" w:hAnsi="微软雅黑" w:eastAsia="微软雅黑" w:cs="微软雅黑"/>
        </w:rPr>
        <w:t>领域：电力与储能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商务部、科技部发布2026年第48号公告，就修订《中国禁止出口限制出口技术目录》公开征求意见，并同步对相关技术出口实施临时登记管理，光伏领域多晶硅、硅片、电池制造相关技术列入。</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此次征求意见涉及人工智能、生物医药、光伏三个领域共40项技术，光伏领域包括多晶硅制造、硅片制造、电池制造相关12项技术，技术管理范围也包含承载相关技术的关键和核心设备。自公告发布之日起至目录正式修订并实施之日止，技术出口经营者在出口附件所列技术前，须在商务部技术贸易管理信息应用平台登记，已开始但尚未完成的出口也在登记范围内。需登记的出口情形包括向境外转让技术所有权、境内技术授权境外使用、境内技术所有权人或实际控制人变更为境外主体等。</w:t>
      </w:r>
    </w:p>
    <w:p>
      <w:pPr>
        <w:ind w:firstLine="420"/>
      </w:pPr>
      <w:r>
        <w:rPr>
          <w:rFonts w:ascii="微软雅黑" w:hAnsi="微软雅黑" w:eastAsia="微软雅黑" w:cs="微软雅黑"/>
        </w:rPr>
        <w:t>来源：</w:t>
      </w:r>
      <w:hyperlink w:anchor="source-23321">
        <w:r>
          <w:rPr>
            <w:rFonts w:ascii="微软雅黑" w:hAnsi="微软雅黑" w:eastAsia="微软雅黑" w:cs="微软雅黑"/>
            <w:color w:val="087E89"/>
          </w:rPr>
          <w:t>10</w:t>
        </w:r>
      </w:hyperlink>
      <w:r>
        <w:rPr>
          <w:rFonts w:ascii="微软雅黑" w:hAnsi="微软雅黑" w:eastAsia="微软雅黑" w:cs="微软雅黑"/>
        </w:rPr>
      </w:r>
    </w:p>
    <w:p>
      <w:pPr>
        <w:pStyle w:val="Heading3"/>
      </w:pPr>
      <w:r>
        <w:rPr>
          <w:rFonts w:ascii="微软雅黑" w:hAnsi="微软雅黑" w:eastAsia="微软雅黑" w:cs="微软雅黑"/>
        </w:rPr>
        <w:t>18. 中国首次管控光伏技术和设备出口，拟增列12项技术</w:t>
      </w:r>
    </w:p>
    <w:p>
      <w:pPr>
        <w:keepNext/>
      </w:pPr>
      <w:r>
        <w:rPr>
          <w:rFonts w:ascii="微软雅黑" w:hAnsi="微软雅黑" w:eastAsia="微软雅黑" w:cs="微软雅黑"/>
        </w:rPr>
        <w:t>领域：新能源与能源转型</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10月16日，商务部、科技部发布公告，就修订《中国禁止出口限制出口技术目录》公开征求意见，并对相关技术实施出口前登记的临时管理措施，首次将光伏技术和设备纳入管控。</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10月16日，商务部、科技部发布公告，就修订《中国禁止出口限制出口技术目录》公开征求意见，并对相关技术实施出口前登记的临时管理措施。此次征求意见涉及拟增列的人工智能、生物医药、光伏三个领域共40项关键技术，其中拟禁止出口技术14项，包括钙钛矿及叠层电池组件生产技术等；拟限制出口技术26项，包括单线产能≥3万吨/年的多晶硅工程技术等。光伏领域拟将多晶硅制造、硅片制造、电池制造等环节的12项技术增列至目录，技术管理范围包含承载相关技术的关键和核心设备。</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发言人称此次列管技术范围有限，其他未达到管控指标的技术仍可自由出口；光伏组件等成品出口不受限制，但组件生产技术如钙钛矿组件生产工艺、叠层组件封装技术属于管控范围。</w:t>
      </w:r>
    </w:p>
    <w:p>
      <w:pPr>
        <w:ind w:firstLine="420"/>
      </w:pPr>
      <w:r>
        <w:rPr>
          <w:rFonts w:ascii="微软雅黑" w:hAnsi="微软雅黑" w:eastAsia="微软雅黑" w:cs="微软雅黑"/>
        </w:rPr>
        <w:t>来源：</w:t>
      </w:r>
      <w:hyperlink w:anchor="source-23397">
        <w:r>
          <w:rPr>
            <w:rFonts w:ascii="微软雅黑" w:hAnsi="微软雅黑" w:eastAsia="微软雅黑" w:cs="微软雅黑"/>
            <w:color w:val="087E89"/>
          </w:rPr>
          <w:t>5</w:t>
        </w:r>
      </w:hyperlink>
      <w:r>
        <w:rPr>
          <w:rFonts w:ascii="微软雅黑" w:hAnsi="微软雅黑" w:eastAsia="微软雅黑" w:cs="微软雅黑"/>
        </w:rPr>
        <w:t xml:space="preserve"> </w:t>
      </w:r>
      <w:hyperlink w:anchor="source-23115">
        <w:r>
          <w:rPr>
            <w:rFonts w:ascii="微软雅黑" w:hAnsi="微软雅黑" w:eastAsia="微软雅黑" w:cs="微软雅黑"/>
            <w:color w:val="087E89"/>
          </w:rPr>
          <w:t>6</w:t>
        </w:r>
      </w:hyperlink>
      <w:r>
        <w:rPr>
          <w:rFonts w:ascii="微软雅黑" w:hAnsi="微软雅黑" w:eastAsia="微软雅黑" w:cs="微软雅黑"/>
        </w:rPr>
        <w:t xml:space="preserve"> </w:t>
      </w:r>
      <w:hyperlink w:anchor="source-23120">
        <w:r>
          <w:rPr>
            <w:rFonts w:ascii="微软雅黑" w:hAnsi="微软雅黑" w:eastAsia="微软雅黑" w:cs="微软雅黑"/>
            <w:color w:val="087E89"/>
          </w:rPr>
          <w:t>7</w:t>
        </w:r>
      </w:hyperlink>
      <w:r>
        <w:rPr>
          <w:rFonts w:ascii="微软雅黑" w:hAnsi="微软雅黑" w:eastAsia="微软雅黑" w:cs="微软雅黑"/>
        </w:rPr>
      </w:r>
    </w:p>
    <w:p>
      <w:pPr>
        <w:pStyle w:val="Heading3"/>
      </w:pPr>
      <w:r>
        <w:rPr>
          <w:rFonts w:ascii="微软雅黑" w:hAnsi="微软雅黑" w:eastAsia="微软雅黑" w:cs="微软雅黑"/>
        </w:rPr>
        <w:t>19. 氢能全链条产业化持续推进，标准化建设加快</w:t>
      </w:r>
    </w:p>
    <w:p>
      <w:pPr>
        <w:keepNext/>
      </w:pPr>
      <w:r>
        <w:rPr>
          <w:rFonts w:ascii="微软雅黑" w:hAnsi="微软雅黑" w:eastAsia="微软雅黑" w:cs="微软雅黑"/>
        </w:rPr>
        <w:t>领域：新能源与能源转型</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在第57届世界标准日主题活动上，国家标准化管理委员会公布《中国氢能产业标准化蓝皮书（2026年）》，介绍我国氢能产业标准化建设情况，氢能全链条产业化持续推进。</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今年3月，工信部、财政部、国家发改委联合发布《关于开展氢能综合应用试点工作的通知》，提出在多个氢能应用场景开展试点工作。2025年底，我国自主研发的30兆瓦级纯氢燃气轮机及氢储能示范项目取得重大突破，“木星一号”机组实现纯氢发电并保持稳定运行。2026年4月，我国首个百万方级盐穴储氢示范工程在河南省平顶山市正式投产运行；6月，我国首次发布氢气管输工程成套技术与标准体系，填补长距离、规模化氢气管输成套技术与标准空白。</w:t>
      </w:r>
    </w:p>
    <w:p>
      <w:pPr>
        <w:ind w:firstLine="420"/>
      </w:pPr>
      <w:r>
        <w:rPr>
          <w:rFonts w:ascii="微软雅黑" w:hAnsi="微软雅黑" w:eastAsia="微软雅黑" w:cs="微软雅黑"/>
        </w:rPr>
        <w:t>来源：</w:t>
      </w:r>
      <w:hyperlink w:anchor="source-22895">
        <w:r>
          <w:rPr>
            <w:rFonts w:ascii="微软雅黑" w:hAnsi="微软雅黑" w:eastAsia="微软雅黑" w:cs="微软雅黑"/>
            <w:color w:val="087E89"/>
          </w:rPr>
          <w:t>24</w:t>
        </w:r>
      </w:hyperlink>
      <w:r>
        <w:rPr>
          <w:rFonts w:ascii="微软雅黑" w:hAnsi="微软雅黑" w:eastAsia="微软雅黑" w:cs="微软雅黑"/>
        </w:rPr>
      </w:r>
    </w:p>
    <w:p>
      <w:pPr>
        <w:pStyle w:val="Heading3"/>
      </w:pPr>
      <w:r>
        <w:rPr>
          <w:rFonts w:ascii="微软雅黑" w:hAnsi="微软雅黑" w:eastAsia="微软雅黑" w:cs="微软雅黑"/>
        </w:rPr>
        <w:t>20. 九大央企售电分公司联名反映广西售电经营亏损</w:t>
      </w:r>
    </w:p>
    <w:p>
      <w:pPr>
        <w:keepNext/>
      </w:pPr>
      <w:r>
        <w:rPr>
          <w:rFonts w:ascii="微软雅黑" w:hAnsi="微软雅黑" w:eastAsia="微软雅黑" w:cs="微软雅黑"/>
        </w:rPr>
        <w:t>领域：企业与产业链</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多家央企售电分公司在广西联署联名信，反映售电环节经营亏损并请求政府纾困，反映批零倒挂下售电公司经营困境。</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国家能源集团、国开能源、华润、大唐、华能、中广核、中电、华电、国家电投在广西的售电分公司联署联名信，合计约占广西售电市场七成份额，向广西自治区政府反映售电环节经营亏损并请求纾困。</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售电环节经营亏损问题已集中反映至广西自治区政府，或推动相关纾困安排。</w:t>
      </w:r>
    </w:p>
    <w:p>
      <w:pPr>
        <w:ind w:firstLine="420"/>
      </w:pPr>
      <w:r>
        <w:rPr>
          <w:rFonts w:ascii="微软雅黑" w:hAnsi="微软雅黑" w:eastAsia="微软雅黑" w:cs="微软雅黑"/>
        </w:rPr>
        <w:t>来源：</w:t>
      </w:r>
      <w:hyperlink w:anchor="source-23119">
        <w:r>
          <w:rPr>
            <w:rFonts w:ascii="微软雅黑" w:hAnsi="微软雅黑" w:eastAsia="微软雅黑" w:cs="微软雅黑"/>
            <w:color w:val="087E89"/>
          </w:rPr>
          <w:t>18</w:t>
        </w:r>
      </w:hyperlink>
      <w:r>
        <w:rPr>
          <w:rFonts w:ascii="微软雅黑" w:hAnsi="微软雅黑" w:eastAsia="微软雅黑" w:cs="微软雅黑"/>
        </w:rPr>
      </w:r>
    </w:p>
    <w:p>
      <w:pPr>
        <w:pStyle w:val="Heading2"/>
      </w:pPr>
      <w:r>
        <w:rPr>
          <w:rFonts w:ascii="微软雅黑" w:hAnsi="微软雅黑" w:eastAsia="微软雅黑" w:cs="微软雅黑"/>
        </w:rPr>
        <w:t>风险与后续观察</w:t>
      </w:r>
    </w:p>
    <w:p>
      <w:pPr>
        <w:pStyle w:val="ListBullet"/>
      </w:pPr>
      <w:r>
        <w:rPr>
          <w:rFonts w:ascii="微软雅黑" w:hAnsi="微软雅黑" w:eastAsia="微软雅黑" w:cs="微软雅黑"/>
        </w:rPr>
        <w:t xml:space="preserve">利比亚A&amp;E结构项目（旨在为国内市场和出口带来新的海上天然气资源）及天然气生产与运输基础设施升级举措仍在推进中。 </w:t>
      </w:r>
      <w:hyperlink w:anchor="source-23345">
        <w:r>
          <w:rPr>
            <w:rFonts w:ascii="微软雅黑" w:hAnsi="微软雅黑" w:eastAsia="微软雅黑" w:cs="微软雅黑"/>
            <w:color w:val="087E89"/>
          </w:rPr>
          <w:t>1</w:t>
        </w:r>
      </w:hyperlink>
      <w:r>
        <w:rPr>
          <w:rFonts w:ascii="微软雅黑" w:hAnsi="微软雅黑" w:eastAsia="微软雅黑" w:cs="微软雅黑"/>
        </w:rPr>
      </w:r>
    </w:p>
    <w:p>
      <w:pPr>
        <w:pStyle w:val="ListBullet"/>
      </w:pPr>
      <w:r>
        <w:rPr>
          <w:rFonts w:ascii="微软雅黑" w:hAnsi="微软雅黑" w:eastAsia="微软雅黑" w:cs="微软雅黑"/>
        </w:rPr>
        <w:t xml:space="preserve">特朗普表示该事项的最终决定尚未作出；国务卿鲁比奥称总统将需要最多60天评估此举的经济影响，制裁随时可能重新实施。 </w:t>
      </w:r>
      <w:hyperlink w:anchor="source-23159">
        <w:r>
          <w:rPr>
            <w:rFonts w:ascii="微软雅黑" w:hAnsi="微软雅黑" w:eastAsia="微软雅黑" w:cs="微软雅黑"/>
            <w:color w:val="087E89"/>
          </w:rPr>
          <w:t>2</w:t>
        </w:r>
      </w:hyperlink>
      <w:r>
        <w:rPr>
          <w:rFonts w:ascii="微软雅黑" w:hAnsi="微软雅黑" w:eastAsia="微软雅黑" w:cs="微软雅黑"/>
        </w:rPr>
        <w:t xml:space="preserve"> </w:t>
      </w:r>
      <w:hyperlink w:anchor="source-23009">
        <w:r>
          <w:rPr>
            <w:rFonts w:ascii="微软雅黑" w:hAnsi="微软雅黑" w:eastAsia="微软雅黑" w:cs="微软雅黑"/>
            <w:color w:val="087E89"/>
          </w:rPr>
          <w:t>3</w:t>
        </w:r>
      </w:hyperlink>
      <w:r>
        <w:rPr>
          <w:rFonts w:ascii="微软雅黑" w:hAnsi="微软雅黑" w:eastAsia="微软雅黑" w:cs="微软雅黑"/>
        </w:rPr>
        <w:t xml:space="preserve"> </w:t>
      </w:r>
      <w:hyperlink w:anchor="source-22874">
        <w:r>
          <w:rPr>
            <w:rFonts w:ascii="微软雅黑" w:hAnsi="微软雅黑" w:eastAsia="微软雅黑" w:cs="微软雅黑"/>
            <w:color w:val="087E89"/>
          </w:rPr>
          <w:t>4</w:t>
        </w:r>
      </w:hyperlink>
      <w:r>
        <w:rPr>
          <w:rFonts w:ascii="微软雅黑" w:hAnsi="微软雅黑" w:eastAsia="微软雅黑" w:cs="微软雅黑"/>
        </w:rPr>
      </w:r>
    </w:p>
    <w:p>
      <w:pPr>
        <w:pStyle w:val="ListBullet"/>
      </w:pPr>
      <w:r>
        <w:rPr>
          <w:rFonts w:ascii="微软雅黑" w:hAnsi="微软雅黑" w:eastAsia="微软雅黑" w:cs="微软雅黑"/>
        </w:rPr>
        <w:t xml:space="preserve">发言人表示，光伏关键技术的出口往往伴随光伏产线的出口、安装、调试、改良和升级而发生，出口经营者从事上述活动的应按规定申请技术出口许可证，并凭证办理外汇、银行、税务、海关等相关手续。 </w:t>
      </w:r>
      <w:hyperlink w:anchor="source-23397">
        <w:r>
          <w:rPr>
            <w:rFonts w:ascii="微软雅黑" w:hAnsi="微软雅黑" w:eastAsia="微软雅黑" w:cs="微软雅黑"/>
            <w:color w:val="087E89"/>
          </w:rPr>
          <w:t>5</w:t>
        </w:r>
      </w:hyperlink>
      <w:r>
        <w:rPr>
          <w:rFonts w:ascii="微软雅黑" w:hAnsi="微软雅黑" w:eastAsia="微软雅黑" w:cs="微软雅黑"/>
        </w:rPr>
        <w:t xml:space="preserve"> </w:t>
      </w:r>
      <w:hyperlink w:anchor="source-23115">
        <w:r>
          <w:rPr>
            <w:rFonts w:ascii="微软雅黑" w:hAnsi="微软雅黑" w:eastAsia="微软雅黑" w:cs="微软雅黑"/>
            <w:color w:val="087E89"/>
          </w:rPr>
          <w:t>6</w:t>
        </w:r>
      </w:hyperlink>
      <w:r>
        <w:rPr>
          <w:rFonts w:ascii="微软雅黑" w:hAnsi="微软雅黑" w:eastAsia="微软雅黑" w:cs="微软雅黑"/>
        </w:rPr>
        <w:t xml:space="preserve"> </w:t>
      </w:r>
      <w:hyperlink w:anchor="source-23120">
        <w:r>
          <w:rPr>
            <w:rFonts w:ascii="微软雅黑" w:hAnsi="微软雅黑" w:eastAsia="微软雅黑" w:cs="微软雅黑"/>
            <w:color w:val="087E89"/>
          </w:rPr>
          <w:t>7</w:t>
        </w:r>
      </w:hyperlink>
      <w:r>
        <w:rPr>
          <w:rFonts w:ascii="微软雅黑" w:hAnsi="微软雅黑" w:eastAsia="微软雅黑" w:cs="微软雅黑"/>
        </w:rPr>
      </w:r>
    </w:p>
    <w:p>
      <w:pPr>
        <w:pStyle w:val="ListBullet"/>
      </w:pPr>
      <w:r>
        <w:rPr>
          <w:rFonts w:ascii="微软雅黑" w:hAnsi="微软雅黑" w:eastAsia="微软雅黑" w:cs="微软雅黑"/>
        </w:rPr>
        <w:t xml:space="preserve">公众可在2026年10月16日至11月15日期间通过电子邮件、传真或信函提出意见，目录正式修订并实施时间待定。 </w:t>
      </w:r>
      <w:hyperlink w:anchor="source-23321">
        <w:r>
          <w:rPr>
            <w:rFonts w:ascii="微软雅黑" w:hAnsi="微软雅黑" w:eastAsia="微软雅黑" w:cs="微软雅黑"/>
            <w:color w:val="087E89"/>
          </w:rPr>
          <w:t>10</w:t>
        </w:r>
      </w:hyperlink>
      <w:r>
        <w:rPr>
          <w:rFonts w:ascii="微软雅黑" w:hAnsi="微软雅黑" w:eastAsia="微软雅黑" w:cs="微软雅黑"/>
        </w:rPr>
      </w:r>
    </w:p>
    <w:p>
      <w:pPr>
        <w:pStyle w:val="ListBullet"/>
      </w:pPr>
      <w:r>
        <w:rPr>
          <w:rFonts w:ascii="微软雅黑" w:hAnsi="微软雅黑" w:eastAsia="微软雅黑" w:cs="微软雅黑"/>
        </w:rPr>
        <w:t xml:space="preserve">机组预计五年内向用户供电，实际供电时间有待落实。 </w:t>
      </w:r>
      <w:hyperlink w:anchor="source-23360">
        <w:r>
          <w:rPr>
            <w:rFonts w:ascii="微软雅黑" w:hAnsi="微软雅黑" w:eastAsia="微软雅黑" w:cs="微软雅黑"/>
            <w:color w:val="087E89"/>
          </w:rPr>
          <w:t>13</w:t>
        </w:r>
      </w:hyperlink>
      <w:r>
        <w:rPr>
          <w:rFonts w:ascii="微软雅黑" w:hAnsi="微软雅黑" w:eastAsia="微软雅黑" w:cs="微软雅黑"/>
        </w:rPr>
      </w:r>
    </w:p>
    <w:p>
      <w:pPr>
        <w:pStyle w:val="ListBullet"/>
      </w:pPr>
      <w:r>
        <w:rPr>
          <w:rFonts w:ascii="微软雅黑" w:hAnsi="微软雅黑" w:eastAsia="微软雅黑" w:cs="微软雅黑"/>
        </w:rPr>
        <w:t xml:space="preserve">复产验收程序优化、临时停产煤矿复产进度及增产保供系列政策举措出台情况有待落实。 </w:t>
      </w:r>
      <w:hyperlink w:anchor="source-23339">
        <w:r>
          <w:rPr>
            <w:rFonts w:ascii="微软雅黑" w:hAnsi="微软雅黑" w:eastAsia="微软雅黑" w:cs="微软雅黑"/>
            <w:color w:val="087E89"/>
          </w:rPr>
          <w:t>14</w:t>
        </w:r>
      </w:hyperlink>
      <w:r>
        <w:rPr>
          <w:rFonts w:ascii="微软雅黑" w:hAnsi="微软雅黑" w:eastAsia="微软雅黑" w:cs="微软雅黑"/>
        </w:rPr>
      </w:r>
    </w:p>
    <w:p>
      <w:pPr>
        <w:pStyle w:val="Heading2"/>
      </w:pPr>
      <w:r>
        <w:rPr>
          <w:rFonts w:ascii="微软雅黑" w:hAnsi="微软雅黑" w:eastAsia="微软雅黑" w:cs="微软雅黑"/>
        </w:rPr>
        <w:t>资料覆盖说明</w:t>
      </w:r>
    </w:p>
    <w:p>
      <w:pPr>
        <w:ind w:firstLine="420"/>
      </w:pPr>
      <w:r>
        <w:rPr>
          <w:rFonts w:ascii="微软雅黑" w:hAnsi="微软雅黑" w:eastAsia="微软雅黑" w:cs="微软雅黑"/>
        </w:rPr>
        <w:t>本期采集快照包含 394 篇文章，形成 388 篇有效能源材料；正文引用 26 篇来源，整理 20 个重点事件。</w:t>
      </w:r>
    </w:p>
    <w:p>
      <w:pPr>
        <w:ind w:firstLine="420"/>
      </w:pPr>
      <w:r>
        <w:rPr>
          <w:rFonts w:ascii="微软雅黑" w:hAnsi="微软雅黑" w:eastAsia="微软雅黑" w:cs="微软雅黑"/>
        </w:rPr>
        <w:t>按报道发布时间归档。历史数据、计划和预测不代表当日新发生或已经实现；来源样本不等于完整市场统计。</w:t>
      </w:r>
    </w:p>
    <w:p>
      <w:pPr>
        <w:ind w:firstLine="420"/>
      </w:pPr>
      <w:r>
        <w:rPr>
          <w:rFonts w:ascii="微软雅黑" w:hAnsi="微软雅黑" w:eastAsia="微软雅黑" w:cs="微软雅黑"/>
        </w:rPr>
        <w:t>另有 3 篇材料尚待复核，未纳入本期判断。</w:t>
      </w:r>
    </w:p>
    <w:p>
      <w:pPr>
        <w:ind w:firstLine="420"/>
      </w:pPr>
      <w:r>
        <w:rPr>
          <w:rFonts w:ascii="微软雅黑" w:hAnsi="微软雅黑" w:eastAsia="微软雅黑" w:cs="微软雅黑"/>
        </w:rPr>
        <w:t>本期材料较多，综合部分按重要性及主题覆盖择取。</w:t>
      </w:r>
    </w:p>
    <w:p>
      <w:pPr>
        <w:pStyle w:val="Heading2"/>
      </w:pPr>
      <w:r>
        <w:rPr>
          <w:rFonts w:ascii="微软雅黑" w:hAnsi="微软雅黑" w:eastAsia="微软雅黑" w:cs="微软雅黑"/>
        </w:rPr>
        <w:t>资料来源</w:t>
      </w:r>
    </w:p>
    <w:p>
      <w:pPr>
        <w:spacing w:after="0" w:line="20" w:lineRule="exact"/>
      </w:pPr>
      <w:bookmarkStart w:id="1" w:name="source-23345"/>
      <w:bookmarkEnd w:id="1" w:name="source-23345"/>
    </w:p>
    <w:p>
      <w:pPr>
        <w:pStyle w:val="ListBullet"/>
      </w:pPr>
      <w:r>
        <w:rPr>
          <w:rFonts w:ascii="微软雅黑" w:hAnsi="微软雅黑" w:eastAsia="微软雅黑" w:cs="微软雅黑"/>
        </w:rPr>
        <w:t>[1] Eni官网｜</w:t>
      </w:r>
      <w:hyperlink r:id="rId11">
        <w:r>
          <w:rPr>
            <w:rFonts w:ascii="微软雅黑" w:hAnsi="微软雅黑" w:eastAsia="微软雅黑" w:cs="微软雅黑"/>
            <w:color w:val="087E89"/>
          </w:rPr>
          <w:t>埃尼完成利比亚Bouri伴生气利用项目，为该国伴生气回收与减排的关键举措之一</w:t>
        </w:r>
      </w:hyperlink>
      <w:r>
        <w:rPr>
          <w:rFonts w:ascii="微软雅黑" w:hAnsi="微软雅黑" w:eastAsia="微软雅黑" w:cs="微软雅黑"/>
        </w:rPr>
      </w:r>
    </w:p>
    <w:p>
      <w:pPr>
        <w:spacing w:after="0" w:line="20" w:lineRule="exact"/>
      </w:pPr>
      <w:bookmarkStart w:id="2" w:name="source-23159"/>
      <w:bookmarkEnd w:id="2" w:name="source-23159"/>
    </w:p>
    <w:p>
      <w:pPr>
        <w:pStyle w:val="ListBullet"/>
      </w:pPr>
      <w:r>
        <w:rPr>
          <w:rFonts w:ascii="微软雅黑" w:hAnsi="微软雅黑" w:eastAsia="微软雅黑" w:cs="微软雅黑"/>
        </w:rPr>
        <w:t>[2] 叙利亚通讯社｜</w:t>
      </w:r>
      <w:hyperlink r:id="rId12">
        <w:r>
          <w:rPr>
            <w:rFonts w:ascii="微软雅黑" w:hAnsi="微软雅黑" w:eastAsia="微软雅黑" w:cs="微软雅黑"/>
            <w:color w:val="087E89"/>
          </w:rPr>
          <w:t>在俄罗斯供应可能增加的背景下，油价下跌</w:t>
        </w:r>
      </w:hyperlink>
      <w:r>
        <w:rPr>
          <w:rFonts w:ascii="微软雅黑" w:hAnsi="微软雅黑" w:eastAsia="微软雅黑" w:cs="微软雅黑"/>
        </w:rPr>
      </w:r>
    </w:p>
    <w:p>
      <w:pPr>
        <w:spacing w:after="0" w:line="20" w:lineRule="exact"/>
      </w:pPr>
      <w:bookmarkStart w:id="3" w:name="source-23009"/>
      <w:bookmarkEnd w:id="3" w:name="source-23009"/>
    </w:p>
    <w:p>
      <w:pPr>
        <w:pStyle w:val="ListBullet"/>
      </w:pPr>
      <w:r>
        <w:rPr>
          <w:rFonts w:ascii="微软雅黑" w:hAnsi="微软雅黑" w:eastAsia="微软雅黑" w:cs="微软雅黑"/>
        </w:rPr>
        <w:t>[3] Interfax｜</w:t>
      </w:r>
      <w:hyperlink r:id="rId13">
        <w:r>
          <w:rPr>
            <w:rFonts w:ascii="微软雅黑" w:hAnsi="微软雅黑" w:eastAsia="微软雅黑" w:cs="微软雅黑"/>
            <w:color w:val="087E89"/>
          </w:rPr>
          <w:t>布伦特原油价格下跌至每桶 $107,91</w:t>
        </w:r>
      </w:hyperlink>
      <w:r>
        <w:rPr>
          <w:rFonts w:ascii="微软雅黑" w:hAnsi="微软雅黑" w:eastAsia="微软雅黑" w:cs="微软雅黑"/>
        </w:rPr>
      </w:r>
    </w:p>
    <w:p>
      <w:pPr>
        <w:spacing w:after="0" w:line="20" w:lineRule="exact"/>
      </w:pPr>
      <w:bookmarkStart w:id="4" w:name="source-22874"/>
      <w:bookmarkEnd w:id="4" w:name="source-22874"/>
    </w:p>
    <w:p>
      <w:pPr>
        <w:pStyle w:val="ListBullet"/>
      </w:pPr>
      <w:r>
        <w:rPr>
          <w:rFonts w:ascii="微软雅黑" w:hAnsi="微软雅黑" w:eastAsia="微软雅黑" w:cs="微软雅黑"/>
        </w:rPr>
        <w:t>[4] The Edge Malaysia等｜</w:t>
      </w:r>
      <w:hyperlink r:id="rId14">
        <w:r>
          <w:rPr>
            <w:rFonts w:ascii="微软雅黑" w:hAnsi="微软雅黑" w:eastAsia="微软雅黑" w:cs="微软雅黑"/>
            <w:color w:val="087E89"/>
          </w:rPr>
          <w:t>亚洲股市下滑，油价下挫利好华尔街和债券</w:t>
        </w:r>
      </w:hyperlink>
      <w:r>
        <w:rPr>
          <w:rFonts w:ascii="微软雅黑" w:hAnsi="微软雅黑" w:eastAsia="微软雅黑" w:cs="微软雅黑"/>
        </w:rPr>
      </w:r>
    </w:p>
    <w:p>
      <w:pPr>
        <w:spacing w:after="0" w:line="20" w:lineRule="exact"/>
      </w:pPr>
      <w:bookmarkStart w:id="5" w:name="source-23397"/>
      <w:bookmarkEnd w:id="5" w:name="source-23397"/>
    </w:p>
    <w:p>
      <w:pPr>
        <w:pStyle w:val="ListBullet"/>
      </w:pPr>
      <w:r>
        <w:rPr>
          <w:rFonts w:ascii="微软雅黑" w:hAnsi="微软雅黑" w:eastAsia="微软雅黑" w:cs="微软雅黑"/>
        </w:rPr>
        <w:t>[5] 界面新闻｜</w:t>
      </w:r>
      <w:hyperlink r:id="rId15">
        <w:r>
          <w:rPr>
            <w:rFonts w:ascii="微软雅黑" w:hAnsi="微软雅黑" w:eastAsia="微软雅黑" w:cs="微软雅黑"/>
            <w:color w:val="087E89"/>
          </w:rPr>
          <w:t>中国首次管控光伏技术和设备出口</w:t>
        </w:r>
      </w:hyperlink>
      <w:r>
        <w:rPr>
          <w:rFonts w:ascii="微软雅黑" w:hAnsi="微软雅黑" w:eastAsia="微软雅黑" w:cs="微软雅黑"/>
        </w:rPr>
      </w:r>
    </w:p>
    <w:p>
      <w:pPr>
        <w:spacing w:after="0" w:line="20" w:lineRule="exact"/>
      </w:pPr>
      <w:bookmarkStart w:id="6" w:name="source-23115"/>
      <w:bookmarkEnd w:id="6" w:name="source-23115"/>
    </w:p>
    <w:p>
      <w:pPr>
        <w:pStyle w:val="ListBullet"/>
      </w:pPr>
      <w:r>
        <w:rPr>
          <w:rFonts w:ascii="微软雅黑" w:hAnsi="微软雅黑" w:eastAsia="微软雅黑" w:cs="微软雅黑"/>
        </w:rPr>
        <w:t>[6] Solarbe(光伏网)｜</w:t>
      </w:r>
      <w:hyperlink r:id="rId16">
        <w:r>
          <w:rPr>
            <w:rFonts w:ascii="微软雅黑" w:hAnsi="微软雅黑" w:eastAsia="微软雅黑" w:cs="微软雅黑"/>
            <w:color w:val="087E89"/>
          </w:rPr>
          <w:t>我国拟禁止多项光伏技术出口!</w:t>
        </w:r>
      </w:hyperlink>
      <w:r>
        <w:rPr>
          <w:rFonts w:ascii="微软雅黑" w:hAnsi="微软雅黑" w:eastAsia="微软雅黑" w:cs="微软雅黑"/>
        </w:rPr>
      </w:r>
    </w:p>
    <w:p>
      <w:pPr>
        <w:spacing w:after="0" w:line="20" w:lineRule="exact"/>
      </w:pPr>
      <w:bookmarkStart w:id="7" w:name="source-23120"/>
      <w:bookmarkEnd w:id="7" w:name="source-23120"/>
    </w:p>
    <w:p>
      <w:pPr>
        <w:pStyle w:val="ListBullet"/>
      </w:pPr>
      <w:r>
        <w:rPr>
          <w:rFonts w:ascii="微软雅黑" w:hAnsi="微软雅黑" w:eastAsia="微软雅黑" w:cs="微软雅黑"/>
        </w:rPr>
        <w:t>[7] Mysteel｜</w:t>
      </w:r>
      <w:hyperlink r:id="rId17">
        <w:r>
          <w:rPr>
            <w:rFonts w:ascii="微软雅黑" w:hAnsi="微软雅黑" w:eastAsia="微软雅黑" w:cs="微软雅黑"/>
            <w:color w:val="087E89"/>
          </w:rPr>
          <w:t>商务部、科技部拟修订《中国禁止出口限制出口技术目录》，拟增列光伏领域12项技术</w:t>
        </w:r>
      </w:hyperlink>
      <w:r>
        <w:rPr>
          <w:rFonts w:ascii="微软雅黑" w:hAnsi="微软雅黑" w:eastAsia="微软雅黑" w:cs="微软雅黑"/>
        </w:rPr>
      </w:r>
    </w:p>
    <w:p>
      <w:pPr>
        <w:spacing w:after="0" w:line="20" w:lineRule="exact"/>
      </w:pPr>
      <w:bookmarkStart w:id="8" w:name="source-23363"/>
      <w:bookmarkEnd w:id="8" w:name="source-23363"/>
    </w:p>
    <w:p>
      <w:pPr>
        <w:pStyle w:val="ListBullet"/>
      </w:pPr>
      <w:r>
        <w:rPr>
          <w:rFonts w:ascii="微软雅黑" w:hAnsi="微软雅黑" w:eastAsia="微软雅黑" w:cs="微软雅黑"/>
        </w:rPr>
        <w:t>[8] 中国中煤能源集团｜</w:t>
      </w:r>
      <w:hyperlink r:id="rId18">
        <w:r>
          <w:rPr>
            <w:rFonts w:ascii="微软雅黑" w:hAnsi="微软雅黑" w:eastAsia="微软雅黑" w:cs="微软雅黑"/>
            <w:color w:val="087E89"/>
          </w:rPr>
          <w:t>2025年煤炭采选业科技经费投入211.7亿元</w:t>
        </w:r>
      </w:hyperlink>
      <w:r>
        <w:rPr>
          <w:rFonts w:ascii="微软雅黑" w:hAnsi="微软雅黑" w:eastAsia="微软雅黑" w:cs="微软雅黑"/>
        </w:rPr>
      </w:r>
    </w:p>
    <w:p>
      <w:pPr>
        <w:spacing w:after="0" w:line="20" w:lineRule="exact"/>
      </w:pPr>
      <w:bookmarkStart w:id="9" w:name="source-22947"/>
      <w:bookmarkEnd w:id="9" w:name="source-22947"/>
    </w:p>
    <w:p>
      <w:pPr>
        <w:pStyle w:val="ListBullet"/>
      </w:pPr>
      <w:r>
        <w:rPr>
          <w:rFonts w:ascii="微软雅黑" w:hAnsi="微软雅黑" w:eastAsia="微软雅黑" w:cs="微软雅黑"/>
        </w:rPr>
        <w:t>[9] 中国能源网｜</w:t>
      </w:r>
      <w:hyperlink r:id="rId19">
        <w:r>
          <w:rPr>
            <w:rFonts w:ascii="微软雅黑" w:hAnsi="微软雅黑" w:eastAsia="微软雅黑" w:cs="微软雅黑"/>
            <w:color w:val="087E89"/>
          </w:rPr>
          <w:t>2025年煤炭采选业科技经费投入211.7亿元 投入强度0.81%</w:t>
        </w:r>
      </w:hyperlink>
      <w:r>
        <w:rPr>
          <w:rFonts w:ascii="微软雅黑" w:hAnsi="微软雅黑" w:eastAsia="微软雅黑" w:cs="微软雅黑"/>
        </w:rPr>
      </w:r>
    </w:p>
    <w:p>
      <w:pPr>
        <w:spacing w:after="0" w:line="20" w:lineRule="exact"/>
      </w:pPr>
      <w:bookmarkStart w:id="10" w:name="source-23321"/>
      <w:bookmarkEnd w:id="10" w:name="source-23321"/>
    </w:p>
    <w:p>
      <w:pPr>
        <w:pStyle w:val="ListBullet"/>
      </w:pPr>
      <w:r>
        <w:rPr>
          <w:rFonts w:ascii="微软雅黑" w:hAnsi="微软雅黑" w:eastAsia="微软雅黑" w:cs="微软雅黑"/>
        </w:rPr>
        <w:t>[10] 中国能源新闻网｜</w:t>
      </w:r>
      <w:hyperlink r:id="rId20">
        <w:r>
          <w:rPr>
            <w:rFonts w:ascii="微软雅黑" w:hAnsi="微软雅黑" w:eastAsia="微软雅黑" w:cs="微软雅黑"/>
            <w:color w:val="087E89"/>
          </w:rPr>
          <w:t>光伏多晶硅、硅片、电池制备工艺及设备被列入禁止出口、限制出口目录</w:t>
        </w:r>
      </w:hyperlink>
      <w:r>
        <w:rPr>
          <w:rFonts w:ascii="微软雅黑" w:hAnsi="微软雅黑" w:eastAsia="微软雅黑" w:cs="微软雅黑"/>
        </w:rPr>
      </w:r>
    </w:p>
    <w:p>
      <w:pPr>
        <w:spacing w:after="0" w:line="20" w:lineRule="exact"/>
      </w:pPr>
      <w:bookmarkStart w:id="11" w:name="source-23293"/>
      <w:bookmarkEnd w:id="11" w:name="source-23293"/>
    </w:p>
    <w:p>
      <w:pPr>
        <w:pStyle w:val="ListBullet"/>
      </w:pPr>
      <w:r>
        <w:rPr>
          <w:rFonts w:ascii="微软雅黑" w:hAnsi="微软雅黑" w:eastAsia="微软雅黑" w:cs="微软雅黑"/>
        </w:rPr>
        <w:t>[11] 美国能源信息署｜</w:t>
      </w:r>
      <w:hyperlink r:id="rId21">
        <w:r>
          <w:rPr>
            <w:rFonts w:ascii="微软雅黑" w:hAnsi="微软雅黑" w:eastAsia="微软雅黑" w:cs="微软雅黑"/>
            <w:color w:val="087E89"/>
          </w:rPr>
          <w:t>税收抵免到期后，混合动力汽车销量上升，而纯电动汽车销量仍较低</w:t>
        </w:r>
      </w:hyperlink>
      <w:r>
        <w:rPr>
          <w:rFonts w:ascii="微软雅黑" w:hAnsi="微软雅黑" w:eastAsia="微软雅黑" w:cs="微软雅黑"/>
        </w:rPr>
      </w:r>
    </w:p>
    <w:p>
      <w:pPr>
        <w:spacing w:after="0" w:line="20" w:lineRule="exact"/>
      </w:pPr>
      <w:bookmarkStart w:id="12" w:name="source-23158"/>
      <w:bookmarkEnd w:id="12" w:name="source-23158"/>
    </w:p>
    <w:p>
      <w:pPr>
        <w:pStyle w:val="ListBullet"/>
      </w:pPr>
      <w:r>
        <w:rPr>
          <w:rFonts w:ascii="微软雅黑" w:hAnsi="微软雅黑" w:eastAsia="微软雅黑" w:cs="微软雅黑"/>
        </w:rPr>
        <w:t>[12] 英国天然气与电力市场办公室｜</w:t>
      </w:r>
      <w:hyperlink r:id="rId22">
        <w:r>
          <w:rPr>
            <w:rFonts w:ascii="微软雅黑" w:hAnsi="微软雅黑" w:eastAsia="微软雅黑" w:cs="微软雅黑"/>
            <w:color w:val="087E89"/>
          </w:rPr>
          <w:t>Ofgem 为重大电网升级项目解锁资金，同时为消费者节省超过 £60 million（6000万英镑）</w:t>
        </w:r>
      </w:hyperlink>
      <w:r>
        <w:rPr>
          <w:rFonts w:ascii="微软雅黑" w:hAnsi="微软雅黑" w:eastAsia="微软雅黑" w:cs="微软雅黑"/>
        </w:rPr>
      </w:r>
    </w:p>
    <w:p>
      <w:pPr>
        <w:spacing w:after="0" w:line="20" w:lineRule="exact"/>
      </w:pPr>
      <w:bookmarkStart w:id="13" w:name="source-23360"/>
      <w:bookmarkEnd w:id="13" w:name="source-23360"/>
    </w:p>
    <w:p>
      <w:pPr>
        <w:pStyle w:val="ListBullet"/>
      </w:pPr>
      <w:r>
        <w:rPr>
          <w:rFonts w:ascii="微软雅黑" w:hAnsi="微软雅黑" w:eastAsia="微软雅黑" w:cs="微软雅黑"/>
        </w:rPr>
        <w:t>[13] 世界核新闻｜</w:t>
      </w:r>
      <w:hyperlink r:id="rId23">
        <w:r>
          <w:rPr>
            <w:rFonts w:ascii="微软雅黑" w:hAnsi="微软雅黑" w:eastAsia="微软雅黑" w:cs="微软雅黑"/>
            <w:color w:val="087E89"/>
          </w:rPr>
          <w:t>俄罗斯原子能集团与印度尼西亚签署浮动式核电协议</w:t>
        </w:r>
      </w:hyperlink>
      <w:r>
        <w:rPr>
          <w:rFonts w:ascii="微软雅黑" w:hAnsi="微软雅黑" w:eastAsia="微软雅黑" w:cs="微软雅黑"/>
        </w:rPr>
      </w:r>
    </w:p>
    <w:p>
      <w:pPr>
        <w:spacing w:after="0" w:line="20" w:lineRule="exact"/>
      </w:pPr>
      <w:bookmarkStart w:id="14" w:name="source-23339"/>
      <w:bookmarkEnd w:id="14" w:name="source-23339"/>
    </w:p>
    <w:p>
      <w:pPr>
        <w:pStyle w:val="ListBullet"/>
      </w:pPr>
      <w:r>
        <w:rPr>
          <w:rFonts w:ascii="微软雅黑" w:hAnsi="微软雅黑" w:eastAsia="微软雅黑" w:cs="微软雅黑"/>
        </w:rPr>
        <w:t>[14] 中国能源网｜</w:t>
      </w:r>
      <w:hyperlink r:id="rId24">
        <w:r>
          <w:rPr>
            <w:rFonts w:ascii="微软雅黑" w:hAnsi="微软雅黑" w:eastAsia="微软雅黑" w:cs="微软雅黑"/>
            <w:color w:val="087E89"/>
          </w:rPr>
          <w:t>国家多部委亲赴山西：要求将煤炭产量提升至正常水平，促进煤炭市场平稳运行</w:t>
        </w:r>
      </w:hyperlink>
      <w:r>
        <w:rPr>
          <w:rFonts w:ascii="微软雅黑" w:hAnsi="微软雅黑" w:eastAsia="微软雅黑" w:cs="微软雅黑"/>
        </w:rPr>
      </w:r>
    </w:p>
    <w:p>
      <w:pPr>
        <w:spacing w:after="0" w:line="20" w:lineRule="exact"/>
      </w:pPr>
      <w:bookmarkStart w:id="15" w:name="source-23320"/>
      <w:bookmarkEnd w:id="15" w:name="source-23320"/>
    </w:p>
    <w:p>
      <w:pPr>
        <w:pStyle w:val="ListBullet"/>
      </w:pPr>
      <w:r>
        <w:rPr>
          <w:rFonts w:ascii="微软雅黑" w:hAnsi="微软雅黑" w:eastAsia="微软雅黑" w:cs="微软雅黑"/>
        </w:rPr>
        <w:t>[15] 中国能源新闻网｜</w:t>
      </w:r>
      <w:hyperlink r:id="rId25">
        <w:r>
          <w:rPr>
            <w:rFonts w:ascii="微软雅黑" w:hAnsi="微软雅黑" w:eastAsia="微软雅黑" w:cs="微软雅黑"/>
            <w:color w:val="087E89"/>
          </w:rPr>
          <w:t>马斯克：中国对石油的依赖正在快速下降</w:t>
        </w:r>
      </w:hyperlink>
      <w:r>
        <w:rPr>
          <w:rFonts w:ascii="微软雅黑" w:hAnsi="微软雅黑" w:eastAsia="微软雅黑" w:cs="微软雅黑"/>
        </w:rPr>
      </w:r>
    </w:p>
    <w:p>
      <w:pPr>
        <w:spacing w:after="0" w:line="20" w:lineRule="exact"/>
      </w:pPr>
      <w:bookmarkStart w:id="16" w:name="source-23301"/>
      <w:bookmarkEnd w:id="16" w:name="source-23301"/>
    </w:p>
    <w:p>
      <w:pPr>
        <w:pStyle w:val="ListBullet"/>
      </w:pPr>
      <w:r>
        <w:rPr>
          <w:rFonts w:ascii="微软雅黑" w:hAnsi="微软雅黑" w:eastAsia="微软雅黑" w:cs="微软雅黑"/>
        </w:rPr>
        <w:t>[16] 英国天然气与电力市场办公室｜</w:t>
      </w:r>
      <w:hyperlink r:id="rId26">
        <w:r>
          <w:rPr>
            <w:rFonts w:ascii="微软雅黑" w:hAnsi="微软雅黑" w:eastAsia="微软雅黑" w:cs="微软雅黑"/>
            <w:color w:val="087E89"/>
          </w:rPr>
          <w:t>关于独立Eversheds调查以及英国天然气与电力市场办公室（Ofgem）对极端高温期间能源系统运营情况技术审查的进展</w:t>
        </w:r>
      </w:hyperlink>
      <w:r>
        <w:rPr>
          <w:rFonts w:ascii="微软雅黑" w:hAnsi="微软雅黑" w:eastAsia="微软雅黑" w:cs="微软雅黑"/>
        </w:rPr>
      </w:r>
    </w:p>
    <w:p>
      <w:pPr>
        <w:spacing w:after="0" w:line="20" w:lineRule="exact"/>
      </w:pPr>
      <w:bookmarkStart w:id="17" w:name="source-23255"/>
      <w:bookmarkEnd w:id="17" w:name="source-23255"/>
    </w:p>
    <w:p>
      <w:pPr>
        <w:pStyle w:val="ListBullet"/>
      </w:pPr>
      <w:r>
        <w:rPr>
          <w:rFonts w:ascii="微软雅黑" w:hAnsi="微软雅黑" w:eastAsia="微软雅黑" w:cs="微软雅黑"/>
        </w:rPr>
        <w:t>[17] Power Technology｜</w:t>
      </w:r>
      <w:hyperlink r:id="rId27">
        <w:r>
          <w:rPr>
            <w:rFonts w:ascii="微软雅黑" w:hAnsi="微软雅黑" w:eastAsia="微软雅黑" w:cs="微软雅黑"/>
            <w:color w:val="087E89"/>
          </w:rPr>
          <w:t>976兆瓦根纳克（Gennaker）风电项目安装的海上变电站</w:t>
        </w:r>
      </w:hyperlink>
      <w:r>
        <w:rPr>
          <w:rFonts w:ascii="微软雅黑" w:hAnsi="微软雅黑" w:eastAsia="微软雅黑" w:cs="微软雅黑"/>
        </w:rPr>
      </w:r>
    </w:p>
    <w:p>
      <w:pPr>
        <w:spacing w:after="0" w:line="20" w:lineRule="exact"/>
      </w:pPr>
      <w:bookmarkStart w:id="18" w:name="source-23119"/>
      <w:bookmarkEnd w:id="18" w:name="source-23119"/>
    </w:p>
    <w:p>
      <w:pPr>
        <w:pStyle w:val="ListBullet"/>
      </w:pPr>
      <w:r>
        <w:rPr>
          <w:rFonts w:ascii="微软雅黑" w:hAnsi="微软雅黑" w:eastAsia="微软雅黑" w:cs="微软雅黑"/>
        </w:rPr>
        <w:t>[18] 界面新闻｜</w:t>
      </w:r>
      <w:hyperlink r:id="rId28">
        <w:r>
          <w:rPr>
            <w:rFonts w:ascii="微软雅黑" w:hAnsi="微软雅黑" w:eastAsia="微软雅黑" w:cs="微软雅黑"/>
            <w:color w:val="087E89"/>
          </w:rPr>
          <w:t>【深度】卖一度电，亏一度钱？售电公司困在批零倒挂里</w:t>
        </w:r>
      </w:hyperlink>
      <w:r>
        <w:rPr>
          <w:rFonts w:ascii="微软雅黑" w:hAnsi="微软雅黑" w:eastAsia="微软雅黑" w:cs="微软雅黑"/>
        </w:rPr>
      </w:r>
    </w:p>
    <w:p>
      <w:pPr>
        <w:spacing w:after="0" w:line="20" w:lineRule="exact"/>
      </w:pPr>
      <w:bookmarkStart w:id="19" w:name="source-23042"/>
      <w:bookmarkEnd w:id="19" w:name="source-23042"/>
    </w:p>
    <w:p>
      <w:pPr>
        <w:pStyle w:val="ListBullet"/>
      </w:pPr>
      <w:r>
        <w:rPr>
          <w:rFonts w:ascii="微软雅黑" w:hAnsi="微软雅黑" w:eastAsia="微软雅黑" w:cs="微软雅黑"/>
        </w:rPr>
        <w:t>[19] 中国能源新闻网｜</w:t>
      </w:r>
      <w:hyperlink r:id="rId29">
        <w:r>
          <w:rPr>
            <w:rFonts w:ascii="微软雅黑" w:hAnsi="微软雅黑" w:eastAsia="微软雅黑" w:cs="微软雅黑"/>
            <w:color w:val="087E89"/>
          </w:rPr>
          <w:t>广东发布新能源就近消纳价格政策</w:t>
        </w:r>
      </w:hyperlink>
      <w:r>
        <w:rPr>
          <w:rFonts w:ascii="微软雅黑" w:hAnsi="微软雅黑" w:eastAsia="微软雅黑" w:cs="微软雅黑"/>
        </w:rPr>
      </w:r>
    </w:p>
    <w:p>
      <w:pPr>
        <w:spacing w:after="0" w:line="20" w:lineRule="exact"/>
      </w:pPr>
      <w:bookmarkStart w:id="20" w:name="source-22962"/>
      <w:bookmarkEnd w:id="20" w:name="source-22962"/>
    </w:p>
    <w:p>
      <w:pPr>
        <w:pStyle w:val="ListBullet"/>
      </w:pPr>
      <w:r>
        <w:rPr>
          <w:rFonts w:ascii="微软雅黑" w:hAnsi="微软雅黑" w:eastAsia="微软雅黑" w:cs="微软雅黑"/>
        </w:rPr>
        <w:t>[20] 经济日报｜</w:t>
      </w:r>
      <w:hyperlink r:id="rId30">
        <w:r>
          <w:rPr>
            <w:rFonts w:ascii="微软雅黑" w:hAnsi="微软雅黑" w:eastAsia="微软雅黑" w:cs="微软雅黑"/>
            <w:color w:val="087E89"/>
          </w:rPr>
          <w:t>新能源新材料政产学研高级别会议在内蒙古鄂尔多斯召开</w:t>
        </w:r>
      </w:hyperlink>
      <w:r>
        <w:rPr>
          <w:rFonts w:ascii="微软雅黑" w:hAnsi="微软雅黑" w:eastAsia="微软雅黑" w:cs="微软雅黑"/>
        </w:rPr>
      </w:r>
    </w:p>
    <w:p>
      <w:pPr>
        <w:spacing w:after="0" w:line="20" w:lineRule="exact"/>
      </w:pPr>
      <w:bookmarkStart w:id="21" w:name="source-23482"/>
      <w:bookmarkEnd w:id="21" w:name="source-23482"/>
    </w:p>
    <w:p>
      <w:pPr>
        <w:pStyle w:val="ListBullet"/>
      </w:pPr>
      <w:r>
        <w:rPr>
          <w:rFonts w:ascii="微软雅黑" w:hAnsi="微软雅黑" w:eastAsia="微软雅黑" w:cs="微软雅黑"/>
        </w:rPr>
        <w:t>[21] 美国能源部｜</w:t>
      </w:r>
      <w:hyperlink r:id="rId31">
        <w:r>
          <w:rPr>
            <w:rFonts w:ascii="微软雅黑" w:hAnsi="微软雅黑" w:eastAsia="微软雅黑" w:cs="微软雅黑"/>
            <w:color w:val="087E89"/>
          </w:rPr>
          <w:t>能源部推进“宪法管线”项目，获得《国防生产法案》资金4200万美元（$ 42000000）</w:t>
        </w:r>
      </w:hyperlink>
      <w:r>
        <w:rPr>
          <w:rFonts w:ascii="微软雅黑" w:hAnsi="微软雅黑" w:eastAsia="微软雅黑" w:cs="微软雅黑"/>
        </w:rPr>
      </w:r>
    </w:p>
    <w:p>
      <w:pPr>
        <w:spacing w:after="0" w:line="20" w:lineRule="exact"/>
      </w:pPr>
      <w:bookmarkStart w:id="22" w:name="source-23297"/>
      <w:bookmarkEnd w:id="22" w:name="source-23297"/>
    </w:p>
    <w:p>
      <w:pPr>
        <w:pStyle w:val="ListBullet"/>
      </w:pPr>
      <w:r>
        <w:rPr>
          <w:rFonts w:ascii="微软雅黑" w:hAnsi="微软雅黑" w:eastAsia="微软雅黑" w:cs="微软雅黑"/>
        </w:rPr>
        <w:t>[22] 印度尼西亚能源与矿产资源部官网｜</w:t>
      </w:r>
      <w:hyperlink r:id="rId32">
        <w:r>
          <w:rPr>
            <w:rFonts w:ascii="微软雅黑" w:hAnsi="微软雅黑" w:eastAsia="微软雅黑" w:cs="微软雅黑"/>
            <w:color w:val="087E89"/>
          </w:rPr>
          <w:t>七艘船只被部署，Bahlil将巴厘岛BBM储备加强至15天</w:t>
        </w:r>
      </w:hyperlink>
      <w:r>
        <w:rPr>
          <w:rFonts w:ascii="微软雅黑" w:hAnsi="微软雅黑" w:eastAsia="微软雅黑" w:cs="微软雅黑"/>
        </w:rPr>
      </w:r>
    </w:p>
    <w:p>
      <w:pPr>
        <w:spacing w:after="0" w:line="20" w:lineRule="exact"/>
      </w:pPr>
      <w:bookmarkStart w:id="23" w:name="source-23298"/>
      <w:bookmarkEnd w:id="23" w:name="source-23298"/>
    </w:p>
    <w:p>
      <w:pPr>
        <w:pStyle w:val="ListBullet"/>
      </w:pPr>
      <w:r>
        <w:rPr>
          <w:rFonts w:ascii="微软雅黑" w:hAnsi="微软雅黑" w:eastAsia="微软雅黑" w:cs="微软雅黑"/>
        </w:rPr>
        <w:t>[23] 印度尼西亚能源与矿产资源部官网｜</w:t>
      </w:r>
      <w:hyperlink r:id="rId33">
        <w:r>
          <w:rPr>
            <w:rFonts w:ascii="微软雅黑" w:hAnsi="微软雅黑" w:eastAsia="微软雅黑" w:cs="微软雅黑"/>
            <w:color w:val="087E89"/>
          </w:rPr>
          <w:t>巴希尔确保国家燃料库存安全，并加强向各地的分配</w:t>
        </w:r>
      </w:hyperlink>
      <w:r>
        <w:rPr>
          <w:rFonts w:ascii="微软雅黑" w:hAnsi="微软雅黑" w:eastAsia="微软雅黑" w:cs="微软雅黑"/>
        </w:rPr>
      </w:r>
    </w:p>
    <w:p>
      <w:pPr>
        <w:spacing w:after="0" w:line="20" w:lineRule="exact"/>
      </w:pPr>
      <w:bookmarkStart w:id="24" w:name="source-22895"/>
      <w:bookmarkEnd w:id="24" w:name="source-22895"/>
    </w:p>
    <w:p>
      <w:pPr>
        <w:pStyle w:val="ListBullet"/>
      </w:pPr>
      <w:r>
        <w:rPr>
          <w:rFonts w:ascii="微软雅黑" w:hAnsi="微软雅黑" w:eastAsia="微软雅黑" w:cs="微软雅黑"/>
        </w:rPr>
        <w:t>[24] 国家管网集团｜</w:t>
      </w:r>
      <w:hyperlink r:id="rId34">
        <w:r>
          <w:rPr>
            <w:rFonts w:ascii="微软雅黑" w:hAnsi="微软雅黑" w:eastAsia="微软雅黑" w:cs="微软雅黑"/>
            <w:color w:val="087E89"/>
          </w:rPr>
          <w:t>氢能全链条产业化持续推进</w:t>
        </w:r>
      </w:hyperlink>
      <w:r>
        <w:rPr>
          <w:rFonts w:ascii="微软雅黑" w:hAnsi="微软雅黑" w:eastAsia="微软雅黑" w:cs="微软雅黑"/>
        </w:rPr>
      </w:r>
    </w:p>
    <w:p>
      <w:pPr>
        <w:spacing w:after="0" w:line="20" w:lineRule="exact"/>
      </w:pPr>
      <w:bookmarkStart w:id="25" w:name="source-23468"/>
      <w:bookmarkEnd w:id="25" w:name="source-23468"/>
    </w:p>
    <w:p>
      <w:pPr>
        <w:pStyle w:val="ListBullet"/>
      </w:pPr>
      <w:r>
        <w:rPr>
          <w:rFonts w:ascii="微软雅黑" w:hAnsi="微软雅黑" w:eastAsia="微软雅黑" w:cs="微软雅黑"/>
        </w:rPr>
        <w:t>[25] ITER官网（国际热核聚变实验堆计划）｜</w:t>
      </w:r>
      <w:hyperlink r:id="rId35">
        <w:r>
          <w:rPr>
            <w:rFonts w:ascii="微软雅黑" w:hAnsi="微软雅黑" w:eastAsia="微软雅黑" w:cs="微软雅黑"/>
            <w:color w:val="087E89"/>
          </w:rPr>
          <w:t>欧洲首个生产装置建成</w:t>
        </w:r>
      </w:hyperlink>
      <w:r>
        <w:rPr>
          <w:rFonts w:ascii="微软雅黑" w:hAnsi="微软雅黑" w:eastAsia="微软雅黑" w:cs="微软雅黑"/>
        </w:rPr>
      </w:r>
    </w:p>
    <w:p>
      <w:pPr>
        <w:spacing w:after="0" w:line="20" w:lineRule="exact"/>
      </w:pPr>
      <w:bookmarkStart w:id="26" w:name="source-23446"/>
      <w:bookmarkEnd w:id="26" w:name="source-23446"/>
    </w:p>
    <w:p>
      <w:pPr>
        <w:pStyle w:val="ListBullet"/>
      </w:pPr>
      <w:r>
        <w:rPr>
          <w:rFonts w:ascii="微软雅黑" w:hAnsi="微软雅黑" w:eastAsia="微软雅黑" w:cs="微软雅黑"/>
        </w:rPr>
        <w:t>[26] Bernama｜</w:t>
      </w:r>
      <w:hyperlink r:id="rId36">
        <w:r>
          <w:rPr>
            <w:rFonts w:ascii="微软雅黑" w:hAnsi="微软雅黑" w:eastAsia="微软雅黑" w:cs="微软雅黑"/>
            <w:color w:val="087E89"/>
          </w:rPr>
          <w:t>预计到2030年，数据中心峰值电力需求将达到8390兆瓦</w:t>
        </w:r>
      </w:hyperlink>
      <w:r>
        <w:rPr>
          <w:rFonts w:ascii="微软雅黑" w:hAnsi="微软雅黑" w:eastAsia="微软雅黑" w:cs="微软雅黑"/>
        </w:rPr>
      </w:r>
    </w:p>
    <w:sectPr w:rsidR="00FC693F" w:rsidRPr="0006063C" w:rsidSect="00034616">
      <w:footerReference w:type="default" r:id="rId10"/>
      <w:pgSz w:w="11906" w:h="16838"/>
      <w:pgMar w:top="1361" w:right="1417" w:bottom="1247" w:left="1417" w:header="720" w:footer="720" w:gutter="0"/>
      <w:cols w:space="720"/>
      <w:docGrid w:linePitch="360"/>
      <w:pgNumType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微软雅黑" w:hAnsi="微软雅黑" w:eastAsia="微软雅黑" w:cs="微软雅黑"/>
      </w:rPr>
      <w:t xml:space="preserve">ENYINFO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微软雅黑" w:hAnsi="微软雅黑" w:hint="default" w:eastAsia="微软雅黑" w:cs="微软雅黑"/>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微软雅黑" w:hAnsi="微软雅黑" w:hint="default" w:eastAsia="微软雅黑" w:cs="微软雅黑"/>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微软雅黑" w:hAnsi="微软雅黑" w:hint="default" w:eastAsia="微软雅黑" w:cs="微软雅黑"/>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微软雅黑" w:hAnsi="微软雅黑" w:hint="default" w:eastAsia="微软雅黑" w:cs="微软雅黑"/>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微软雅黑" w:hAnsi="微软雅黑" w:eastAsia="微软雅黑" w:cs="微软雅黑"/>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48" w:lineRule="auto" w:after="180"/>
    </w:pPr>
    <w:rPr>
      <w:rFonts w:ascii="微软雅黑" w:hAnsi="微软雅黑" w:eastAsia="微软雅黑" w:cs="微软雅黑"/>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微软雅黑" w:hAnsi="微软雅黑" w:eastAsia="微软雅黑" w:cs="微软雅黑"/>
    </w:rPr>
  </w:style>
  <w:style w:type="character" w:customStyle="1" w:styleId="HeaderChar">
    <w:name w:val="Header Char"/>
    <w:basedOn w:val="DefaultParagraphFont"/>
    <w:link w:val="Header"/>
    <w:uiPriority w:val="99"/>
    <w:rsid w:val="00E618BF"/>
    <w:rPr>
      <w:rFonts w:ascii="微软雅黑" w:hAnsi="微软雅黑" w:eastAsia="微软雅黑" w:cs="微软雅黑"/>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微软雅黑" w:hAnsi="微软雅黑" w:eastAsia="微软雅黑" w:cs="微软雅黑"/>
    </w:rPr>
  </w:style>
  <w:style w:type="character" w:customStyle="1" w:styleId="FooterChar">
    <w:name w:val="Footer Char"/>
    <w:basedOn w:val="DefaultParagraphFont"/>
    <w:link w:val="Footer"/>
    <w:uiPriority w:val="99"/>
    <w:rsid w:val="00E618BF"/>
    <w:rPr>
      <w:rFonts w:ascii="微软雅黑" w:hAnsi="微软雅黑" w:eastAsia="微软雅黑" w:cs="微软雅黑"/>
    </w:rPr>
  </w:style>
  <w:style w:type="paragraph" w:styleId="Heading1">
    <w:name w:val="heading 1"/>
    <w:basedOn w:val="Normal"/>
    <w:next w:val="Normal"/>
    <w:link w:val="Heading1Char"/>
    <w:uiPriority w:val="9"/>
    <w:qFormat/>
    <w:rsid w:val="00FC693F"/>
    <w:pPr>
      <w:keepNext/>
      <w:keepLines/>
      <w:spacing w:before="480" w:after="0"/>
      <w:outlineLvl w:val="0"/>
    </w:pPr>
    <w:rPr>
      <w:rFonts w:ascii="微软雅黑" w:hAnsi="微软雅黑" w:eastAsia="微软雅黑" w:cs="微软雅黑"/>
      <w:b/>
      <w:bCs/>
      <w:color w:val="154957"/>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微软雅黑" w:hAnsi="微软雅黑" w:eastAsia="微软雅黑" w:cs="微软雅黑"/>
      <w:b/>
      <w:bCs/>
      <w:color w:val="154957"/>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微软雅黑" w:hAnsi="微软雅黑" w:eastAsia="微软雅黑" w:cs="微软雅黑"/>
      <w:b/>
      <w:bCs/>
      <w:color w:val="154957"/>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微软雅黑" w:hAnsi="微软雅黑" w:eastAsia="微软雅黑" w:cs="微软雅黑"/>
      <w:b/>
      <w:bCs/>
      <w:i/>
      <w:iCs/>
      <w:color w:val="154957"/>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微软雅黑" w:hAnsi="微软雅黑" w:eastAsia="微软雅黑" w:cs="微软雅黑"/>
      <w:color w:val="154957"/>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微软雅黑" w:hAnsi="微软雅黑" w:eastAsia="微软雅黑" w:cs="微软雅黑"/>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微软雅黑" w:hAnsi="微软雅黑" w:eastAsia="微软雅黑" w:cs="微软雅黑"/>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微软雅黑" w:hAnsi="微软雅黑" w:eastAsia="微软雅黑" w:cs="微软雅黑"/>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微软雅黑" w:hAnsi="微软雅黑" w:eastAsia="微软雅黑" w:cs="微软雅黑"/>
      <w:i/>
      <w:iCs/>
      <w:color w:val="404040" w:themeColor="text1" w:themeTint="BF"/>
      <w:sz w:val="20"/>
      <w:szCs w:val="20"/>
    </w:rPr>
  </w:style>
  <w:style w:type="character" w:default="1" w:styleId="DefaultParagraphFont">
    <w:name w:val="Default Paragraph Font"/>
    <w:uiPriority w:val="1"/>
    <w:semiHidden/>
    <w:unhideWhenUsed/>
    <w:rPr>
      <w:rFonts w:ascii="微软雅黑" w:hAnsi="微软雅黑" w:eastAsia="微软雅黑" w:cs="微软雅黑"/>
    </w:rPr>
  </w:style>
  <w:style w:type="table" w:default="1" w:styleId="TableNormal">
    <w:name w:val="Normal Table"/>
    <w:uiPriority w:val="99"/>
    <w:semiHidden/>
    <w:unhideWhenUsed/>
    <w:rPr>
      <w:rFonts w:ascii="微软雅黑" w:hAnsi="微软雅黑" w:eastAsia="微软雅黑" w:cs="微软雅黑"/>
    </w:rPr>
    <w:tblPr>
      <w:tblInd w:w="0" w:type="dxa"/>
      <w:tblCellMar>
        <w:top w:w="0" w:type="dxa"/>
        <w:left w:w="108" w:type="dxa"/>
        <w:bottom w:w="0" w:type="dxa"/>
        <w:right w:w="108" w:type="dxa"/>
      </w:tblCellMar>
    </w:tblPr>
  </w:style>
  <w:style w:type="numbering" w:default="1" w:styleId="NoList">
    <w:name w:val="No List"/>
    <w:uiPriority w:val="99"/>
    <w:semiHidden/>
    <w:unhideWhenUsed/>
    <w:rPr>
      <w:rFonts w:ascii="微软雅黑" w:hAnsi="微软雅黑" w:eastAsia="微软雅黑" w:cs="微软雅黑"/>
    </w:rPr>
  </w:style>
  <w:style w:type="paragraph" w:styleId="NoSpacing">
    <w:name w:val="No Spacing"/>
    <w:uiPriority w:val="1"/>
    <w:qFormat/>
    <w:rsid w:val="00FC693F"/>
    <w:pPr>
      <w:spacing w:after="0" w:line="240" w:lineRule="auto"/>
    </w:pPr>
    <w:rPr>
      <w:rFonts w:ascii="微软雅黑" w:hAnsi="微软雅黑" w:eastAsia="微软雅黑" w:cs="微软雅黑"/>
    </w:rPr>
  </w:style>
  <w:style w:type="character" w:customStyle="1" w:styleId="Heading1Char">
    <w:name w:val="Heading 1 Char"/>
    <w:basedOn w:val="DefaultParagraphFont"/>
    <w:link w:val="Heading1"/>
    <w:uiPriority w:val="9"/>
    <w:rsid w:val="00FC693F"/>
    <w:rPr>
      <w:rFonts w:ascii="微软雅黑" w:hAnsi="微软雅黑" w:eastAsia="微软雅黑" w:cs="微软雅黑"/>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微软雅黑" w:hAnsi="微软雅黑" w:eastAsia="微软雅黑" w:cs="微软雅黑"/>
      <w:b/>
      <w:bCs/>
      <w:color w:val="4F81BD" w:themeColor="accent1"/>
      <w:sz w:val="26"/>
      <w:szCs w:val="26"/>
    </w:rPr>
  </w:style>
  <w:style w:type="character" w:customStyle="1" w:styleId="Heading3Char">
    <w:name w:val="Heading 3 Char"/>
    <w:basedOn w:val="DefaultParagraphFont"/>
    <w:link w:val="Heading3"/>
    <w:uiPriority w:val="9"/>
    <w:rsid w:val="00FC693F"/>
    <w:rPr>
      <w:rFonts w:ascii="微软雅黑" w:hAnsi="微软雅黑" w:eastAsia="微软雅黑" w:cs="微软雅黑"/>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微软雅黑" w:hAnsi="微软雅黑" w:eastAsia="微软雅黑" w:cs="微软雅黑"/>
      <w:color w:val="000000"/>
      <w:spacing w:val="5"/>
      <w:kern w:val="28"/>
      <w:sz w:val="52"/>
      <w:szCs w:val="52"/>
    </w:rPr>
  </w:style>
  <w:style w:type="character" w:customStyle="1" w:styleId="TitleChar">
    <w:name w:val="Title Char"/>
    <w:basedOn w:val="DefaultParagraphFont"/>
    <w:link w:val="Title"/>
    <w:uiPriority w:val="10"/>
    <w:rsid w:val="00FC693F"/>
    <w:rPr>
      <w:rFonts w:ascii="微软雅黑" w:hAnsi="微软雅黑" w:eastAsia="微软雅黑" w:cs="微软雅黑"/>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微软雅黑" w:hAnsi="微软雅黑" w:eastAsia="微软雅黑" w:cs="微软雅黑"/>
      <w:i w:val="0"/>
      <w:iCs/>
      <w:color w:val="536976"/>
      <w:spacing w:val="15"/>
      <w:sz w:val="24"/>
      <w:szCs w:val="24"/>
    </w:rPr>
  </w:style>
  <w:style w:type="character" w:customStyle="1" w:styleId="SubtitleChar">
    <w:name w:val="Subtitle Char"/>
    <w:basedOn w:val="DefaultParagraphFont"/>
    <w:link w:val="Subtitle"/>
    <w:uiPriority w:val="11"/>
    <w:rsid w:val="00FC693F"/>
    <w:rPr>
      <w:rFonts w:ascii="微软雅黑" w:hAnsi="微软雅黑" w:eastAsia="微软雅黑" w:cs="微软雅黑"/>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微软雅黑" w:hAnsi="微软雅黑" w:eastAsia="微软雅黑" w:cs="微软雅黑"/>
    </w:rPr>
  </w:style>
  <w:style w:type="paragraph" w:styleId="BodyText">
    <w:name w:val="Body Text"/>
    <w:basedOn w:val="Normal"/>
    <w:link w:val="BodyTextChar"/>
    <w:uiPriority w:val="99"/>
    <w:unhideWhenUsed/>
    <w:rsid w:val="00AA1D8D"/>
    <w:pPr>
      <w:spacing w:after="120"/>
    </w:pPr>
    <w:rPr>
      <w:rFonts w:ascii="微软雅黑" w:hAnsi="微软雅黑" w:eastAsia="微软雅黑" w:cs="微软雅黑"/>
    </w:rPr>
  </w:style>
  <w:style w:type="character" w:customStyle="1" w:styleId="BodyTextChar">
    <w:name w:val="Body Text Char"/>
    <w:basedOn w:val="DefaultParagraphFont"/>
    <w:link w:val="BodyText"/>
    <w:uiPriority w:val="99"/>
    <w:rsid w:val="00AA1D8D"/>
    <w:rPr>
      <w:rFonts w:ascii="微软雅黑" w:hAnsi="微软雅黑" w:eastAsia="微软雅黑" w:cs="微软雅黑"/>
    </w:rPr>
  </w:style>
  <w:style w:type="paragraph" w:styleId="BodyText2">
    <w:name w:val="Body Text 2"/>
    <w:basedOn w:val="Normal"/>
    <w:link w:val="BodyText2Char"/>
    <w:uiPriority w:val="99"/>
    <w:unhideWhenUsed/>
    <w:rsid w:val="00AA1D8D"/>
    <w:pPr>
      <w:spacing w:after="120" w:line="480" w:lineRule="auto"/>
    </w:pPr>
    <w:rPr>
      <w:rFonts w:ascii="微软雅黑" w:hAnsi="微软雅黑" w:eastAsia="微软雅黑" w:cs="微软雅黑"/>
    </w:rPr>
  </w:style>
  <w:style w:type="character" w:customStyle="1" w:styleId="BodyText2Char">
    <w:name w:val="Body Text 2 Char"/>
    <w:basedOn w:val="DefaultParagraphFont"/>
    <w:link w:val="BodyText2"/>
    <w:uiPriority w:val="99"/>
    <w:rsid w:val="00AA1D8D"/>
    <w:rPr>
      <w:rFonts w:ascii="微软雅黑" w:hAnsi="微软雅黑" w:eastAsia="微软雅黑" w:cs="微软雅黑"/>
    </w:rPr>
  </w:style>
  <w:style w:type="paragraph" w:styleId="BodyText3">
    <w:name w:val="Body Text 3"/>
    <w:basedOn w:val="Normal"/>
    <w:link w:val="BodyText3Char"/>
    <w:uiPriority w:val="99"/>
    <w:unhideWhenUsed/>
    <w:rsid w:val="00AA1D8D"/>
    <w:pPr>
      <w:spacing w:after="120"/>
    </w:pPr>
    <w:rPr>
      <w:rFonts w:ascii="微软雅黑" w:hAnsi="微软雅黑" w:eastAsia="微软雅黑" w:cs="微软雅黑"/>
      <w:sz w:val="16"/>
      <w:szCs w:val="16"/>
    </w:rPr>
  </w:style>
  <w:style w:type="character" w:customStyle="1" w:styleId="BodyText3Char">
    <w:name w:val="Body Text 3 Char"/>
    <w:basedOn w:val="DefaultParagraphFont"/>
    <w:link w:val="BodyText3"/>
    <w:uiPriority w:val="99"/>
    <w:rsid w:val="00AA1D8D"/>
    <w:rPr>
      <w:rFonts w:ascii="微软雅黑" w:hAnsi="微软雅黑" w:eastAsia="微软雅黑" w:cs="微软雅黑"/>
      <w:sz w:val="16"/>
      <w:szCs w:val="16"/>
    </w:rPr>
  </w:style>
  <w:style w:type="paragraph" w:styleId="List">
    <w:name w:val="List"/>
    <w:basedOn w:val="Normal"/>
    <w:uiPriority w:val="99"/>
    <w:unhideWhenUsed/>
    <w:rsid w:val="00AA1D8D"/>
    <w:pPr>
      <w:ind w:left="360" w:hanging="360"/>
      <w:contextualSpacing/>
    </w:pPr>
    <w:rPr>
      <w:rFonts w:ascii="微软雅黑" w:hAnsi="微软雅黑" w:eastAsia="微软雅黑" w:cs="微软雅黑"/>
    </w:rPr>
  </w:style>
  <w:style w:type="paragraph" w:styleId="List2">
    <w:name w:val="List 2"/>
    <w:basedOn w:val="Normal"/>
    <w:uiPriority w:val="99"/>
    <w:unhideWhenUsed/>
    <w:rsid w:val="00326F90"/>
    <w:pPr>
      <w:ind w:left="720" w:hanging="360"/>
      <w:contextualSpacing/>
    </w:pPr>
    <w:rPr>
      <w:rFonts w:ascii="微软雅黑" w:hAnsi="微软雅黑" w:eastAsia="微软雅黑" w:cs="微软雅黑"/>
    </w:rPr>
  </w:style>
  <w:style w:type="paragraph" w:styleId="List3">
    <w:name w:val="List 3"/>
    <w:basedOn w:val="Normal"/>
    <w:uiPriority w:val="99"/>
    <w:unhideWhenUsed/>
    <w:rsid w:val="00326F90"/>
    <w:pPr>
      <w:ind w:left="1080" w:hanging="360"/>
      <w:contextualSpacing/>
    </w:pPr>
    <w:rPr>
      <w:rFonts w:ascii="微软雅黑" w:hAnsi="微软雅黑" w:eastAsia="微软雅黑" w:cs="微软雅黑"/>
    </w:rPr>
  </w:style>
  <w:style w:type="paragraph" w:styleId="ListBullet">
    <w:name w:val="List Bullet"/>
    <w:basedOn w:val="Normal"/>
    <w:uiPriority w:val="99"/>
    <w:unhideWhenUsed/>
    <w:rsid w:val="00326F90"/>
    <w:pPr>
      <w:numPr>
        <w:numId w:val="1"/>
      </w:numPr>
      <w:contextualSpacing/>
    </w:pPr>
    <w:rPr>
      <w:rFonts w:ascii="微软雅黑" w:hAnsi="微软雅黑" w:eastAsia="微软雅黑" w:cs="微软雅黑"/>
    </w:rPr>
  </w:style>
  <w:style w:type="paragraph" w:styleId="ListBullet2">
    <w:name w:val="List Bullet 2"/>
    <w:basedOn w:val="Normal"/>
    <w:uiPriority w:val="99"/>
    <w:unhideWhenUsed/>
    <w:rsid w:val="00326F90"/>
    <w:pPr>
      <w:numPr>
        <w:numId w:val="2"/>
      </w:numPr>
      <w:contextualSpacing/>
    </w:pPr>
    <w:rPr>
      <w:rFonts w:ascii="微软雅黑" w:hAnsi="微软雅黑" w:eastAsia="微软雅黑" w:cs="微软雅黑"/>
    </w:rPr>
  </w:style>
  <w:style w:type="paragraph" w:styleId="ListBullet3">
    <w:name w:val="List Bullet 3"/>
    <w:basedOn w:val="Normal"/>
    <w:uiPriority w:val="99"/>
    <w:unhideWhenUsed/>
    <w:rsid w:val="00326F90"/>
    <w:pPr>
      <w:numPr>
        <w:numId w:val="3"/>
      </w:numPr>
      <w:contextualSpacing/>
    </w:pPr>
    <w:rPr>
      <w:rFonts w:ascii="微软雅黑" w:hAnsi="微软雅黑" w:eastAsia="微软雅黑" w:cs="微软雅黑"/>
    </w:rPr>
  </w:style>
  <w:style w:type="paragraph" w:styleId="ListNumber">
    <w:name w:val="List Number"/>
    <w:basedOn w:val="Normal"/>
    <w:uiPriority w:val="99"/>
    <w:unhideWhenUsed/>
    <w:rsid w:val="00326F90"/>
    <w:pPr>
      <w:numPr>
        <w:numId w:val="5"/>
      </w:numPr>
      <w:contextualSpacing/>
    </w:pPr>
    <w:rPr>
      <w:rFonts w:ascii="微软雅黑" w:hAnsi="微软雅黑" w:eastAsia="微软雅黑" w:cs="微软雅黑"/>
    </w:rPr>
  </w:style>
  <w:style w:type="paragraph" w:styleId="ListNumber2">
    <w:name w:val="List Number 2"/>
    <w:basedOn w:val="Normal"/>
    <w:uiPriority w:val="99"/>
    <w:unhideWhenUsed/>
    <w:rsid w:val="0029639D"/>
    <w:pPr>
      <w:numPr>
        <w:numId w:val="6"/>
      </w:numPr>
      <w:contextualSpacing/>
    </w:pPr>
    <w:rPr>
      <w:rFonts w:ascii="微软雅黑" w:hAnsi="微软雅黑" w:eastAsia="微软雅黑" w:cs="微软雅黑"/>
    </w:rPr>
  </w:style>
  <w:style w:type="paragraph" w:styleId="ListNumber3">
    <w:name w:val="List Number 3"/>
    <w:basedOn w:val="Normal"/>
    <w:uiPriority w:val="99"/>
    <w:unhideWhenUsed/>
    <w:rsid w:val="0029639D"/>
    <w:pPr>
      <w:numPr>
        <w:numId w:val="7"/>
      </w:numPr>
      <w:contextualSpacing/>
    </w:pPr>
    <w:rPr>
      <w:rFonts w:ascii="微软雅黑" w:hAnsi="微软雅黑" w:eastAsia="微软雅黑" w:cs="微软雅黑"/>
    </w:rPr>
  </w:style>
  <w:style w:type="paragraph" w:styleId="ListContinue">
    <w:name w:val="List Continue"/>
    <w:basedOn w:val="Normal"/>
    <w:uiPriority w:val="99"/>
    <w:unhideWhenUsed/>
    <w:rsid w:val="0029639D"/>
    <w:pPr>
      <w:spacing w:after="120"/>
      <w:ind w:left="360"/>
      <w:contextualSpacing/>
    </w:pPr>
    <w:rPr>
      <w:rFonts w:ascii="微软雅黑" w:hAnsi="微软雅黑" w:eastAsia="微软雅黑" w:cs="微软雅黑"/>
    </w:rPr>
  </w:style>
  <w:style w:type="paragraph" w:styleId="ListContinue2">
    <w:name w:val="List Continue 2"/>
    <w:basedOn w:val="Normal"/>
    <w:uiPriority w:val="99"/>
    <w:unhideWhenUsed/>
    <w:rsid w:val="0029639D"/>
    <w:pPr>
      <w:spacing w:after="120"/>
      <w:ind w:left="720"/>
      <w:contextualSpacing/>
    </w:pPr>
    <w:rPr>
      <w:rFonts w:ascii="微软雅黑" w:hAnsi="微软雅黑" w:eastAsia="微软雅黑" w:cs="微软雅黑"/>
    </w:rPr>
  </w:style>
  <w:style w:type="paragraph" w:styleId="ListContinue3">
    <w:name w:val="List Continue 3"/>
    <w:basedOn w:val="Normal"/>
    <w:uiPriority w:val="99"/>
    <w:unhideWhenUsed/>
    <w:rsid w:val="0029639D"/>
    <w:pPr>
      <w:spacing w:after="120"/>
      <w:ind w:left="1080"/>
      <w:contextualSpacing/>
    </w:pPr>
    <w:rPr>
      <w:rFonts w:ascii="微软雅黑" w:hAnsi="微软雅黑" w:eastAsia="微软雅黑" w:cs="微软雅黑"/>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微软雅黑" w:hAnsi="微软雅黑" w:eastAsia="微软雅黑" w:cs="微软雅黑"/>
      <w:sz w:val="20"/>
      <w:szCs w:val="20"/>
    </w:rPr>
  </w:style>
  <w:style w:type="character" w:customStyle="1" w:styleId="MacroTextChar">
    <w:name w:val="Macro Text Char"/>
    <w:basedOn w:val="DefaultParagraphFont"/>
    <w:link w:val="MacroText"/>
    <w:uiPriority w:val="99"/>
    <w:rsid w:val="0029639D"/>
    <w:rPr>
      <w:rFonts w:ascii="微软雅黑" w:hAnsi="微软雅黑" w:eastAsia="微软雅黑" w:cs="微软雅黑"/>
      <w:sz w:val="20"/>
      <w:szCs w:val="20"/>
    </w:rPr>
  </w:style>
  <w:style w:type="paragraph" w:styleId="Quote">
    <w:name w:val="Quote"/>
    <w:basedOn w:val="Normal"/>
    <w:next w:val="Normal"/>
    <w:link w:val="QuoteChar"/>
    <w:uiPriority w:val="29"/>
    <w:qFormat/>
    <w:rsid w:val="00FC693F"/>
    <w:rPr>
      <w:rFonts w:ascii="微软雅黑" w:hAnsi="微软雅黑" w:eastAsia="微软雅黑" w:cs="微软雅黑"/>
      <w:i/>
      <w:iCs/>
      <w:color w:val="000000" w:themeColor="text1"/>
    </w:rPr>
  </w:style>
  <w:style w:type="character" w:customStyle="1" w:styleId="QuoteChar">
    <w:name w:val="Quote Char"/>
    <w:basedOn w:val="DefaultParagraphFont"/>
    <w:link w:val="Quote"/>
    <w:uiPriority w:val="29"/>
    <w:rsid w:val="00FC693F"/>
    <w:rPr>
      <w:rFonts w:ascii="微软雅黑" w:hAnsi="微软雅黑" w:eastAsia="微软雅黑" w:cs="微软雅黑"/>
      <w:i/>
      <w:iCs/>
      <w:color w:val="000000" w:themeColor="text1"/>
    </w:rPr>
  </w:style>
  <w:style w:type="character" w:customStyle="1" w:styleId="Heading4Char">
    <w:name w:val="Heading 4 Char"/>
    <w:basedOn w:val="DefaultParagraphFont"/>
    <w:link w:val="Heading4"/>
    <w:uiPriority w:val="9"/>
    <w:semiHidden/>
    <w:rsid w:val="00FC693F"/>
    <w:rPr>
      <w:rFonts w:ascii="微软雅黑" w:hAnsi="微软雅黑" w:eastAsia="微软雅黑" w:cs="微软雅黑"/>
      <w:b/>
      <w:bCs/>
      <w:i/>
      <w:iCs/>
      <w:color w:val="4F81BD" w:themeColor="accent1"/>
    </w:rPr>
  </w:style>
  <w:style w:type="character" w:customStyle="1" w:styleId="Heading5Char">
    <w:name w:val="Heading 5 Char"/>
    <w:basedOn w:val="DefaultParagraphFont"/>
    <w:link w:val="Heading5"/>
    <w:uiPriority w:val="9"/>
    <w:semiHidden/>
    <w:rsid w:val="00FC693F"/>
    <w:rPr>
      <w:rFonts w:ascii="微软雅黑" w:hAnsi="微软雅黑" w:eastAsia="微软雅黑" w:cs="微软雅黑"/>
      <w:color w:val="243F60" w:themeColor="accent1" w:themeShade="7F"/>
    </w:rPr>
  </w:style>
  <w:style w:type="character" w:customStyle="1" w:styleId="Heading6Char">
    <w:name w:val="Heading 6 Char"/>
    <w:basedOn w:val="DefaultParagraphFont"/>
    <w:link w:val="Heading6"/>
    <w:uiPriority w:val="9"/>
    <w:semiHidden/>
    <w:rsid w:val="00FC693F"/>
    <w:rPr>
      <w:rFonts w:ascii="微软雅黑" w:hAnsi="微软雅黑" w:eastAsia="微软雅黑" w:cs="微软雅黑"/>
      <w:i/>
      <w:iCs/>
      <w:color w:val="243F60" w:themeColor="accent1" w:themeShade="7F"/>
    </w:rPr>
  </w:style>
  <w:style w:type="character" w:customStyle="1" w:styleId="Heading7Char">
    <w:name w:val="Heading 7 Char"/>
    <w:basedOn w:val="DefaultParagraphFont"/>
    <w:link w:val="Heading7"/>
    <w:uiPriority w:val="9"/>
    <w:semiHidden/>
    <w:rsid w:val="00FC693F"/>
    <w:rPr>
      <w:rFonts w:ascii="微软雅黑" w:hAnsi="微软雅黑" w:eastAsia="微软雅黑" w:cs="微软雅黑"/>
      <w:i/>
      <w:iCs/>
      <w:color w:val="404040" w:themeColor="text1" w:themeTint="BF"/>
    </w:rPr>
  </w:style>
  <w:style w:type="character" w:customStyle="1" w:styleId="Heading8Char">
    <w:name w:val="Heading 8 Char"/>
    <w:basedOn w:val="DefaultParagraphFont"/>
    <w:link w:val="Heading8"/>
    <w:uiPriority w:val="9"/>
    <w:semiHidden/>
    <w:rsid w:val="00FC693F"/>
    <w:rPr>
      <w:rFonts w:ascii="微软雅黑" w:hAnsi="微软雅黑" w:eastAsia="微软雅黑" w:cs="微软雅黑"/>
      <w:color w:val="4F81BD" w:themeColor="accent1"/>
      <w:sz w:val="20"/>
      <w:szCs w:val="20"/>
    </w:rPr>
  </w:style>
  <w:style w:type="character" w:customStyle="1" w:styleId="Heading9Char">
    <w:name w:val="Heading 9 Char"/>
    <w:basedOn w:val="DefaultParagraphFont"/>
    <w:link w:val="Heading9"/>
    <w:uiPriority w:val="9"/>
    <w:semiHidden/>
    <w:rsid w:val="00FC693F"/>
    <w:rPr>
      <w:rFonts w:ascii="微软雅黑" w:hAnsi="微软雅黑" w:eastAsia="微软雅黑" w:cs="微软雅黑"/>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微软雅黑" w:hAnsi="微软雅黑" w:eastAsia="微软雅黑" w:cs="微软雅黑"/>
      <w:b/>
      <w:bCs/>
      <w:color w:val="4F81BD" w:themeColor="accent1"/>
      <w:sz w:val="18"/>
      <w:szCs w:val="18"/>
    </w:rPr>
  </w:style>
  <w:style w:type="character" w:styleId="Strong">
    <w:name w:val="Strong"/>
    <w:basedOn w:val="DefaultParagraphFont"/>
    <w:uiPriority w:val="22"/>
    <w:qFormat/>
    <w:rsid w:val="00FC693F"/>
    <w:rPr>
      <w:rFonts w:ascii="微软雅黑" w:hAnsi="微软雅黑" w:eastAsia="微软雅黑" w:cs="微软雅黑"/>
      <w:b/>
      <w:bCs/>
    </w:rPr>
  </w:style>
  <w:style w:type="character" w:styleId="Emphasis">
    <w:name w:val="Emphasis"/>
    <w:basedOn w:val="DefaultParagraphFont"/>
    <w:uiPriority w:val="20"/>
    <w:qFormat/>
    <w:rsid w:val="00FC693F"/>
    <w:rPr>
      <w:rFonts w:ascii="微软雅黑" w:hAnsi="微软雅黑" w:eastAsia="微软雅黑" w:cs="微软雅黑"/>
      <w:i/>
      <w:iCs/>
    </w:rPr>
  </w:style>
  <w:style w:type="paragraph" w:styleId="IntenseQuote">
    <w:name w:val="Intense Quote"/>
    <w:basedOn w:val="Normal"/>
    <w:next w:val="Normal"/>
    <w:link w:val="IntenseQuoteChar"/>
    <w:uiPriority w:val="30"/>
    <w:qFormat/>
    <w:rsid w:val="00FC693F"/>
    <w:pPr>
      <w:spacing w:before="200" w:after="280"/>
      <w:ind w:left="936" w:right="936"/>
    </w:pPr>
    <w:rPr>
      <w:rFonts w:ascii="微软雅黑" w:hAnsi="微软雅黑" w:eastAsia="微软雅黑" w:cs="微软雅黑"/>
      <w:b/>
      <w:bCs/>
      <w:i/>
      <w:iCs/>
      <w:color w:val="4F81BD" w:themeColor="accent1"/>
    </w:rPr>
  </w:style>
  <w:style w:type="character" w:customStyle="1" w:styleId="IntenseQuoteChar">
    <w:name w:val="Intense Quote Char"/>
    <w:basedOn w:val="DefaultParagraphFont"/>
    <w:link w:val="IntenseQuote"/>
    <w:uiPriority w:val="30"/>
    <w:rsid w:val="00FC693F"/>
    <w:rPr>
      <w:rFonts w:ascii="微软雅黑" w:hAnsi="微软雅黑" w:eastAsia="微软雅黑" w:cs="微软雅黑"/>
      <w:b/>
      <w:bCs/>
      <w:i/>
      <w:iCs/>
      <w:color w:val="4F81BD" w:themeColor="accent1"/>
    </w:rPr>
  </w:style>
  <w:style w:type="character" w:styleId="SubtleEmphasis">
    <w:name w:val="Subtle Emphasis"/>
    <w:basedOn w:val="DefaultParagraphFont"/>
    <w:uiPriority w:val="19"/>
    <w:qFormat/>
    <w:rsid w:val="00FC693F"/>
    <w:rPr>
      <w:rFonts w:ascii="微软雅黑" w:hAnsi="微软雅黑" w:eastAsia="微软雅黑" w:cs="微软雅黑"/>
      <w:i/>
      <w:iCs/>
      <w:color w:val="808080" w:themeColor="text1" w:themeTint="7F"/>
    </w:rPr>
  </w:style>
  <w:style w:type="character" w:styleId="IntenseEmphasis">
    <w:name w:val="Intense Emphasis"/>
    <w:basedOn w:val="DefaultParagraphFont"/>
    <w:uiPriority w:val="21"/>
    <w:qFormat/>
    <w:rsid w:val="00FC693F"/>
    <w:rPr>
      <w:rFonts w:ascii="微软雅黑" w:hAnsi="微软雅黑" w:eastAsia="微软雅黑" w:cs="微软雅黑"/>
      <w:b/>
      <w:bCs/>
      <w:i/>
      <w:iCs/>
      <w:color w:val="4F81BD" w:themeColor="accent1"/>
    </w:rPr>
  </w:style>
  <w:style w:type="character" w:styleId="SubtleReference">
    <w:name w:val="Subtle Reference"/>
    <w:basedOn w:val="DefaultParagraphFont"/>
    <w:uiPriority w:val="31"/>
    <w:qFormat/>
    <w:rsid w:val="00FC693F"/>
    <w:rPr>
      <w:rFonts w:ascii="微软雅黑" w:hAnsi="微软雅黑" w:eastAsia="微软雅黑" w:cs="微软雅黑"/>
      <w:smallCaps/>
      <w:color w:val="C0504D" w:themeColor="accent2"/>
      <w:u w:val="single"/>
    </w:rPr>
  </w:style>
  <w:style w:type="character" w:styleId="IntenseReference">
    <w:name w:val="Intense Reference"/>
    <w:basedOn w:val="DefaultParagraphFont"/>
    <w:uiPriority w:val="32"/>
    <w:qFormat/>
    <w:rsid w:val="00FC693F"/>
    <w:rPr>
      <w:rFonts w:ascii="微软雅黑" w:hAnsi="微软雅黑" w:eastAsia="微软雅黑" w:cs="微软雅黑"/>
      <w:b/>
      <w:bCs/>
      <w:smallCaps/>
      <w:color w:val="C0504D" w:themeColor="accent2"/>
      <w:spacing w:val="5"/>
      <w:u w:val="single"/>
    </w:rPr>
  </w:style>
  <w:style w:type="character" w:styleId="BookTitle">
    <w:name w:val="Book Title"/>
    <w:basedOn w:val="DefaultParagraphFont"/>
    <w:uiPriority w:val="33"/>
    <w:qFormat/>
    <w:rsid w:val="00FC693F"/>
    <w:rPr>
      <w:rFonts w:ascii="微软雅黑" w:hAnsi="微软雅黑" w:eastAsia="微软雅黑" w:cs="微软雅黑"/>
      <w:b/>
      <w:bCs/>
      <w:smallCaps/>
      <w:spacing w:val="5"/>
    </w:rPr>
  </w:style>
  <w:style w:type="paragraph" w:styleId="TOCHeading">
    <w:name w:val="TOC Heading"/>
    <w:basedOn w:val="Heading1"/>
    <w:next w:val="Normal"/>
    <w:uiPriority w:val="39"/>
    <w:semiHidden/>
    <w:unhideWhenUsed/>
    <w:qFormat/>
    <w:rsid w:val="00FC693F"/>
    <w:pPr>
      <w:outlineLvl w:val="9"/>
    </w:pPr>
    <w:rPr>
      <w:rFonts w:ascii="微软雅黑" w:hAnsi="微软雅黑" w:eastAsia="微软雅黑" w:cs="微软雅黑"/>
    </w:rPr>
  </w:style>
  <w:style w:type="table" w:styleId="TableGrid">
    <w:name w:val="Table Grid"/>
    <w:basedOn w:val="TableNormal"/>
    <w:uiPriority w:val="59"/>
    <w:rsid w:val="00FC693F"/>
    <w:pPr>
      <w:spacing w:after="0" w:line="240" w:lineRule="auto"/>
    </w:pPr>
    <w:rPr>
      <w:rFonts w:ascii="微软雅黑" w:hAnsi="微软雅黑" w:eastAsia="微软雅黑" w:cs="微软雅黑"/>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rFonts w:ascii="微软雅黑" w:hAnsi="微软雅黑" w:eastAsia="微软雅黑" w:cs="微软雅黑"/>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微软雅黑" w:hAnsi="微软雅黑" w:eastAsia="微软雅黑" w:cs="微软雅黑"/>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微软雅黑" w:hAnsi="微软雅黑" w:eastAsia="微软雅黑" w:cs="微软雅黑"/>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微软雅黑" w:hAnsi="微软雅黑" w:eastAsia="微软雅黑" w:cs="微软雅黑"/>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微软雅黑" w:hAnsi="微软雅黑" w:eastAsia="微软雅黑" w:cs="微软雅黑"/>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微软雅黑" w:hAnsi="微软雅黑" w:eastAsia="微软雅黑" w:cs="微软雅黑"/>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微软雅黑" w:hAnsi="微软雅黑" w:eastAsia="微软雅黑" w:cs="微软雅黑"/>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微软雅黑" w:hAnsi="微软雅黑" w:eastAsia="微软雅黑" w:cs="微软雅黑"/>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微软雅黑" w:hAnsi="微软雅黑" w:eastAsia="微软雅黑" w:cs="微软雅黑"/>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微软雅黑" w:hAnsi="微软雅黑" w:eastAsia="微软雅黑" w:cs="微软雅黑"/>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微软雅黑" w:hAnsi="微软雅黑" w:eastAsia="微软雅黑" w:cs="微软雅黑"/>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微软雅黑" w:hAnsi="微软雅黑" w:eastAsia="微软雅黑" w:cs="微软雅黑"/>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微软雅黑" w:hAnsi="微软雅黑" w:eastAsia="微软雅黑" w:cs="微软雅黑"/>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微软雅黑" w:hAnsi="微软雅黑" w:eastAsia="微软雅黑" w:cs="微软雅黑"/>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微软雅黑" w:hAnsi="微软雅黑" w:eastAsia="微软雅黑" w:cs="微软雅黑"/>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微软雅黑" w:hAnsi="微软雅黑" w:eastAsia="微软雅黑" w:cs="微软雅黑"/>
    </w:rPr>
  </w:style>
  <w:style w:type="paragraph" w:styleId="Heading1">
    <w:name w:val="heading 1"/>
    <w:basedOn w:val="Normal"/>
    <w:next w:val="Normal"/>
    <w:link w:val="Heading1Char"/>
    <w:uiPriority w:val="9"/>
    <w:qFormat/>
    <w:rsid w:val="00FC693F"/>
    <w:pPr>
      <w:keepNext/>
      <w:keepLines/>
      <w:spacing w:before="480" w:after="0"/>
      <w:outlineLvl w:val="0"/>
    </w:pPr>
    <w:rPr>
      <w:rFonts w:ascii="微软雅黑" w:hAnsi="微软雅黑" w:eastAsia="微软雅黑" w:cs="微软雅黑"/>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微软雅黑" w:hAnsi="微软雅黑" w:eastAsia="微软雅黑" w:cs="微软雅黑"/>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微软雅黑" w:hAnsi="微软雅黑" w:eastAsia="微软雅黑" w:cs="微软雅黑"/>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微软雅黑" w:hAnsi="微软雅黑" w:eastAsia="微软雅黑" w:cs="微软雅黑"/>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微软雅黑" w:hAnsi="微软雅黑" w:eastAsia="微软雅黑" w:cs="微软雅黑"/>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微软雅黑" w:hAnsi="微软雅黑" w:eastAsia="微软雅黑" w:cs="微软雅黑"/>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微软雅黑" w:hAnsi="微软雅黑" w:eastAsia="微软雅黑" w:cs="微软雅黑"/>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微软雅黑" w:hAnsi="微软雅黑" w:eastAsia="微软雅黑" w:cs="微软雅黑"/>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微软雅黑" w:hAnsi="微软雅黑" w:eastAsia="微软雅黑" w:cs="微软雅黑"/>
      <w:i/>
      <w:iCs/>
      <w:color w:val="404040" w:themeColor="text1" w:themeTint="BF"/>
      <w:sz w:val="20"/>
      <w:szCs w:val="20"/>
    </w:rPr>
  </w:style>
  <w:style w:type="character" w:default="1" w:styleId="DefaultParagraphFont">
    <w:name w:val="Default Paragraph Font"/>
    <w:uiPriority w:val="1"/>
    <w:semiHidden/>
    <w:unhideWhenUsed/>
    <w:rPr>
      <w:rFonts w:ascii="微软雅黑" w:hAnsi="微软雅黑" w:eastAsia="微软雅黑" w:cs="微软雅黑"/>
    </w:rPr>
  </w:style>
  <w:style w:type="table" w:default="1" w:styleId="TableNormal">
    <w:name w:val="Normal Table"/>
    <w:uiPriority w:val="99"/>
    <w:semiHidden/>
    <w:unhideWhenUsed/>
    <w:rPr>
      <w:rFonts w:ascii="微软雅黑" w:hAnsi="微软雅黑" w:eastAsia="微软雅黑" w:cs="微软雅黑"/>
    </w:rPr>
    <w:tblPr>
      <w:tblInd w:w="0" w:type="dxa"/>
      <w:tblCellMar>
        <w:top w:w="0" w:type="dxa"/>
        <w:left w:w="108" w:type="dxa"/>
        <w:bottom w:w="0" w:type="dxa"/>
        <w:right w:w="108" w:type="dxa"/>
      </w:tblCellMar>
    </w:tblPr>
  </w:style>
  <w:style w:type="numbering" w:default="1" w:styleId="NoList">
    <w:name w:val="No List"/>
    <w:uiPriority w:val="99"/>
    <w:semiHidden/>
    <w:unhideWhenUsed/>
    <w:rPr>
      <w:rFonts w:ascii="微软雅黑" w:hAnsi="微软雅黑" w:eastAsia="微软雅黑" w:cs="微软雅黑"/>
    </w:rPr>
  </w:style>
  <w:style w:type="paragraph" w:styleId="NoSpacing">
    <w:name w:val="No Spacing"/>
    <w:uiPriority w:val="1"/>
    <w:qFormat/>
    <w:rsid w:val="00FC693F"/>
    <w:pPr>
      <w:spacing w:after="0" w:line="240" w:lineRule="auto"/>
    </w:pPr>
    <w:rPr>
      <w:rFonts w:ascii="微软雅黑" w:hAnsi="微软雅黑" w:eastAsia="微软雅黑" w:cs="微软雅黑"/>
    </w:rPr>
  </w:style>
  <w:style w:type="character" w:customStyle="1" w:styleId="Heading1Char">
    <w:name w:val="Heading 1 Char"/>
    <w:basedOn w:val="DefaultParagraphFont"/>
    <w:link w:val="Heading1"/>
    <w:uiPriority w:val="9"/>
    <w:rsid w:val="00FC693F"/>
    <w:rPr>
      <w:rFonts w:ascii="微软雅黑" w:hAnsi="微软雅黑" w:eastAsia="微软雅黑" w:cs="微软雅黑"/>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微软雅黑" w:hAnsi="微软雅黑" w:eastAsia="微软雅黑" w:cs="微软雅黑"/>
      <w:b/>
      <w:bCs/>
      <w:color w:val="4F81BD" w:themeColor="accent1"/>
      <w:sz w:val="26"/>
      <w:szCs w:val="26"/>
    </w:rPr>
  </w:style>
  <w:style w:type="character" w:customStyle="1" w:styleId="Heading3Char">
    <w:name w:val="Heading 3 Char"/>
    <w:basedOn w:val="DefaultParagraphFont"/>
    <w:link w:val="Heading3"/>
    <w:uiPriority w:val="9"/>
    <w:rsid w:val="00FC693F"/>
    <w:rPr>
      <w:rFonts w:ascii="微软雅黑" w:hAnsi="微软雅黑" w:eastAsia="微软雅黑" w:cs="微软雅黑"/>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微软雅黑" w:hAnsi="微软雅黑" w:eastAsia="微软雅黑" w:cs="微软雅黑"/>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微软雅黑" w:hAnsi="微软雅黑" w:eastAsia="微软雅黑" w:cs="微软雅黑"/>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微软雅黑" w:hAnsi="微软雅黑" w:eastAsia="微软雅黑" w:cs="微软雅黑"/>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微软雅黑" w:hAnsi="微软雅黑" w:eastAsia="微软雅黑" w:cs="微软雅黑"/>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微软雅黑" w:hAnsi="微软雅黑" w:eastAsia="微软雅黑" w:cs="微软雅黑"/>
    </w:rPr>
  </w:style>
  <w:style w:type="paragraph" w:styleId="BodyText">
    <w:name w:val="Body Text"/>
    <w:basedOn w:val="Normal"/>
    <w:link w:val="BodyTextChar"/>
    <w:uiPriority w:val="99"/>
    <w:unhideWhenUsed/>
    <w:rsid w:val="00AA1D8D"/>
    <w:pPr>
      <w:spacing w:after="120"/>
    </w:pPr>
    <w:rPr>
      <w:rFonts w:ascii="微软雅黑" w:hAnsi="微软雅黑" w:eastAsia="微软雅黑" w:cs="微软雅黑"/>
    </w:rPr>
  </w:style>
  <w:style w:type="character" w:customStyle="1" w:styleId="BodyTextChar">
    <w:name w:val="Body Text Char"/>
    <w:basedOn w:val="DefaultParagraphFont"/>
    <w:link w:val="BodyText"/>
    <w:uiPriority w:val="99"/>
    <w:rsid w:val="00AA1D8D"/>
    <w:rPr>
      <w:rFonts w:ascii="微软雅黑" w:hAnsi="微软雅黑" w:eastAsia="微软雅黑" w:cs="微软雅黑"/>
    </w:rPr>
  </w:style>
  <w:style w:type="paragraph" w:styleId="BodyText2">
    <w:name w:val="Body Text 2"/>
    <w:basedOn w:val="Normal"/>
    <w:link w:val="BodyText2Char"/>
    <w:uiPriority w:val="99"/>
    <w:unhideWhenUsed/>
    <w:rsid w:val="00AA1D8D"/>
    <w:pPr>
      <w:spacing w:after="120" w:line="480" w:lineRule="auto"/>
    </w:pPr>
    <w:rPr>
      <w:rFonts w:ascii="微软雅黑" w:hAnsi="微软雅黑" w:eastAsia="微软雅黑" w:cs="微软雅黑"/>
    </w:rPr>
  </w:style>
  <w:style w:type="character" w:customStyle="1" w:styleId="BodyText2Char">
    <w:name w:val="Body Text 2 Char"/>
    <w:basedOn w:val="DefaultParagraphFont"/>
    <w:link w:val="BodyText2"/>
    <w:uiPriority w:val="99"/>
    <w:rsid w:val="00AA1D8D"/>
    <w:rPr>
      <w:rFonts w:ascii="微软雅黑" w:hAnsi="微软雅黑" w:eastAsia="微软雅黑" w:cs="微软雅黑"/>
    </w:rPr>
  </w:style>
  <w:style w:type="paragraph" w:styleId="BodyText3">
    <w:name w:val="Body Text 3"/>
    <w:basedOn w:val="Normal"/>
    <w:link w:val="BodyText3Char"/>
    <w:uiPriority w:val="99"/>
    <w:unhideWhenUsed/>
    <w:rsid w:val="00AA1D8D"/>
    <w:pPr>
      <w:spacing w:after="120"/>
    </w:pPr>
    <w:rPr>
      <w:rFonts w:ascii="微软雅黑" w:hAnsi="微软雅黑" w:eastAsia="微软雅黑" w:cs="微软雅黑"/>
      <w:sz w:val="16"/>
      <w:szCs w:val="16"/>
    </w:rPr>
  </w:style>
  <w:style w:type="character" w:customStyle="1" w:styleId="BodyText3Char">
    <w:name w:val="Body Text 3 Char"/>
    <w:basedOn w:val="DefaultParagraphFont"/>
    <w:link w:val="BodyText3"/>
    <w:uiPriority w:val="99"/>
    <w:rsid w:val="00AA1D8D"/>
    <w:rPr>
      <w:rFonts w:ascii="微软雅黑" w:hAnsi="微软雅黑" w:eastAsia="微软雅黑" w:cs="微软雅黑"/>
      <w:sz w:val="16"/>
      <w:szCs w:val="16"/>
    </w:rPr>
  </w:style>
  <w:style w:type="paragraph" w:styleId="List">
    <w:name w:val="List"/>
    <w:basedOn w:val="Normal"/>
    <w:uiPriority w:val="99"/>
    <w:unhideWhenUsed/>
    <w:rsid w:val="00AA1D8D"/>
    <w:pPr>
      <w:ind w:left="360" w:hanging="360"/>
      <w:contextualSpacing/>
    </w:pPr>
    <w:rPr>
      <w:rFonts w:ascii="微软雅黑" w:hAnsi="微软雅黑" w:eastAsia="微软雅黑" w:cs="微软雅黑"/>
    </w:rPr>
  </w:style>
  <w:style w:type="paragraph" w:styleId="List2">
    <w:name w:val="List 2"/>
    <w:basedOn w:val="Normal"/>
    <w:uiPriority w:val="99"/>
    <w:unhideWhenUsed/>
    <w:rsid w:val="00326F90"/>
    <w:pPr>
      <w:ind w:left="720" w:hanging="360"/>
      <w:contextualSpacing/>
    </w:pPr>
    <w:rPr>
      <w:rFonts w:ascii="微软雅黑" w:hAnsi="微软雅黑" w:eastAsia="微软雅黑" w:cs="微软雅黑"/>
    </w:rPr>
  </w:style>
  <w:style w:type="paragraph" w:styleId="List3">
    <w:name w:val="List 3"/>
    <w:basedOn w:val="Normal"/>
    <w:uiPriority w:val="99"/>
    <w:unhideWhenUsed/>
    <w:rsid w:val="00326F90"/>
    <w:pPr>
      <w:ind w:left="1080" w:hanging="360"/>
      <w:contextualSpacing/>
    </w:pPr>
    <w:rPr>
      <w:rFonts w:ascii="微软雅黑" w:hAnsi="微软雅黑" w:eastAsia="微软雅黑" w:cs="微软雅黑"/>
    </w:rPr>
  </w:style>
  <w:style w:type="paragraph" w:styleId="ListBullet">
    <w:name w:val="List Bullet"/>
    <w:basedOn w:val="Normal"/>
    <w:uiPriority w:val="99"/>
    <w:unhideWhenUsed/>
    <w:rsid w:val="00326F90"/>
    <w:pPr>
      <w:numPr>
        <w:numId w:val="1"/>
      </w:numPr>
      <w:contextualSpacing/>
    </w:pPr>
    <w:rPr>
      <w:rFonts w:ascii="微软雅黑" w:hAnsi="微软雅黑" w:eastAsia="微软雅黑" w:cs="微软雅黑"/>
    </w:rPr>
  </w:style>
  <w:style w:type="paragraph" w:styleId="ListBullet2">
    <w:name w:val="List Bullet 2"/>
    <w:basedOn w:val="Normal"/>
    <w:uiPriority w:val="99"/>
    <w:unhideWhenUsed/>
    <w:rsid w:val="00326F90"/>
    <w:pPr>
      <w:numPr>
        <w:numId w:val="2"/>
      </w:numPr>
      <w:contextualSpacing/>
    </w:pPr>
    <w:rPr>
      <w:rFonts w:ascii="微软雅黑" w:hAnsi="微软雅黑" w:eastAsia="微软雅黑" w:cs="微软雅黑"/>
    </w:rPr>
  </w:style>
  <w:style w:type="paragraph" w:styleId="ListBullet3">
    <w:name w:val="List Bullet 3"/>
    <w:basedOn w:val="Normal"/>
    <w:uiPriority w:val="99"/>
    <w:unhideWhenUsed/>
    <w:rsid w:val="00326F90"/>
    <w:pPr>
      <w:numPr>
        <w:numId w:val="3"/>
      </w:numPr>
      <w:contextualSpacing/>
    </w:pPr>
    <w:rPr>
      <w:rFonts w:ascii="微软雅黑" w:hAnsi="微软雅黑" w:eastAsia="微软雅黑" w:cs="微软雅黑"/>
    </w:rPr>
  </w:style>
  <w:style w:type="paragraph" w:styleId="ListNumber">
    <w:name w:val="List Number"/>
    <w:basedOn w:val="Normal"/>
    <w:uiPriority w:val="99"/>
    <w:unhideWhenUsed/>
    <w:rsid w:val="00326F90"/>
    <w:pPr>
      <w:numPr>
        <w:numId w:val="5"/>
      </w:numPr>
      <w:contextualSpacing/>
    </w:pPr>
    <w:rPr>
      <w:rFonts w:ascii="微软雅黑" w:hAnsi="微软雅黑" w:eastAsia="微软雅黑" w:cs="微软雅黑"/>
    </w:rPr>
  </w:style>
  <w:style w:type="paragraph" w:styleId="ListNumber2">
    <w:name w:val="List Number 2"/>
    <w:basedOn w:val="Normal"/>
    <w:uiPriority w:val="99"/>
    <w:unhideWhenUsed/>
    <w:rsid w:val="0029639D"/>
    <w:pPr>
      <w:numPr>
        <w:numId w:val="6"/>
      </w:numPr>
      <w:contextualSpacing/>
    </w:pPr>
    <w:rPr>
      <w:rFonts w:ascii="微软雅黑" w:hAnsi="微软雅黑" w:eastAsia="微软雅黑" w:cs="微软雅黑"/>
    </w:rPr>
  </w:style>
  <w:style w:type="paragraph" w:styleId="ListNumber3">
    <w:name w:val="List Number 3"/>
    <w:basedOn w:val="Normal"/>
    <w:uiPriority w:val="99"/>
    <w:unhideWhenUsed/>
    <w:rsid w:val="0029639D"/>
    <w:pPr>
      <w:numPr>
        <w:numId w:val="7"/>
      </w:numPr>
      <w:contextualSpacing/>
    </w:pPr>
    <w:rPr>
      <w:rFonts w:ascii="微软雅黑" w:hAnsi="微软雅黑" w:eastAsia="微软雅黑" w:cs="微软雅黑"/>
    </w:rPr>
  </w:style>
  <w:style w:type="paragraph" w:styleId="ListContinue">
    <w:name w:val="List Continue"/>
    <w:basedOn w:val="Normal"/>
    <w:uiPriority w:val="99"/>
    <w:unhideWhenUsed/>
    <w:rsid w:val="0029639D"/>
    <w:pPr>
      <w:spacing w:after="120"/>
      <w:ind w:left="360"/>
      <w:contextualSpacing/>
    </w:pPr>
    <w:rPr>
      <w:rFonts w:ascii="微软雅黑" w:hAnsi="微软雅黑" w:eastAsia="微软雅黑" w:cs="微软雅黑"/>
    </w:rPr>
  </w:style>
  <w:style w:type="paragraph" w:styleId="ListContinue2">
    <w:name w:val="List Continue 2"/>
    <w:basedOn w:val="Normal"/>
    <w:uiPriority w:val="99"/>
    <w:unhideWhenUsed/>
    <w:rsid w:val="0029639D"/>
    <w:pPr>
      <w:spacing w:after="120"/>
      <w:ind w:left="720"/>
      <w:contextualSpacing/>
    </w:pPr>
    <w:rPr>
      <w:rFonts w:ascii="微软雅黑" w:hAnsi="微软雅黑" w:eastAsia="微软雅黑" w:cs="微软雅黑"/>
    </w:rPr>
  </w:style>
  <w:style w:type="paragraph" w:styleId="ListContinue3">
    <w:name w:val="List Continue 3"/>
    <w:basedOn w:val="Normal"/>
    <w:uiPriority w:val="99"/>
    <w:unhideWhenUsed/>
    <w:rsid w:val="0029639D"/>
    <w:pPr>
      <w:spacing w:after="120"/>
      <w:ind w:left="1080"/>
      <w:contextualSpacing/>
    </w:pPr>
    <w:rPr>
      <w:rFonts w:ascii="微软雅黑" w:hAnsi="微软雅黑" w:eastAsia="微软雅黑" w:cs="微软雅黑"/>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微软雅黑" w:hAnsi="微软雅黑" w:eastAsia="微软雅黑" w:cs="微软雅黑"/>
      <w:sz w:val="20"/>
      <w:szCs w:val="20"/>
    </w:rPr>
  </w:style>
  <w:style w:type="character" w:customStyle="1" w:styleId="MacroTextChar">
    <w:name w:val="Macro Text Char"/>
    <w:basedOn w:val="DefaultParagraphFont"/>
    <w:link w:val="MacroText"/>
    <w:uiPriority w:val="99"/>
    <w:rsid w:val="0029639D"/>
    <w:rPr>
      <w:rFonts w:ascii="微软雅黑" w:hAnsi="微软雅黑" w:eastAsia="微软雅黑" w:cs="微软雅黑"/>
      <w:sz w:val="20"/>
      <w:szCs w:val="20"/>
    </w:rPr>
  </w:style>
  <w:style w:type="paragraph" w:styleId="Quote">
    <w:name w:val="Quote"/>
    <w:basedOn w:val="Normal"/>
    <w:next w:val="Normal"/>
    <w:link w:val="QuoteChar"/>
    <w:uiPriority w:val="29"/>
    <w:qFormat/>
    <w:rsid w:val="00FC693F"/>
    <w:rPr>
      <w:rFonts w:ascii="微软雅黑" w:hAnsi="微软雅黑" w:eastAsia="微软雅黑" w:cs="微软雅黑"/>
      <w:i/>
      <w:iCs/>
      <w:color w:val="000000" w:themeColor="text1"/>
    </w:rPr>
  </w:style>
  <w:style w:type="character" w:customStyle="1" w:styleId="QuoteChar">
    <w:name w:val="Quote Char"/>
    <w:basedOn w:val="DefaultParagraphFont"/>
    <w:link w:val="Quote"/>
    <w:uiPriority w:val="29"/>
    <w:rsid w:val="00FC693F"/>
    <w:rPr>
      <w:rFonts w:ascii="微软雅黑" w:hAnsi="微软雅黑" w:eastAsia="微软雅黑" w:cs="微软雅黑"/>
      <w:i/>
      <w:iCs/>
      <w:color w:val="000000" w:themeColor="text1"/>
    </w:rPr>
  </w:style>
  <w:style w:type="character" w:customStyle="1" w:styleId="Heading4Char">
    <w:name w:val="Heading 4 Char"/>
    <w:basedOn w:val="DefaultParagraphFont"/>
    <w:link w:val="Heading4"/>
    <w:uiPriority w:val="9"/>
    <w:semiHidden/>
    <w:rsid w:val="00FC693F"/>
    <w:rPr>
      <w:rFonts w:ascii="微软雅黑" w:hAnsi="微软雅黑" w:eastAsia="微软雅黑" w:cs="微软雅黑"/>
      <w:b/>
      <w:bCs/>
      <w:i/>
      <w:iCs/>
      <w:color w:val="4F81BD" w:themeColor="accent1"/>
    </w:rPr>
  </w:style>
  <w:style w:type="character" w:customStyle="1" w:styleId="Heading5Char">
    <w:name w:val="Heading 5 Char"/>
    <w:basedOn w:val="DefaultParagraphFont"/>
    <w:link w:val="Heading5"/>
    <w:uiPriority w:val="9"/>
    <w:semiHidden/>
    <w:rsid w:val="00FC693F"/>
    <w:rPr>
      <w:rFonts w:ascii="微软雅黑" w:hAnsi="微软雅黑" w:eastAsia="微软雅黑" w:cs="微软雅黑"/>
      <w:color w:val="243F60" w:themeColor="accent1" w:themeShade="7F"/>
    </w:rPr>
  </w:style>
  <w:style w:type="character" w:customStyle="1" w:styleId="Heading6Char">
    <w:name w:val="Heading 6 Char"/>
    <w:basedOn w:val="DefaultParagraphFont"/>
    <w:link w:val="Heading6"/>
    <w:uiPriority w:val="9"/>
    <w:semiHidden/>
    <w:rsid w:val="00FC693F"/>
    <w:rPr>
      <w:rFonts w:ascii="微软雅黑" w:hAnsi="微软雅黑" w:eastAsia="微软雅黑" w:cs="微软雅黑"/>
      <w:i/>
      <w:iCs/>
      <w:color w:val="243F60" w:themeColor="accent1" w:themeShade="7F"/>
    </w:rPr>
  </w:style>
  <w:style w:type="character" w:customStyle="1" w:styleId="Heading7Char">
    <w:name w:val="Heading 7 Char"/>
    <w:basedOn w:val="DefaultParagraphFont"/>
    <w:link w:val="Heading7"/>
    <w:uiPriority w:val="9"/>
    <w:semiHidden/>
    <w:rsid w:val="00FC693F"/>
    <w:rPr>
      <w:rFonts w:ascii="微软雅黑" w:hAnsi="微软雅黑" w:eastAsia="微软雅黑" w:cs="微软雅黑"/>
      <w:i/>
      <w:iCs/>
      <w:color w:val="404040" w:themeColor="text1" w:themeTint="BF"/>
    </w:rPr>
  </w:style>
  <w:style w:type="character" w:customStyle="1" w:styleId="Heading8Char">
    <w:name w:val="Heading 8 Char"/>
    <w:basedOn w:val="DefaultParagraphFont"/>
    <w:link w:val="Heading8"/>
    <w:uiPriority w:val="9"/>
    <w:semiHidden/>
    <w:rsid w:val="00FC693F"/>
    <w:rPr>
      <w:rFonts w:ascii="微软雅黑" w:hAnsi="微软雅黑" w:eastAsia="微软雅黑" w:cs="微软雅黑"/>
      <w:color w:val="4F81BD" w:themeColor="accent1"/>
      <w:sz w:val="20"/>
      <w:szCs w:val="20"/>
    </w:rPr>
  </w:style>
  <w:style w:type="character" w:customStyle="1" w:styleId="Heading9Char">
    <w:name w:val="Heading 9 Char"/>
    <w:basedOn w:val="DefaultParagraphFont"/>
    <w:link w:val="Heading9"/>
    <w:uiPriority w:val="9"/>
    <w:semiHidden/>
    <w:rsid w:val="00FC693F"/>
    <w:rPr>
      <w:rFonts w:ascii="微软雅黑" w:hAnsi="微软雅黑" w:eastAsia="微软雅黑" w:cs="微软雅黑"/>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微软雅黑" w:hAnsi="微软雅黑" w:eastAsia="微软雅黑" w:cs="微软雅黑"/>
      <w:b/>
      <w:bCs/>
      <w:color w:val="4F81BD" w:themeColor="accent1"/>
      <w:sz w:val="18"/>
      <w:szCs w:val="18"/>
    </w:rPr>
  </w:style>
  <w:style w:type="character" w:styleId="Strong">
    <w:name w:val="Strong"/>
    <w:basedOn w:val="DefaultParagraphFont"/>
    <w:uiPriority w:val="22"/>
    <w:qFormat/>
    <w:rsid w:val="00FC693F"/>
    <w:rPr>
      <w:rFonts w:ascii="微软雅黑" w:hAnsi="微软雅黑" w:eastAsia="微软雅黑" w:cs="微软雅黑"/>
      <w:b/>
      <w:bCs/>
    </w:rPr>
  </w:style>
  <w:style w:type="character" w:styleId="Emphasis">
    <w:name w:val="Emphasis"/>
    <w:basedOn w:val="DefaultParagraphFont"/>
    <w:uiPriority w:val="20"/>
    <w:qFormat/>
    <w:rsid w:val="00FC693F"/>
    <w:rPr>
      <w:rFonts w:ascii="微软雅黑" w:hAnsi="微软雅黑" w:eastAsia="微软雅黑" w:cs="微软雅黑"/>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rFonts w:ascii="微软雅黑" w:hAnsi="微软雅黑" w:eastAsia="微软雅黑" w:cs="微软雅黑"/>
      <w:b/>
      <w:bCs/>
      <w:i/>
      <w:iCs/>
      <w:color w:val="4F81BD" w:themeColor="accent1"/>
    </w:rPr>
  </w:style>
  <w:style w:type="character" w:customStyle="1" w:styleId="IntenseQuoteChar">
    <w:name w:val="Intense Quote Char"/>
    <w:basedOn w:val="DefaultParagraphFont"/>
    <w:link w:val="IntenseQuote"/>
    <w:uiPriority w:val="30"/>
    <w:rsid w:val="00FC693F"/>
    <w:rPr>
      <w:rFonts w:ascii="微软雅黑" w:hAnsi="微软雅黑" w:eastAsia="微软雅黑" w:cs="微软雅黑"/>
      <w:b/>
      <w:bCs/>
      <w:i/>
      <w:iCs/>
      <w:color w:val="4F81BD" w:themeColor="accent1"/>
    </w:rPr>
  </w:style>
  <w:style w:type="character" w:styleId="SubtleEmphasis">
    <w:name w:val="Subtle Emphasis"/>
    <w:basedOn w:val="DefaultParagraphFont"/>
    <w:uiPriority w:val="19"/>
    <w:qFormat/>
    <w:rsid w:val="00FC693F"/>
    <w:rPr>
      <w:rFonts w:ascii="微软雅黑" w:hAnsi="微软雅黑" w:eastAsia="微软雅黑" w:cs="微软雅黑"/>
      <w:i/>
      <w:iCs/>
      <w:color w:val="808080" w:themeColor="text1" w:themeTint="7F"/>
    </w:rPr>
  </w:style>
  <w:style w:type="character" w:styleId="IntenseEmphasis">
    <w:name w:val="Intense Emphasis"/>
    <w:basedOn w:val="DefaultParagraphFont"/>
    <w:uiPriority w:val="21"/>
    <w:qFormat/>
    <w:rsid w:val="00FC693F"/>
    <w:rPr>
      <w:rFonts w:ascii="微软雅黑" w:hAnsi="微软雅黑" w:eastAsia="微软雅黑" w:cs="微软雅黑"/>
      <w:b/>
      <w:bCs/>
      <w:i/>
      <w:iCs/>
      <w:color w:val="4F81BD" w:themeColor="accent1"/>
    </w:rPr>
  </w:style>
  <w:style w:type="character" w:styleId="SubtleReference">
    <w:name w:val="Subtle Reference"/>
    <w:basedOn w:val="DefaultParagraphFont"/>
    <w:uiPriority w:val="31"/>
    <w:qFormat/>
    <w:rsid w:val="00FC693F"/>
    <w:rPr>
      <w:rFonts w:ascii="微软雅黑" w:hAnsi="微软雅黑" w:eastAsia="微软雅黑" w:cs="微软雅黑"/>
      <w:smallCaps/>
      <w:color w:val="C0504D" w:themeColor="accent2"/>
      <w:u w:val="single"/>
    </w:rPr>
  </w:style>
  <w:style w:type="character" w:styleId="IntenseReference">
    <w:name w:val="Intense Reference"/>
    <w:basedOn w:val="DefaultParagraphFont"/>
    <w:uiPriority w:val="32"/>
    <w:qFormat/>
    <w:rsid w:val="00FC693F"/>
    <w:rPr>
      <w:rFonts w:ascii="微软雅黑" w:hAnsi="微软雅黑" w:eastAsia="微软雅黑" w:cs="微软雅黑"/>
      <w:b/>
      <w:bCs/>
      <w:smallCaps/>
      <w:color w:val="C0504D" w:themeColor="accent2"/>
      <w:spacing w:val="5"/>
      <w:u w:val="single"/>
    </w:rPr>
  </w:style>
  <w:style w:type="character" w:styleId="BookTitle">
    <w:name w:val="Book Title"/>
    <w:basedOn w:val="DefaultParagraphFont"/>
    <w:uiPriority w:val="33"/>
    <w:qFormat/>
    <w:rsid w:val="00FC693F"/>
    <w:rPr>
      <w:rFonts w:ascii="微软雅黑" w:hAnsi="微软雅黑" w:eastAsia="微软雅黑" w:cs="微软雅黑"/>
      <w:b/>
      <w:bCs/>
      <w:smallCaps/>
      <w:spacing w:val="5"/>
    </w:rPr>
  </w:style>
  <w:style w:type="paragraph" w:styleId="TOCHeading">
    <w:name w:val="TOC Heading"/>
    <w:basedOn w:val="Heading1"/>
    <w:next w:val="Normal"/>
    <w:uiPriority w:val="39"/>
    <w:semiHidden/>
    <w:unhideWhenUsed/>
    <w:qFormat/>
    <w:rsid w:val="00FC693F"/>
    <w:pPr>
      <w:outlineLvl w:val="9"/>
    </w:pPr>
    <w:rPr>
      <w:rFonts w:ascii="微软雅黑" w:hAnsi="微软雅黑" w:eastAsia="微软雅黑" w:cs="微软雅黑"/>
    </w:rPr>
  </w:style>
  <w:style w:type="table" w:styleId="TableGrid">
    <w:name w:val="Table Grid"/>
    <w:basedOn w:val="TableNormal"/>
    <w:uiPriority w:val="59"/>
    <w:rsid w:val="00FC693F"/>
    <w:pPr>
      <w:spacing w:after="0" w:line="240" w:lineRule="auto"/>
    </w:pPr>
    <w:rPr>
      <w:rFonts w:ascii="微软雅黑" w:hAnsi="微软雅黑" w:eastAsia="微软雅黑" w:cs="微软雅黑"/>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rFonts w:ascii="微软雅黑" w:hAnsi="微软雅黑" w:eastAsia="微软雅黑" w:cs="微软雅黑"/>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微软雅黑" w:hAnsi="微软雅黑" w:eastAsia="微软雅黑" w:cs="微软雅黑"/>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微软雅黑" w:hAnsi="微软雅黑" w:eastAsia="微软雅黑" w:cs="微软雅黑"/>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微软雅黑" w:hAnsi="微软雅黑" w:eastAsia="微软雅黑" w:cs="微软雅黑"/>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微软雅黑" w:hAnsi="微软雅黑" w:eastAsia="微软雅黑" w:cs="微软雅黑"/>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微软雅黑" w:hAnsi="微软雅黑" w:eastAsia="微软雅黑" w:cs="微软雅黑"/>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微软雅黑" w:hAnsi="微软雅黑" w:eastAsia="微软雅黑" w:cs="微软雅黑"/>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微软雅黑" w:hAnsi="微软雅黑" w:eastAsia="微软雅黑" w:cs="微软雅黑"/>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微软雅黑" w:hAnsi="微软雅黑" w:eastAsia="微软雅黑" w:cs="微软雅黑"/>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微软雅黑" w:hAnsi="微软雅黑" w:eastAsia="微软雅黑" w:cs="微软雅黑"/>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微软雅黑" w:hAnsi="微软雅黑" w:eastAsia="微软雅黑" w:cs="微软雅黑"/>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微软雅黑" w:hAnsi="微软雅黑" w:eastAsia="微软雅黑" w:cs="微软雅黑"/>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微软雅黑" w:hAnsi="微软雅黑" w:eastAsia="微软雅黑" w:cs="微软雅黑"/>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微软雅黑" w:hAnsi="微软雅黑" w:eastAsia="微软雅黑" w:cs="微软雅黑"/>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 Id="rId11" Type="http://schemas.openxmlformats.org/officeDocument/2006/relationships/hyperlink" Target="https://www.eni.com/en-IT/media/press-release/2026/10/eni-completes-the-bouri-gas-utilization-project-libya-country-key-initiatives-fassociated-gas-recovery-emissions-reduction.html" TargetMode="External"/><Relationship Id="rId12" Type="http://schemas.openxmlformats.org/officeDocument/2006/relationships/hyperlink" Target="https://sana.sy/en/economic/2352125/" TargetMode="External"/><Relationship Id="rId13" Type="http://schemas.openxmlformats.org/officeDocument/2006/relationships/hyperlink" Target="https://www.interfax.ru/business/1123369" TargetMode="External"/><Relationship Id="rId14" Type="http://schemas.openxmlformats.org/officeDocument/2006/relationships/hyperlink" Target="https://theedgemalaysia.com/node/822229" TargetMode="External"/><Relationship Id="rId15" Type="http://schemas.openxmlformats.org/officeDocument/2006/relationships/hyperlink" Target="https://www.jiemian.com/article/15208767.html" TargetMode="External"/><Relationship Id="rId16" Type="http://schemas.openxmlformats.org/officeDocument/2006/relationships/hyperlink" Target="https://news.solarbe.com/202610/19/50030535.html" TargetMode="External"/><Relationship Id="rId17" Type="http://schemas.openxmlformats.org/officeDocument/2006/relationships/hyperlink" Target="https://news.mysteel.com/a/26101909/190F767755F747C5.html" TargetMode="External"/><Relationship Id="rId18" Type="http://schemas.openxmlformats.org/officeDocument/2006/relationships/hyperlink" Target="https://www.chinacoal.com/col/col33/art/2026/art_3cc383f19a735fb9d79056ca3edd7be6.html" TargetMode="External"/><Relationship Id="rId19" Type="http://schemas.openxmlformats.org/officeDocument/2006/relationships/hyperlink" Target="https://www.china5e.com/news/news-1210583-1.html" TargetMode="External"/><Relationship Id="rId20" Type="http://schemas.openxmlformats.org/officeDocument/2006/relationships/hyperlink" Target="https://www.cpnn.com.cn/news/hg/202610/t20261019_1921122.html" TargetMode="External"/><Relationship Id="rId21" Type="http://schemas.openxmlformats.org/officeDocument/2006/relationships/hyperlink" Target="https://www.eia.gov/todayinenergy/detail.php?id=68325" TargetMode="External"/><Relationship Id="rId22" Type="http://schemas.openxmlformats.org/officeDocument/2006/relationships/hyperlink" Target="https://www.ofgem.gov.uk/press-release/ofgem-unlocks-funding-major-electricity-grid-upgrade-while-delivering-over-ps60-million-consumer-savings" TargetMode="External"/><Relationship Id="rId23" Type="http://schemas.openxmlformats.org/officeDocument/2006/relationships/hyperlink" Target="https://www.world-nuclear-news.org/articles/rosatom-signs-floating-nuclear-power-deal-for-indonesia" TargetMode="External"/><Relationship Id="rId24" Type="http://schemas.openxmlformats.org/officeDocument/2006/relationships/hyperlink" Target="https://www.china5e.com/news/news-1210577-1.html" TargetMode="External"/><Relationship Id="rId25" Type="http://schemas.openxmlformats.org/officeDocument/2006/relationships/hyperlink" Target="https://www.cpnn.com.cn/news/hy/202610/t20261019_1921111.html" TargetMode="External"/><Relationship Id="rId26" Type="http://schemas.openxmlformats.org/officeDocument/2006/relationships/hyperlink" Target="https://www.ofgem.gov.uk/news/update-independent-eversheds-investigation-and-ofgems-technical-review-energy-system-operations-during-extreme-heat" TargetMode="External"/><Relationship Id="rId27" Type="http://schemas.openxmlformats.org/officeDocument/2006/relationships/hyperlink" Target="https://www.power-technology.com/news/offshore-substations-installed-gennaker/" TargetMode="External"/><Relationship Id="rId28" Type="http://schemas.openxmlformats.org/officeDocument/2006/relationships/hyperlink" Target="https://www.jiemian.com/article/15205590.html" TargetMode="External"/><Relationship Id="rId29" Type="http://schemas.openxmlformats.org/officeDocument/2006/relationships/hyperlink" Target="https://www.cpnn.com.cn/news/dfny/202610/t20261019_1920969.html" TargetMode="External"/><Relationship Id="rId30" Type="http://schemas.openxmlformats.org/officeDocument/2006/relationships/hyperlink" Target="http://www.ce.cn/cysc/ny/gdxw/202610/t20261019_3263323.shtml" TargetMode="External"/><Relationship Id="rId31" Type="http://schemas.openxmlformats.org/officeDocument/2006/relationships/hyperlink" Target="https://www.energy.gov/articles/energy-department-advances-constitution-pipeline-project-42-million-defense-production-act" TargetMode="External"/><Relationship Id="rId32" Type="http://schemas.openxmlformats.org/officeDocument/2006/relationships/hyperlink" Target="https://www.esdm.go.id/id/media-center/arsip-berita/tujuh-kapal-dikerahkan-bahlil-perkuat-cadangan-bbm-bali-hingga-15-hari" TargetMode="External"/><Relationship Id="rId33" Type="http://schemas.openxmlformats.org/officeDocument/2006/relationships/hyperlink" Target="https://www.esdm.go.id/id/media-center/arsip-berita/bahlil-pastikan-stok-bbm-nasional-aman-distribusi-ke-daerah-diperkuat" TargetMode="External"/><Relationship Id="rId34" Type="http://schemas.openxmlformats.org/officeDocument/2006/relationships/hyperlink" Target="https://www.pipechina.com.cn/front/news/3006193.html" TargetMode="External"/><Relationship Id="rId35" Type="http://schemas.openxmlformats.org/officeDocument/2006/relationships/hyperlink" Target="https://www.iter.org/node/20687/first-production-unit-completed-europe" TargetMode="External"/><Relationship Id="rId36" Type="http://schemas.openxmlformats.org/officeDocument/2006/relationships/hyperlink" Target="https://www.bernamabiz.com/news.php?id=262271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微软雅黑"/>
        <a:ea typeface="微软雅黑"/>
        <a:cs typeface="微软雅黑"/>
        <a:font script="Jpan" typeface="微软雅黑"/>
        <a:font script="Hang" typeface="微软雅黑"/>
        <a:font script="Hans" typeface="微软雅黑"/>
        <a:font script="Hant" typeface="微软雅黑"/>
        <a:font script="Arab" typeface="微软雅黑"/>
        <a:font script="Hebr" typeface="微软雅黑"/>
        <a:font script="Thai" typeface="微软雅黑"/>
        <a:font script="Ethi" typeface="微软雅黑"/>
        <a:font script="Beng" typeface="微软雅黑"/>
        <a:font script="Gujr" typeface="微软雅黑"/>
        <a:font script="Khmr" typeface="微软雅黑"/>
        <a:font script="Knda" typeface="微软雅黑"/>
        <a:font script="Guru" typeface="微软雅黑"/>
        <a:font script="Cans" typeface="微软雅黑"/>
        <a:font script="Cher" typeface="微软雅黑"/>
        <a:font script="Yiii" typeface="微软雅黑"/>
        <a:font script="Tibt" typeface="微软雅黑"/>
        <a:font script="Thaa" typeface="微软雅黑"/>
        <a:font script="Deva" typeface="微软雅黑"/>
        <a:font script="Telu" typeface="微软雅黑"/>
        <a:font script="Taml" typeface="微软雅黑"/>
        <a:font script="Syrc" typeface="微软雅黑"/>
        <a:font script="Orya" typeface="微软雅黑"/>
        <a:font script="Mlym" typeface="微软雅黑"/>
        <a:font script="Laoo" typeface="微软雅黑"/>
        <a:font script="Sinh" typeface="微软雅黑"/>
        <a:font script="Mong" typeface="微软雅黑"/>
        <a:font script="Viet" typeface="微软雅黑"/>
        <a:font script="Uigh" typeface="微软雅黑"/>
        <a:font script="Geor" typeface="微软雅黑"/>
      </a:majorFont>
      <a:minorFont>
        <a:latin typeface="微软雅黑"/>
        <a:ea typeface="微软雅黑"/>
        <a:cs typeface="微软雅黑"/>
        <a:font script="Jpan" typeface="微软雅黑"/>
        <a:font script="Hang" typeface="微软雅黑"/>
        <a:font script="Hans" typeface="微软雅黑"/>
        <a:font script="Hant" typeface="微软雅黑"/>
        <a:font script="Arab" typeface="微软雅黑"/>
        <a:font script="Hebr" typeface="微软雅黑"/>
        <a:font script="Thai" typeface="微软雅黑"/>
        <a:font script="Ethi" typeface="微软雅黑"/>
        <a:font script="Beng" typeface="微软雅黑"/>
        <a:font script="Gujr" typeface="微软雅黑"/>
        <a:font script="Khmr" typeface="微软雅黑"/>
        <a:font script="Knda" typeface="微软雅黑"/>
        <a:font script="Guru" typeface="微软雅黑"/>
        <a:font script="Cans" typeface="微软雅黑"/>
        <a:font script="Cher" typeface="微软雅黑"/>
        <a:font script="Yiii" typeface="微软雅黑"/>
        <a:font script="Tibt" typeface="微软雅黑"/>
        <a:font script="Thaa" typeface="微软雅黑"/>
        <a:font script="Deva" typeface="微软雅黑"/>
        <a:font script="Telu" typeface="微软雅黑"/>
        <a:font script="Taml" typeface="微软雅黑"/>
        <a:font script="Syrc" typeface="微软雅黑"/>
        <a:font script="Orya" typeface="微软雅黑"/>
        <a:font script="Mlym" typeface="微软雅黑"/>
        <a:font script="Laoo" typeface="微软雅黑"/>
        <a:font script="Sinh" typeface="微软雅黑"/>
        <a:font script="Mong" typeface="微软雅黑"/>
        <a:font script="Viet" typeface="微软雅黑"/>
        <a:font script="Uigh" typeface="微软雅黑"/>
        <a:font script="Geor" typeface="微软雅黑"/>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2026年10月19日 每日能源报告</dc:title>
  <dc:subject/>
  <dc:creator>北京百看科技有限公司</dc:creator>
  <cp:keywords/>
  <dc:description>generated by python-docx</dc:description>
  <cp:lastModifiedBy/>
  <cp:revision>1</cp:revision>
  <dcterms:created xsi:type="dcterms:W3CDTF">2013-12-23T23:15:00Z</dcterms:created>
  <dcterms:modified xsi:type="dcterms:W3CDTF">2013-12-23T23:15:00Z</dcterms:modified>
  <cp:category/>
</cp:coreProperties>
</file>